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cheap source-image</w:t>
      </w:r>
      <w:r>
        <w:t xml:space="preserve"> </w:t>
      </w:r>
      <w:r>
        <w:t xml:space="preserve">features, so the tool measures the candidate representations rather than modelling them;</w:t>
      </w:r>
      <w:r>
        <w:t xml:space="preserve"> </w:t>
      </w:r>
      <w:r>
        <w:t xml:space="preserve">we also find that a probe encode of just ten to twenty tiles forecasts a group's saving to</w:t>
      </w:r>
      <w:r>
        <w:t xml:space="preserve"> </w:t>
      </w:r>
      <w:r>
        <w:t xml:space="preserve">within two percentage points where colour, edge, and 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14zef46h/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14zef46h/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14zef46h/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8),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8.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14zef46h/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14zef46h/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Exercising these</w:t>
      </w:r>
      <w:r>
        <w:t xml:space="preserve"> </w:t>
      </w:r>
      <w:r>
        <w:t xml:space="preserve">mixed code paths, which the uniform benchmark corpora never reach, also surfaced two</w:t>
      </w:r>
      <w:r>
        <w:t xml:space="preserve"> </w:t>
      </w:r>
      <w:r>
        <w:t xml:space="preserve">accounting defects that the tool's invariant check (predicted bytes and requests must</w:t>
      </w:r>
      <w:r>
        <w:t xml:space="preserve"> </w:t>
      </w:r>
      <w:r>
        <w:t xml:space="preserve">equal the emitted resources) now catches and that are fixed; the tool passes that check on</w:t>
      </w:r>
      <w:r>
        <w:t xml:space="preserve"> </w:t>
      </w:r>
      <w:r>
        <w:t xml:space="preserve">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2026-08-31T12:41:55Z</dcterms:created>
  <dcterms:modified xsi:type="dcterms:W3CDTF">2026-08-31T12:41:55Z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