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5.png" ContentType="image/png"/>
  <Override PartName="/word/media/rId48.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70" w:name="X4256d333ac978442c7af604b03233a24eeb1f32"/>
    <w:p>
      <w:pPr>
        <w:pStyle w:val="Heading1"/>
      </w:pPr>
      <w:r>
        <w:t xml:space="preserve">Image Bundling Revisited: Codec-Specific Savings and a Measured Atlas Selector for</w:t>
      </w:r>
      <w:r>
        <w:t xml:space="preserve"> </w:t>
      </w:r>
      <w:r>
        <w:t xml:space="preserve">Small Web Images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Abstract</w:t>
      </w:r>
    </w:p>
    <w:p>
      <w:pPr>
        <w:pStyle w:val="BodyText"/>
      </w:pPr>
      <w:r>
        <w:t xml:space="preserve">Web pages load many small images; the median mobile page carries 13, and product grids,</w:t>
      </w:r>
      <w:r>
        <w:t xml:space="preserve"> </w:t>
      </w:r>
      <w:r>
        <w:t xml:space="preserve">icon sets, and avatar walls carry far more. Serving each one separately pays per-request</w:t>
      </w:r>
      <w:r>
        <w:t xml:space="preserve"> </w:t>
      </w:r>
      <w:r>
        <w:t xml:space="preserve">overhead plus two byte costs that HTTP/2 multiplexing does not remove: a fixed per-file</w:t>
      </w:r>
      <w:r>
        <w:t xml:space="preserve"> </w:t>
      </w:r>
      <w:r>
        <w:t xml:space="preserve">structural cost (roughly 600 bytes for a JPEG) and the loss of cross-image redundancy.</w:t>
      </w:r>
      <w:r>
        <w:t xml:space="preserve"> </w:t>
      </w:r>
      <w:r>
        <w:t xml:space="preserve">Measured at matched per-tile quality across the three codecs that carry most web images</w:t>
      </w:r>
      <w:r>
        <w:t xml:space="preserve"> </w:t>
      </w:r>
      <w:r>
        <w:t xml:space="preserve">(JPEG, PNG, WebP), bundling many images into one atlas recovers up to 30% of bytes under</w:t>
      </w:r>
      <w:r>
        <w:t xml:space="preserve"> </w:t>
      </w:r>
      <w:r>
        <w:t xml:space="preserve">JPEG and up to 19% under WebP, and the sign of the effect is codec-specific: WebP turns</w:t>
      </w:r>
      <w:r>
        <w:t xml:space="preserve"> </w:t>
      </w:r>
      <w:r>
        <w:t xml:space="preserve">negative on large photographic tiles while JPEG and AVIF never do.</w:t>
      </w:r>
    </w:p>
    <w:p>
      <w:pPr>
        <w:pStyle w:val="BodyText"/>
      </w:pPr>
      <w:r>
        <w:t xml:space="preserve">The saving is set by the ratio of per-file overhead to content size, so it falls as</w:t>
      </w:r>
      <w:r>
        <w:t xml:space="preserve"> </w:t>
      </w:r>
      <w:r>
        <w:t xml:space="preserve">tiles grow, from about 30% for 56-pixel photographs to a few percent at 224 pixels.</w:t>
      </w:r>
      <w:r>
        <w:t xml:space="preserve"> </w:t>
      </w:r>
      <w:r>
        <w:t xml:space="preserve">The reversal under WebP is driven by its whole-atlas quantizer rather than by atlasing</w:t>
      </w:r>
      <w:r>
        <w:t xml:space="preserve"> </w:t>
      </w:r>
      <w:r>
        <w:t xml:space="preserve">itself, and it holds across four independent photo populations. Lossless formats lose</w:t>
      </w:r>
      <w:r>
        <w:t xml:space="preserve"> </w:t>
      </w:r>
      <w:r>
        <w:t xml:space="preserve">under a naive grid but win 40–97% under codec-aware packing (vertical strips, shared</w:t>
      </w:r>
      <w:r>
        <w:t xml:space="preserve"> </w:t>
      </w:r>
      <w:r>
        <w:t xml:space="preserve">palettes), so the question is how to pack, not whether. We distill the measurements into a</w:t>
      </w:r>
      <w:r>
        <w:t xml:space="preserve"> </w:t>
      </w:r>
      <w:r>
        <w:t xml:space="preserve">coupling account (savings come from sharing fixed costs; losses from sharing adaptive</w:t>
      </w:r>
      <w:r>
        <w:t xml:space="preserve"> </w:t>
      </w:r>
      <w:r>
        <w:t xml:space="preserve">state) and into an open-source tool that turns a directory of images into deployable</w:t>
      </w:r>
      <w:r>
        <w:t xml:space="preserve"> </w:t>
      </w:r>
      <w:r>
        <w:t xml:space="preserve">bundles and matches an offline oracle on five unseen collections. Cheap source-image</w:t>
      </w:r>
      <w:r>
        <w:t xml:space="preserve"> </w:t>
      </w:r>
      <w:r>
        <w:t xml:space="preserve">features (color, edge, frequency) do not predict the byte effect, but a probe encode of</w:t>
      </w:r>
      <w:r>
        <w:t xml:space="preserve"> </w:t>
      </w:r>
      <w:r>
        <w:t xml:space="preserve">ten to twenty tiles forecasts a group's saving to within two percentage points, so the</w:t>
      </w:r>
      <w:r>
        <w:t xml:space="preserve"> </w:t>
      </w:r>
      <w:r>
        <w:t xml:space="preserve">tool measures candidate bundles rather than modeling them. In a live renderer the pixel</w:t>
      </w:r>
      <w:r>
        <w:t xml:space="preserve"> </w:t>
      </w:r>
      <w:r>
        <w:t xml:space="preserve">atlas is also the fastest to full visibility and the lowest in memory, and a supporting</w:t>
      </w:r>
      <w:r>
        <w:t xml:space="preserve"> </w:t>
      </w:r>
      <w:r>
        <w:t xml:space="preserve">browser study shows the byte savings cut load 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JPEG, PNG, and WebP anchor the study: together they carry over 70% of images served on</w:t>
      </w:r>
      <w:r>
        <w:t xml:space="preserve"> </w:t>
      </w:r>
      <w:r>
        <w:t xml:space="preserve">the web (HTTP Archive 2024: JPEG 32.4%, PNG 28.4%, WebP 12.0%), decode in every browser,</w:t>
      </w:r>
      <w:r>
        <w:t xml:space="preserve"> </w:t>
      </w:r>
      <w:r>
        <w:t xml:space="preserve">and are where the practical savings live. AVIF, the leading next-generation codec, joins</w:t>
      </w:r>
      <w:r>
        <w:t xml:space="preserve"> </w:t>
      </w:r>
      <w:r>
        <w:t xml:space="preserve">the photographic crossover (Section 5.1) to show the result's codec-dependence against</w:t>
      </w:r>
      <w:r>
        <w:t xml:space="preserve"> </w:t>
      </w:r>
      <w:r>
        <w:t xml:space="preserve">a 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 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this is, to our knowledge, the first</w:t>
      </w:r>
      <w:r>
        <w:t xml:space="preserve"> </w:t>
      </w:r>
      <w:r>
        <w:t xml:space="preserve">measurement of atlasing byte savings resolved by codec and tile size at matched</w:t>
      </w:r>
      <w:r>
        <w:t xml:space="preserve"> </w:t>
      </w:r>
      <w:r>
        <w:t xml:space="preserve">perceptual quality (the one prior peer-reviewed sprite study [33] optimized PNG packing</w:t>
      </w:r>
      <w:r>
        <w:t xml:space="preserve"> </w:t>
      </w:r>
      <w:r>
        <w:t xml:space="preserve">geometry with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5.4)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(Appendix A.3).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(Appendix A.4).</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(Appendix A.2)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2"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dvdj1l32/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figure decomposes into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Appendix A.1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show where bundling wins on realistic content.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44"/>
    <w:bookmarkStart w:id="51" w:name="supporting-measurements-network-timing"/>
    <w:p>
      <w:pPr>
        <w:pStyle w:val="Heading3"/>
      </w:pPr>
      <w:r>
        <w:t xml:space="preserve">5.4  Supporting measurements: network timing</w:t>
      </w:r>
    </w:p>
    <w:p>
      <w:pPr>
        <w:pStyle w:val="FirstParagraph"/>
      </w:pPr>
      <w:r>
        <w:t xml:space="preserve">The byte and construction results above are protocol-independent. This section reports</w:t>
      </w:r>
      <w:r>
        <w:t xml:space="preserve"> </w:t>
      </w:r>
      <w:r>
        <w:t xml:space="preserve">how the byte savings translate to load time on a single-machine browser testbed. The</w:t>
      </w:r>
      <w:r>
        <w:t xml:space="preserve"> </w:t>
      </w:r>
      <w:r>
        <w:t xml:space="preserve">deployment guidance draws on the relative comparisons across conditions, which the</w:t>
      </w:r>
      <w:r>
        <w:t xml:space="preserve"> </w:t>
      </w:r>
      <w:r>
        <w:t xml:space="preserve">randomized, validated protocol holds stable; absolute timings are properties of the</w:t>
      </w:r>
      <w:r>
        <w:t xml:space="preserve"> </w:t>
      </w:r>
      <w:r>
        <w:t xml:space="preserve">testbed.</w:t>
      </w:r>
    </w:p>
    <w:p>
      <w:pPr>
        <w:pStyle w:val="TableCaption"/>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6" name="Picture"/>
                  <a:graphic>
                    <a:graphicData uri="http://schemas.openxmlformats.org/drawingml/2006/picture">
                      <pic:pic>
                        <pic:nvPicPr>
                          <pic:cNvPr descr="file:///E:/tmp/tmpdvdj1l32/svg1.png" id="47" name="Picture"/>
                          <pic:cNvPicPr>
                            <a:picLocks noChangeArrowheads="1" noChangeAspect="1"/>
                          </pic:cNvPicPr>
                        </pic:nvPicPr>
                        <pic:blipFill>
                          <a:blip r:embed="rId45"/>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49" name="Picture"/>
                  <a:graphic>
                    <a:graphicData uri="http://schemas.openxmlformats.org/drawingml/2006/picture">
                      <pic:pic>
                        <pic:nvPicPr>
                          <pic:cNvPr descr="file:///E:/tmp/tmpdvdj1l32/svg2.png" id="50" name="Picture"/>
                          <pic:cNvPicPr>
                            <a:picLocks noChangeArrowheads="1" noChangeAspect="1"/>
                          </pic:cNvPicPr>
                        </pic:nvPicPr>
                        <pic:blipFill>
                          <a:blip r:embed="rId48"/>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(Appendix A.3,</w:t>
      </w:r>
      <w:r>
        <w:t xml:space="preserve"> </w:t>
      </w:r>
      <w:r>
        <w:t xml:space="preserve">Figure 5),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1"/>
    <w:bookmarkEnd w:id="52"/>
    <w:bookmarkStart w:id="59" w:name="discussion"/>
    <w:p>
      <w:pPr>
        <w:pStyle w:val="Heading2"/>
      </w:pPr>
      <w:r>
        <w:t xml:space="preserve">6  Discussion</w:t>
      </w:r>
    </w:p>
    <w:bookmarkStart w:id="53"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color-histogram entropy, unique</w:t>
      </w:r>
      <w:r>
        <w:t xml:space="preserve"> </w:t>
      </w:r>
      <w:r>
        <w:t xml:space="preserve">colors,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7),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6.2: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TableCaption"/>
      </w:pPr>
      <w:r>
        <w:rPr>
          <w:b/>
          <w:bCs/>
        </w:rPr>
        <w:t xml:space="preserve">Table 7.</w:t>
      </w:r>
      <w:r>
        <w:t xml:space="preserve"> </w:t>
      </w:r>
      <w:r>
        <w:t xml:space="preserve">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auto" w:w="0"/>
        <w:tblLook w:firstRow="1" w:lastRow="0" w:firstColumn="0" w:lastColumn="0" w:noHBand="0" w:noVBand="0" w:val="0020"/>
        <w:tblCaption w:val="Table 7. 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0.86</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0.84</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3"/>
    <w:bookmarkStart w:id="57" w:name="a-calibrated-construction-heuristic"/>
    <w:p>
      <w:pPr>
        <w:pStyle w:val="Heading3"/>
      </w:pPr>
      <w:r>
        <w:t xml:space="preserve">6.2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4).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CaptionedFigure"/>
      </w:pPr>
      <w:r>
        <w:drawing>
          <wp:inline>
            <wp:extent cx="5334000" cy="4644683"/>
            <wp:effectExtent b="0" l="0" r="0" t="0"/>
            <wp:docPr descr="" title="" id="55" name="Picture"/>
            <a:graphic>
              <a:graphicData uri="http://schemas.openxmlformats.org/drawingml/2006/picture">
                <pic:pic>
                  <pic:nvPicPr>
                    <pic:cNvPr descr="file:///E:/tmp/tmpdvdj1l32/svg3.png" id="56" name="Picture"/>
                    <pic:cNvPicPr>
                      <a:picLocks noChangeArrowheads="1" noChangeAspect="1"/>
                    </pic:cNvPicPr>
                  </pic:nvPicPr>
                  <pic:blipFill>
                    <a:blip r:embed="rId54"/>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8.</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8).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i.e. zero excess bytes over the oracle's choice), including the two</w:t>
      </w:r>
      <w:r>
        <w:t xml:space="preserve"> </w:t>
      </w:r>
      <w:r>
        <w:t xml:space="preserve">content types, generated avatars and a second emoji vendor, that most differ from the</w:t>
      </w:r>
      <w:r>
        <w:t xml:space="preserve"> </w:t>
      </w:r>
      <w:r>
        <w:t xml:space="preserve">calibration sets. This is the property that matters for a deployable tool: on collections</w:t>
      </w:r>
      <w:r>
        <w:t xml:space="preserve"> </w:t>
      </w:r>
      <w:r>
        <w:t xml:space="preserve">it was not built from, it chooses the byte-optimal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8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8.</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8.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These mixed code</w:t>
      </w:r>
      <w:r>
        <w:t xml:space="preserve"> </w:t>
      </w:r>
      <w:r>
        <w:t xml:space="preserve">paths, which the uniform benchmark corpora never reach, are guarded by the tool's invariant</w:t>
      </w:r>
      <w:r>
        <w:t xml:space="preserve"> </w:t>
      </w:r>
      <w:r>
        <w:t xml:space="preserve">check: predicted bytes and requests must equal the emitted resources, and the tool passes</w:t>
      </w:r>
      <w:r>
        <w:t xml:space="preserve"> </w:t>
      </w:r>
      <w:r>
        <w:t xml:space="preserve">that check on every asset set in the study.</w:t>
      </w:r>
    </w:p>
    <w:bookmarkEnd w:id="57"/>
    <w:bookmarkStart w:id="58" w:name="limitations"/>
    <w:p>
      <w:pPr>
        <w:pStyle w:val="Heading3"/>
      </w:pPr>
      <w:r>
        <w:t xml:space="preserve">6.3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9),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5.4)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6.2);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9)</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58"/>
    <w:bookmarkEnd w:id="59"/>
    <w:bookmarkStart w:id="60"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(1.6–2.8x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(a second QUIC</w:t>
      </w:r>
      <w:r>
        <w:t xml:space="preserve"> </w:t>
      </w:r>
      <w:r>
        <w:t xml:space="preserve">implementation sustains roughly twice the concurrency, Section 5.4) rather than a</w:t>
      </w:r>
      <w:r>
        <w:t xml:space="preserve"> </w:t>
      </w:r>
      <w:r>
        <w:t xml:space="preserve">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0"/>
    <w:bookmarkStart w:id="61"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bookmarkEnd w:id="61"/>
    <w:bookmarkStart w:id="69" w:name="appendix-a"/>
    <w:p>
      <w:pPr>
        <w:pStyle w:val="Heading2"/>
      </w:pPr>
      <w:r>
        <w:t xml:space="preserve">Appendix A</w:t>
      </w:r>
    </w:p>
    <w:bookmarkStart w:id="62" w:name="a.1-encoder-parameters"/>
    <w:p>
      <w:pPr>
        <w:pStyle w:val="Heading3"/>
      </w:pPr>
      <w:r>
        <w:t xml:space="preserve">A.1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62"/>
    <w:bookmarkStart w:id="63" w:name="Xd0e876400a3b19d7bc9587e45c440cac7c8f050"/>
    <w:p>
      <w:pPr>
        <w:pStyle w:val="Heading3"/>
      </w:pPr>
      <w:r>
        <w:t xml:space="preserve">A.2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9).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9.</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9.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63"/>
    <w:bookmarkStart w:id="67" w:name="a.3-cache-invalidation-and-delta-updates"/>
    <w:p>
      <w:pPr>
        <w:pStyle w:val="Heading3"/>
      </w:pPr>
      <w:r>
        <w:t xml:space="preserve">A.3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5).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65" name="Picture"/>
            <a:graphic>
              <a:graphicData uri="http://schemas.openxmlformats.org/drawingml/2006/picture">
                <pic:pic>
                  <pic:nvPicPr>
                    <pic:cNvPr descr="file:///E:/tmp/tmpdvdj1l32/svg4.png" id="66" name="Picture"/>
                    <pic:cNvPicPr>
                      <a:picLocks noChangeArrowheads="1" noChangeAspect="1"/>
                    </pic:cNvPicPr>
                  </pic:nvPicPr>
                  <pic:blipFill>
                    <a:blip r:embed="rId6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67"/>
    <w:bookmarkStart w:id="68" w:name="a.4-choosing-a-rendering-mechanism"/>
    <w:p>
      <w:pPr>
        <w:pStyle w:val="Heading3"/>
      </w:pPr>
      <w:r>
        <w:t xml:space="preserve">A.4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6.2 chooses the byte layout; this table chooses the display mechanism, and</w:t>
      </w:r>
      <w:r>
        <w:t xml:space="preserve"> </w:t>
      </w:r>
      <w:r>
        <w:t xml:space="preserve">the two decisions compose.</w:t>
      </w:r>
    </w:p>
    <w:p>
      <w:pPr>
        <w:pStyle w:val="TableCaption"/>
      </w:pPr>
      <w:r>
        <w:rPr>
          <w:b/>
          <w:bCs/>
        </w:rPr>
        <w:t xml:space="preserve">Table 10.</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6.2 selector and the mechanism here.</w:t>
      </w:r>
    </w:p>
    <w:tbl>
      <w:tblPr>
        <w:tblStyle w:val="Table"/>
        <w:tblW w:type="auto" w:w="0"/>
        <w:tblLook w:firstRow="1" w:lastRow="0" w:firstColumn="0" w:lastColumn="0" w:noHBand="0" w:noVBand="0" w:val="0020"/>
        <w:tblCaption w:val="Table 10. Display mechanisms for a bundled tile and how they differ in production. All four paint after a single atlas or bundle fetch; they diverge on image semantics, accessibility, loading control, and support. Pick the byte layout with the Section 6.2 selector and the mechanism here."/>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p>
      <w:pPr>
        <w:pStyle w:val="BodyText"/>
      </w:pPr>
      <w:r>
        <w:t xml:space="preserve">Alexander Apartsin, Yehudit Aperstein</w:t>
      </w:r>
    </w:p>
    <w:bookmarkEnd w:id="68"/>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2026-09-01T17:40:35Z</dcterms:created>
  <dcterms:modified xsi:type="dcterms:W3CDTF">2026-09-01T17:40:35Z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