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cheap source-image</w:t>
      </w:r>
      <w:r>
        <w:t xml:space="preserve"> </w:t>
      </w:r>
      <w:r>
        <w:t xml:space="preserve">features, so the tool measures the candidate representations rather than modelling them;</w:t>
      </w:r>
      <w:r>
        <w:t xml:space="preserve"> </w:t>
      </w:r>
      <w:r>
        <w:t xml:space="preserve">we also find that a probe encode of just ten to twenty tiles forecasts a group's saving to</w:t>
      </w:r>
      <w:r>
        <w:t xml:space="preserve"> </w:t>
      </w:r>
      <w:r>
        <w:t xml:space="preserve">within two percentage points where colour, edge, and 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ptqqmsvb/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ptqqmsvb/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ptqqmsvb/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and it fails even on the isolated codec differential that cancels the</w:t>
      </w:r>
      <w:r>
        <w:t xml:space="preserve"> </w:t>
      </w:r>
      <w:r>
        <w:t xml:space="preserve">fixed-cost term (Table 8): the adaptive-state penalty is codec-mechanistic and is</w:t>
      </w:r>
      <w:r>
        <w:t xml:space="preserve"> </w:t>
      </w:r>
      <w:r>
        <w:t xml:space="preserve">not captured by these cheap source 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with perfect class ordering at every group size from 50 to 500 tiles,</w:t>
      </w:r>
      <w:r>
        <w:t xml:space="preserve"> </w:t>
      </w:r>
      <w:r>
        <w:t xml:space="preserve">so on a 500-tile bundle the decision costs one encode of four percent of the tiles. Its</w:t>
      </w:r>
      <w:r>
        <w:t xml:space="preserve"> </w:t>
      </w:r>
      <w:r>
        <w:t xml:space="preserve">only slip is the WebP near-break-even regime, where the shared-quantizer penalty deepens</w:t>
      </w:r>
      <w:r>
        <w:t xml:space="preserve"> </w:t>
      </w:r>
      <w:r>
        <w:t xml:space="preserve">with group size faster than a small probe registers, the one case a practitioner should</w:t>
      </w:r>
      <w:r>
        <w:t xml:space="preserve"> </w:t>
      </w:r>
      <w:r>
        <w:t xml:space="preserve">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and orders the classes far better than the baseline's rank (0.86). On the isolated codec differential (JPEG minus WebP saving, which cancels the fixed-cost term), the same features still fail to beat a constant (10.1 vs 7.1 percentage points), so the shortfall is not a missing fixed-cost signal but the coupling penalty not being captured by these cheap features. Evaluated on 47 of the 48 class-size-codec cells; one cell whose two rate-distortion curves did not overlap in quality is omitted.</w:t>
      </w:r>
    </w:p>
    <w:tbl>
      <w:tblPr>
        <w:tblStyle w:val="Table"/>
        <w:tblW w:type="auto" w:w="0"/>
        <w:tblLook w:firstRow="1" w:lastRow="0" w:firstColumn="0" w:lastColumn="0" w:noHBand="0" w:noVBand="0" w:val="0020"/>
        <w:tblCaption w:val="Table 8. 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and orders the classes far better than the baseline's rank (0.86). On the isolated codec differential (JPEG minus WebP saving, which cancels the fixed-cost term), the same features still fail to beat a constant (10.1 vs 7.1 percentage points), so the shortfall is not a missing fixed-cost signal but the coupling penalty not being captured by these cheap features. Evaluated on 47 of the 48 class-size-codec cells; one cell whose two rate-distortion curves did not overlap in quality is omitted."/>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ptqqmsvb/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ptqqmsvb/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4–11% of bytes while the photographic byte-bundle is</w:t>
      </w:r>
      <w:r>
        <w:t xml:space="preserve"> </w:t>
      </w:r>
      <w:r>
        <w:t xml:space="preserve">byte-neutral (−0.4%) and pays its way purely in collapsed requests. Exercising these</w:t>
      </w:r>
      <w:r>
        <w:t xml:space="preserve"> </w:t>
      </w:r>
      <w:r>
        <w:t xml:space="preserve">mixed code paths, which the uniform benchmark corpora never reach, also surfaced two</w:t>
      </w:r>
      <w:r>
        <w:t xml:space="preserve"> </w:t>
      </w:r>
      <w:r>
        <w:t xml:space="preserve">accounting defects that the tool's invariant check (predicted bytes and requests must</w:t>
      </w:r>
      <w:r>
        <w:t xml:space="preserve"> </w:t>
      </w:r>
      <w:r>
        <w:t xml:space="preserve">equal the emitted resources) now catches and that are fixed; the tool passes that check on</w:t>
      </w:r>
      <w:r>
        <w:t xml:space="preserve"> </w:t>
      </w:r>
      <w:r>
        <w:t xml:space="preserve">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2026-08-31T12:10:38Z</dcterms:created>
  <dcterms:modified xsi:type="dcterms:W3CDTF">2026-08-31T12:10:38Z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