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source-image statistics,</w:t>
      </w:r>
      <w:r>
        <w:t xml:space="preserve"> </w:t>
      </w:r>
      <w:r>
        <w:t xml:space="preserve">which is why the tool measures rather than models: a probe encode of ten to twenty tiles</w:t>
      </w:r>
      <w:r>
        <w:t xml:space="preserve"> </w:t>
      </w:r>
      <w:r>
        <w:t xml:space="preserve">forecasts a group's saving to within two percentage points where colour, edge, and</w:t>
      </w:r>
      <w:r>
        <w:t xml:space="preserve"> </w:t>
      </w:r>
      <w:r>
        <w:t xml:space="preserve">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not predictable from source-image</w:t>
      </w:r>
      <w:r>
        <w:t xml:space="preserve"> </w:t>
      </w:r>
      <w:r>
        <w:t xml:space="preserve">statistics,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p6w6b83g/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p6w6b83g/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p6w6b83g/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Predicting a held-out class's</w:t>
      </w:r>
      <w:r>
        <w:t xml:space="preserve"> </w:t>
      </w:r>
      <w:r>
        <w:t xml:space="preserve">saving from these features does not improve on a size-and-codec baseline, and it fails</w:t>
      </w:r>
      <w:r>
        <w:t xml:space="preserve"> </w:t>
      </w:r>
      <w:r>
        <w:t xml:space="preserve">even on the isolated codec differential that cancels the fixed-cost term (Table 8):</w:t>
      </w:r>
      <w:r>
        <w:t xml:space="preserve"> </w:t>
      </w:r>
      <w:r>
        <w:t xml:space="preserve">the adaptive-state penalty is codec-mechanistic and is not readable from source pixel</w:t>
      </w:r>
      <w:r>
        <w:t xml:space="preserve"> </w:t>
      </w:r>
      <w:r>
        <w:t xml:space="preserve">statistics. What does predict it is a measurement: a probe encode of only 10–20</w:t>
      </w:r>
      <w:r>
        <w:t xml:space="preserve"> </w:t>
      </w:r>
      <w:r>
        <w:t xml:space="preserve">tiles estimates the full-set saving to within about two percentage points (Spearman 0.98).</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On the isolated codec differential (JPEG minus WebP saving, which cancels the fixed-cost term), the same features still fail to beat a constant (10.1 vs 7.1 percentage points), so the shortfall is not a missing fixed-cost signal but the coupling penalty being unreadable from source pixels.</w:t>
      </w:r>
    </w:p>
    <w:tbl>
      <w:tblPr>
        <w:tblStyle w:val="Table"/>
        <w:tblW w:type="auto" w:w="0"/>
        <w:tblLook w:firstRow="1" w:lastRow="0" w:firstColumn="0" w:lastColumn="0" w:noHBand="0" w:noVBand="0" w:val="0020"/>
        <w:tblCaption w:val="Table 8. 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On the isolated codec differential (JPEG minus WebP saving, which cancels the fixed-cost term), the same features still fail to beat a constant (10.1 vs 7.1 percentage points), so the shortfall is not a missing fixed-cost signal but the coupling penalty being unreadable from source pixels."/>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n/a</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n/a</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p6w6b83g/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p6w6b83g/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2026-08-31T11:37:20Z</dcterms:created>
  <dcterms:modified xsi:type="dcterms:W3CDTF">2026-08-31T11:37:20Z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