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5.png" ContentType="image/png"/>
  <Override PartName="/word/media/rId4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4" w:name="X347a6c7a1aced531ccc8606d1ffeed0a888cfe7"/>
    <w:p>
      <w:pPr>
        <w:pStyle w:val="Heading1"/>
      </w:pPr>
      <w:r>
        <w:t xml:space="preserve">Bundling Small Images for Mobile Interfaces: Codec-Specific Savings and a Measured</w:t>
      </w:r>
      <w:r>
        <w:t xml:space="preserve"> </w:t>
      </w:r>
      <w:r>
        <w:t xml:space="preserve">Selector for Emoji, Avatar, and Thumbnail Grids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Abstract</w:t>
      </w:r>
    </w:p>
    <w:p>
      <w:pPr>
        <w:pStyle w:val="BodyText"/>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42–68% for flat-art icon and emoji sets packed as</w:t>
      </w:r>
      <w:r>
        <w:t xml:space="preserve"> </w:t>
      </w:r>
      <w:r>
        <w:t xml:space="preserve">lossless strips (and up to 97% with a shared palette),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bookmarkStart w:id="20" w:name="introduction"/>
    <w:p>
      <w:pPr>
        <w:pStyle w:val="Heading2"/>
      </w:pPr>
      <w:r>
        <w:t xml:space="preserve">1  Introduction</w:t>
      </w:r>
    </w:p>
    <w:p>
      <w:pPr>
        <w:pStyle w:val="FirstParagraph"/>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pPr>
      <w:r>
        <w:t xml:space="preserve">The display side needs no special machinery: four standard CSS and DOM mechanisms crop a tile from a decoded atlas (Section 3.1), which the browser decodes once and paints windows into.</w:t>
      </w:r>
    </w:p>
    <w:p>
      <w:pPr>
        <w:pStyle w:val="BodyText"/>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PNG vertical-strip packing and LZ-window duplicate exploitation with measured</w:t>
      </w:r>
      <w:r>
        <w:t xml:space="preserve"> </w:t>
      </w:r>
      <w:r>
        <w:t xml:space="preserve">effect, and chunking for bounded cache invalidation and decoded-memory limits;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standard HTTP caching semantics (RFC 9111 [45]) fix the unit at the resource, which is exactly what bundling coarsens, and HTTP delta encoding (RFC 3229 [42], VCDIFF RFC 3284 [43]) and shared-dictionary transport (SDCH [44], Brotli [22], zstd [23], Compression Dictionary Transport [24]) are the standard complements for serving only what changed. We take the practical route of chunking (Section 3.2), which bounds invalidation without a differencing pipeline.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at a small byte cost, a few extra</w:t>
      </w:r>
      <w:r>
        <w:t xml:space="preserve"> </w:t>
      </w:r>
      <w:r>
        <w:t xml:space="preserve">container headers and a little grid 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(Appendix A.1)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2"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Figure 1 shows a 100-tile example, and 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Figure 2 plots the photo crossover with these intervals.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BodyText"/>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qoo77xkh/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two libwebp settings, noise shaping and adaptive</w:t>
      </w:r>
      <w:r>
        <w:t xml:space="preserve"> </w:t>
      </w:r>
      <w:r>
        <w:t xml:space="preserve">deblocking, 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BodyText"/>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BodyText"/>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BodyText"/>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Within-atlas order and partition matter only for the LZ-class lossless codecs; for lossy JPEG and WebP, placement is worth at most one percent, so the heuristic ignores it. Two rules do pay. First, pack PNG as a one-tile-wide vertical strip rather than a grid: letting the per-scanline filters re-adapt at every tile boundary turns the PNG flat-art atlas from 5.7% larger than individual files to 8.7% smaller. Second, exploit duplicates, which real product grids and avatar walls carry freely: sorting near-duplicate tiles adjacent places copies inside the codec's LZ window, cutting PNG and lossless-WebP bytes by 15–18% on a duplicate-heavy set and turning their atlas comparison clearly positive. Exact repeats are deduplicated at the coordinate-map level (many CSS entries, one atlas region); the atlas's unique contribution is compressing the near-duplicates that per-URL caching cannot merge.</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BodyText"/>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44"/>
    <w:bookmarkStart w:id="51" w:name="supporting-measurements-network-timing"/>
    <w:p>
      <w:pPr>
        <w:pStyle w:val="Heading3"/>
      </w:pPr>
      <w:r>
        <w:t xml:space="preserve">5.4  Supporting measurements: network timing</w:t>
      </w:r>
    </w:p>
    <w:p>
      <w:pPr>
        <w:pStyle w:val="FirstParagraph"/>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pStyle w:val="BodyText"/>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6" name="Picture"/>
                  <a:graphic>
                    <a:graphicData uri="http://schemas.openxmlformats.org/drawingml/2006/picture">
                      <pic:pic>
                        <pic:nvPicPr>
                          <pic:cNvPr descr="file:///E:/tmp/tmpqoo77xkh/svg1.png" id="47" name="Picture"/>
                          <pic:cNvPicPr>
                            <a:picLocks noChangeArrowheads="1" noChangeAspect="1"/>
                          </pic:cNvPicPr>
                        </pic:nvPicPr>
                        <pic:blipFill>
                          <a:blip r:embed="rId45"/>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49" name="Picture"/>
                  <a:graphic>
                    <a:graphicData uri="http://schemas.openxmlformats.org/drawingml/2006/picture">
                      <pic:pic>
                        <pic:nvPicPr>
                          <pic:cNvPr descr="file:///E:/tmp/tmpqoo77xkh/svg2.png" id="50" name="Picture"/>
                          <pic:cNvPicPr>
                            <a:picLocks noChangeArrowheads="1" noChangeAspect="1"/>
                          </pic:cNvPicPr>
                        </pic:nvPicPr>
                        <pic:blipFill>
                          <a:blip r:embed="rId48"/>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benefit is cache granularity and bounded invalidation,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1"/>
    <w:bookmarkEnd w:id="52"/>
    <w:bookmarkStart w:id="59" w:name="discussion"/>
    <w:p>
      <w:pPr>
        <w:pStyle w:val="Heading2"/>
      </w:pPr>
      <w:r>
        <w:t xml:space="preserve">6  Discussion</w:t>
      </w:r>
    </w:p>
    <w:bookmarkStart w:id="53"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BodyText"/>
      </w:pPr>
      <w:r>
        <w:rPr>
          <w:b/>
          <w:bCs/>
        </w:rPr>
        <w:t xml:space="preserve">Table 7.</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3"/>
    <w:bookmarkStart w:id="57" w:name="a-calibrated-construction-heuristic"/>
    <w:p>
      <w:pPr>
        <w:pStyle w:val="Heading3"/>
      </w:pPr>
      <w:r>
        <w:t xml:space="preserve">6.2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CaptionedFigure"/>
      </w:pPr>
      <w:r>
        <w:drawing>
          <wp:inline>
            <wp:extent cx="5334000" cy="4644683"/>
            <wp:effectExtent b="0" l="0" r="0" t="0"/>
            <wp:docPr descr="" title="" id="55" name="Picture"/>
            <a:graphic>
              <a:graphicData uri="http://schemas.openxmlformats.org/drawingml/2006/picture">
                <pic:pic>
                  <pic:nvPicPr>
                    <pic:cNvPr descr="file:///E:/tmp/tmpqoo77xkh/svg3.png" id="56" name="Picture"/>
                    <pic:cNvPicPr>
                      <a:picLocks noChangeArrowheads="1" noChangeAspect="1"/>
                    </pic:cNvPicPr>
                  </pic:nvPicPr>
                  <pic:blipFill>
                    <a:blip r:embed="rId54"/>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This is the procedure evaluated against the oracle in Table 8.</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BodyText"/>
      </w:pPr>
      <w:r>
        <w:rPr>
          <w:b/>
          <w:bCs/>
        </w:rPr>
        <w:t xml:space="preserve">Table 8.</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57"/>
    <w:bookmarkStart w:id="58" w:name="limitations"/>
    <w:p>
      <w:pPr>
        <w:pStyle w:val="Heading3"/>
      </w:pPr>
      <w:r>
        <w:t xml:space="preserve">6.3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A.1,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(Appendix A.1)</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8"/>
    <w:bookmarkEnd w:id="59"/>
    <w:bookmarkStart w:id="60" w:name="conclusion"/>
    <w:p>
      <w:pPr>
        <w:pStyle w:val="Heading2"/>
      </w:pPr>
      <w:r>
        <w:t xml:space="preserve">7  Conclusion</w:t>
      </w:r>
    </w:p>
    <w:p>
      <w:pPr>
        <w:pStyle w:val="FirstParagraph"/>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Ship about four chunks for bounded</w:t>
      </w:r>
      <w:r>
        <w:t xml:space="preserve"> </w:t>
      </w:r>
      <w:r>
        <w:t xml:space="preserve">cache invalidation and decoded-memory limits, and deduplicate repeats explicitly. On the wire, bundling loads 500 small flat-art tiles</w:t>
      </w:r>
      <w:r>
        <w:t xml:space="preserve"> </w:t>
      </w:r>
      <w:r>
        <w:t xml:space="preserve">4.5–8.6x faster to full visibility on HTTP/1.1 (1.6–2.6x for photographic</w:t>
      </w:r>
      <w:r>
        <w:t xml:space="preserve"> </w:t>
      </w:r>
      <w:r>
        <w:t xml:space="preserve">thumbnails on the loss-free profiles)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60"/>
    <w:bookmarkStart w:id="61"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and Performance chapters.</w:t>
      </w:r>
      <w:r>
        <w:t xml:space="preserve"> </w:t>
      </w:r>
      <w:r>
        <w:t xml:space="preserve">https://almanac.httparchive.org/en/2024/</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[46] StatCounter GlobalStats. Desktop vs Mobile vs Tablet Market Share Worldwide, 2024.</w:t>
      </w:r>
      <w:r>
        <w:t xml:space="preserve"> </w:t>
      </w:r>
      <w:r>
        <w:t xml:space="preserve">https://gs.statcounter.com/platform-market-share/desktop-mobile-tablet</w:t>
      </w:r>
    </w:p>
    <w:p>
      <w:pPr>
        <w:pStyle w:val="BodyText"/>
      </w:pPr>
      <w:r>
        <w:t xml:space="preserve">[47] Ericsson. Ericsson Mobility Report, November 2024.</w:t>
      </w:r>
      <w:r>
        <w:t xml:space="preserve"> </w:t>
      </w:r>
      <w:r>
        <w:t xml:space="preserve">https://www.ericsson.com/en/reports-and-papers/mobility-report/reports/november-2024</w:t>
      </w:r>
    </w:p>
    <w:p>
      <w:pPr>
        <w:pStyle w:val="BodyText"/>
      </w:pPr>
      <w:r>
        <w:t xml:space="preserve">[48] M. Belshe. More Bandwidth Doesn't Matter (Much). Google, 2010.</w:t>
      </w:r>
      <w:r>
        <w:t xml:space="preserve"> </w:t>
      </w:r>
      <w:r>
        <w:t xml:space="preserve">https://www.belshe.com/2010/05/24/more-bandwidth-doesnt-matter-much/</w:t>
      </w:r>
    </w:p>
    <w:p>
      <w:pPr>
        <w:pStyle w:val="BodyText"/>
      </w:pPr>
      <w:r>
        <w:t xml:space="preserve">[49] S. A. M. Mostafa, M. P. Wittie, U. Goel. Does More Bandwidth Really Not Matter (Much)? arXiv:2503.03641,</w:t>
      </w:r>
      <w:r>
        <w:t xml:space="preserve"> </w:t>
      </w:r>
      <w:r>
        <w:t xml:space="preserve">2025.</w:t>
      </w:r>
    </w:p>
    <w:p>
      <w:pPr>
        <w:pStyle w:val="BodyText"/>
      </w:pPr>
      <w:r>
        <w:t xml:space="preserve">[50] Deloitte Digital. Milliseconds Make Millions: how page speed affects consumer</w:t>
      </w:r>
      <w:r>
        <w:t xml:space="preserve"> </w:t>
      </w:r>
      <w:r>
        <w:t xml:space="preserve">behavior. Commissioned by Google, 2020.</w:t>
      </w:r>
    </w:p>
    <w:p>
      <w:pPr>
        <w:pStyle w:val="BodyText"/>
      </w:pPr>
      <w:r>
        <w:t xml:space="preserve">[51] Cloudflare. Radar 2024 Year in Review: HTTP protocol version share, 2024.</w:t>
      </w:r>
      <w:r>
        <w:t xml:space="preserve"> </w:t>
      </w:r>
      <w:r>
        <w:t xml:space="preserve">https://radar.cloudflare.com/year-in-review/2024</w:t>
      </w:r>
    </w:p>
    <w:bookmarkEnd w:id="61"/>
    <w:bookmarkStart w:id="63" w:name="appendix-a"/>
    <w:p>
      <w:pPr>
        <w:pStyle w:val="Heading2"/>
      </w:pPr>
      <w:r>
        <w:t xml:space="preserve">Appendix A</w:t>
      </w:r>
    </w:p>
    <w:bookmarkStart w:id="62" w:name="X23e008ba5d486dfbc3dc0849002e494e08c3bde"/>
    <w:p>
      <w:pPr>
        <w:pStyle w:val="Heading3"/>
      </w:pPr>
      <w:r>
        <w:t xml:space="preserve">A.1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BodyText"/>
      </w:pPr>
      <w:r>
        <w:rPr>
          <w:b/>
          <w:bCs/>
        </w:rPr>
        <w:t xml:space="preserve">Table 9.</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p>
      <w:pPr>
        <w:pStyle w:val="BodyText"/>
      </w:pPr>
      <w:r>
        <w:t xml:space="preserve">Alexander Apartsin, Yehudit Aperstein</w:t>
      </w:r>
    </w:p>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2026-09-02T09:06:06Z</dcterms:created>
  <dcterms:modified xsi:type="dcterms:W3CDTF">2026-09-02T09:06:06Z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