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7.png" ContentType="image/png"/>
  <Override PartName="/word/media/rId56.png" ContentType="image/png"/>
  <Override PartName="/word/media/rId5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70" w:name="X4256d333ac978442c7af604b03233a24eeb1f32"/>
    <w:p>
      <w:pPr>
        <w:pStyle w:val="Heading1"/>
      </w:pPr>
      <w:r>
        <w:t xml:space="preserve">Image Bundling Revisited: Codec-Specific Savings and a Measured Atlas Selector for</w:t>
      </w:r>
      <w:r>
        <w:t xml:space="preserve"> </w:t>
      </w:r>
      <w:r>
        <w:t xml:space="preserve">Small Web Images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Abstract</w:t>
      </w:r>
    </w:p>
    <w:p>
      <w:pPr>
        <w:pStyle w:val="BodyText"/>
      </w:pPr>
      <w:r>
        <w:t xml:space="preserve">Web pages load many small images; the median mobile page carries 13, and product grids,</w:t>
      </w:r>
      <w:r>
        <w:t xml:space="preserve"> </w:t>
      </w:r>
      <w:r>
        <w:t xml:space="preserve">icon sets, and avatar walls carry far more. Serving each one separately pays per-request</w:t>
      </w:r>
      <w:r>
        <w:t xml:space="preserve"> </w:t>
      </w:r>
      <w:r>
        <w:t xml:space="preserve">overhead plus two byte costs that HTTP/2 multiplexing does not remove: a fixed per-file</w:t>
      </w:r>
      <w:r>
        <w:t xml:space="preserve"> </w:t>
      </w:r>
      <w:r>
        <w:t xml:space="preserve">structural cost (roughly 600 bytes for a JPEG) and the loss of cross-image redundancy.</w:t>
      </w:r>
      <w:r>
        <w:t xml:space="preserve"> </w:t>
      </w:r>
      <w:r>
        <w:t xml:space="preserve">Measured at matched per-tile quality across the three codecs that carry most web images</w:t>
      </w:r>
      <w:r>
        <w:t xml:space="preserve"> </w:t>
      </w:r>
      <w:r>
        <w:t xml:space="preserve">(JPEG, PNG, WebP), bundling many images into one atlas recovers up to 30% of bytes under</w:t>
      </w:r>
      <w:r>
        <w:t xml:space="preserve"> </w:t>
      </w:r>
      <w:r>
        <w:t xml:space="preserve">JPEG and up to 19% under WebP, and the sign of the effect is codec-specific: WebP turns</w:t>
      </w:r>
      <w:r>
        <w:t xml:space="preserve"> </w:t>
      </w:r>
      <w:r>
        <w:t xml:space="preserve">negative on large photographic tiles while JPEG and AVIF never do.</w:t>
      </w:r>
    </w:p>
    <w:p>
      <w:pPr>
        <w:pStyle w:val="BodyText"/>
      </w:pPr>
      <w:r>
        <w:t xml:space="preserve">The saving is set by the ratio of per-file overhead to content size, so it falls as</w:t>
      </w:r>
      <w:r>
        <w:t xml:space="preserve"> </w:t>
      </w:r>
      <w:r>
        <w:t xml:space="preserve">tiles grow, from about 30% for 56-pixel photographs to a few percent at 224 pixels.</w:t>
      </w:r>
      <w:r>
        <w:t xml:space="preserve"> </w:t>
      </w:r>
      <w:r>
        <w:t xml:space="preserve">The reversal under WebP is driven by its whole-atlas quantizer rather than by atlasing</w:t>
      </w:r>
      <w:r>
        <w:t xml:space="preserve"> </w:t>
      </w:r>
      <w:r>
        <w:t xml:space="preserve">itself, and it holds across four independent photo populations. Lossless formats lose</w:t>
      </w:r>
      <w:r>
        <w:t xml:space="preserve"> </w:t>
      </w:r>
      <w:r>
        <w:t xml:space="preserve">under a naive grid but win 40–97% under codec-aware packing (vertical strips, shared</w:t>
      </w:r>
      <w:r>
        <w:t xml:space="preserve"> </w:t>
      </w:r>
      <w:r>
        <w:t xml:space="preserve">palettes), so the question is how to pack, not whether. We distill the measurements into a</w:t>
      </w:r>
      <w:r>
        <w:t xml:space="preserve"> </w:t>
      </w:r>
      <w:r>
        <w:t xml:space="preserve">coupling account (savings come from sharing fixed costs; losses from sharing adaptive</w:t>
      </w:r>
      <w:r>
        <w:t xml:space="preserve"> </w:t>
      </w:r>
      <w:r>
        <w:t xml:space="preserve">state) and into an open-source tool that turns a directory of images into deployable</w:t>
      </w:r>
      <w:r>
        <w:t xml:space="preserve"> </w:t>
      </w:r>
      <w:r>
        <w:t xml:space="preserve">bundles and matches an offline oracle on five unseen collections. Cheap source-image</w:t>
      </w:r>
      <w:r>
        <w:t xml:space="preserve"> </w:t>
      </w:r>
      <w:r>
        <w:t xml:space="preserve">features (color, edge, frequency) do not predict the byte effect, but a probe encode of</w:t>
      </w:r>
      <w:r>
        <w:t xml:space="preserve"> </w:t>
      </w:r>
      <w:r>
        <w:t xml:space="preserve">ten to twenty tiles forecasts a group's saving to within two percentage points, so the</w:t>
      </w:r>
      <w:r>
        <w:t xml:space="preserve"> </w:t>
      </w:r>
      <w:r>
        <w:t xml:space="preserve">tool measures candidate bundles rather than modeling them. In a live renderer the pixel</w:t>
      </w:r>
      <w:r>
        <w:t xml:space="preserve"> </w:t>
      </w:r>
      <w:r>
        <w:t xml:space="preserve">atlas is also the fastest to full visibility and the lowest in memory, and a supporting</w:t>
      </w:r>
      <w:r>
        <w:t xml:space="preserve"> </w:t>
      </w:r>
      <w:r>
        <w:t xml:space="preserve">browser study shows the byte savings 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to our knowledge, the first</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(Appendix A.2)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(Appendix A.4).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(Appendix A.5).</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(Appendix A.3)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45"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24pfi21r/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Appendix A.1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show where bundling wins on realistic content.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44"/>
    <w:bookmarkEnd w:id="45"/>
    <w:bookmarkStart w:id="52" w:name="discussion"/>
    <w:p>
      <w:pPr>
        <w:pStyle w:val="Heading2"/>
      </w:pPr>
      <w:r>
        <w:t xml:space="preserve">6  Discussion</w:t>
      </w:r>
    </w:p>
    <w:bookmarkStart w:id="46"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6),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6.2: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6.</w:t>
      </w:r>
      <w:r>
        <w:t xml:space="preserve"> </w:t>
      </w:r>
      <w:r>
        <w:t xml:space="preserve">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auto" w:w="0"/>
        <w:tblLook w:firstRow="1" w:lastRow="0" w:firstColumn="0" w:lastColumn="0" w:noHBand="0" w:noVBand="0" w:val="0020"/>
        <w:tblCaption w:val="Table 6. 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46"/>
    <w:bookmarkStart w:id="50" w:name="a-calibrated-construction-heuristic"/>
    <w:p>
      <w:pPr>
        <w:pStyle w:val="Heading3"/>
      </w:pPr>
      <w:r>
        <w:t xml:space="preserve">6.2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3).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CaptionedFigure"/>
      </w:pPr>
      <w:r>
        <w:drawing>
          <wp:inline>
            <wp:extent cx="5334000" cy="4644683"/>
            <wp:effectExtent b="0" l="0" r="0" t="0"/>
            <wp:docPr descr="" title="" id="48" name="Picture"/>
            <a:graphic>
              <a:graphicData uri="http://schemas.openxmlformats.org/drawingml/2006/picture">
                <pic:pic>
                  <pic:nvPicPr>
                    <pic:cNvPr descr="file:///E:/tmp/tmp24pfi21r/svg1.png" id="49" name="Picture"/>
                    <pic:cNvPicPr>
                      <a:picLocks noChangeArrowheads="1" noChangeAspect="1"/>
                    </pic:cNvPicPr>
                  </pic:nvPicPr>
                  <pic:blipFill>
                    <a:blip r:embed="rId47"/>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7.</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7).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7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7.</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7.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50"/>
    <w:bookmarkStart w:id="51" w:name="limitations"/>
    <w:p>
      <w:pPr>
        <w:pStyle w:val="Heading3"/>
      </w:pPr>
      <w:r>
        <w:t xml:space="preserve">6.3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9),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(Appendix A.2)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6.2);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8) but</w:t>
      </w:r>
      <w:r>
        <w:t xml:space="preserve"> </w:t>
      </w:r>
      <w:r>
        <w:t xml:space="preserve">no formal significance testing, and the timing endpoint is time-to-all-tiles-visible;</w:t>
      </w:r>
      <w:r>
        <w:t xml:space="preserve"> </w:t>
      </w:r>
      <w:r>
        <w:t xml:space="preserve">first-tile and first-viewport milestones are reported for the local renderer (Table 9)</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51"/>
    <w:bookmarkEnd w:id="52"/>
    <w:bookmarkStart w:id="53"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Appendix A.2)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53"/>
    <w:bookmarkStart w:id="54"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bookmarkEnd w:id="54"/>
    <w:bookmarkStart w:id="69" w:name="appendix-a"/>
    <w:p>
      <w:pPr>
        <w:pStyle w:val="Heading2"/>
      </w:pPr>
      <w:r>
        <w:t xml:space="preserve">Appendix A</w:t>
      </w:r>
    </w:p>
    <w:bookmarkStart w:id="55" w:name="a.1-encoder-parameters"/>
    <w:p>
      <w:pPr>
        <w:pStyle w:val="Heading3"/>
      </w:pPr>
      <w:r>
        <w:t xml:space="preserve">A.1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55"/>
    <w:bookmarkStart w:id="62" w:name="Xe6dbf33f745dbc3358c5b800492f63e9ef62d08"/>
    <w:p>
      <w:pPr>
        <w:pStyle w:val="Heading3"/>
      </w:pPr>
      <w:r>
        <w:t xml:space="preserve">A.2  Supporting measurements: network timing</w:t>
      </w:r>
    </w:p>
    <w:p>
      <w:pPr>
        <w:pStyle w:val="FirstParagraph"/>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pStyle w:val="TableCaption"/>
      </w:pPr>
      <w:r>
        <w:rPr>
          <w:b/>
          <w:bCs/>
        </w:rPr>
        <w:t xml:space="preserve">Table 8.</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8.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57" name="Picture"/>
                  <a:graphic>
                    <a:graphicData uri="http://schemas.openxmlformats.org/drawingml/2006/picture">
                      <pic:pic>
                        <pic:nvPicPr>
                          <pic:cNvPr descr="file:///E:/tmp/tmp24pfi21r/svg2.png" id="58" name="Picture"/>
                          <pic:cNvPicPr>
                            <a:picLocks noChangeArrowheads="1" noChangeAspect="1"/>
                          </pic:cNvPicPr>
                        </pic:nvPicPr>
                        <pic:blipFill>
                          <a:blip r:embed="rId5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60" name="Picture"/>
                  <a:graphic>
                    <a:graphicData uri="http://schemas.openxmlformats.org/drawingml/2006/picture">
                      <pic:pic>
                        <pic:nvPicPr>
                          <pic:cNvPr descr="file:///E:/tmp/tmp24pfi21r/svg3.png" id="61" name="Picture"/>
                          <pic:cNvPicPr>
                            <a:picLocks noChangeArrowheads="1" noChangeAspect="1"/>
                          </pic:cNvPicPr>
                        </pic:nvPicPr>
                        <pic:blipFill>
                          <a:blip r:embed="rId5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4.</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8 and Figure 4.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8).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(Appendix A.4,</w:t>
      </w:r>
      <w:r>
        <w:t xml:space="preserve"> </w:t>
      </w:r>
      <w:r>
        <w:t xml:space="preserve">Figure 5),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62"/>
    <w:bookmarkStart w:id="63" w:name="X55fb17d93a369cffbd39b9ec6f45720a0dc45c4"/>
    <w:p>
      <w:pPr>
        <w:pStyle w:val="Heading3"/>
      </w:pPr>
      <w:r>
        <w:t xml:space="preserve">A.3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9).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9.</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9.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63"/>
    <w:bookmarkStart w:id="67" w:name="a.4-cache-invalidation-and-delta-updates"/>
    <w:p>
      <w:pPr>
        <w:pStyle w:val="Heading3"/>
      </w:pPr>
      <w:r>
        <w:t xml:space="preserve">A.4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5).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65" name="Picture"/>
            <a:graphic>
              <a:graphicData uri="http://schemas.openxmlformats.org/drawingml/2006/picture">
                <pic:pic>
                  <pic:nvPicPr>
                    <pic:cNvPr descr="file:///E:/tmp/tmp24pfi21r/svg4.png" id="66" name="Picture"/>
                    <pic:cNvPicPr>
                      <a:picLocks noChangeArrowheads="1" noChangeAspect="1"/>
                    </pic:cNvPicPr>
                  </pic:nvPicPr>
                  <pic:blipFill>
                    <a:blip r:embed="rId6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67"/>
    <w:bookmarkStart w:id="68" w:name="a.5-choosing-a-rendering-mechanism"/>
    <w:p>
      <w:pPr>
        <w:pStyle w:val="Heading3"/>
      </w:pPr>
      <w:r>
        <w:t xml:space="preserve">A.5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6.2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6.2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2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p>
      <w:pPr>
        <w:pStyle w:val="BodyText"/>
      </w:pPr>
      <w:r>
        <w:t xml:space="preserve">Alexander Apartsin, Yehudit Aperstein</w:t>
      </w:r>
    </w:p>
    <w:bookmarkEnd w:id="68"/>
    <w:bookmarkEnd w:id="69"/>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2026-09-01T17:52:45Z</dcterms:created>
  <dcterms:modified xsi:type="dcterms:W3CDTF">2026-09-01T17:52:45Z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