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8" w:name="X9cf113a1a2a0b59ef6672b168235b98a19f7f3e"/>
    <w:p>
      <w:pPr>
        <w:pStyle w:val="Heading1"/>
      </w:pPr>
      <w:r>
        <w:t xml:space="preserve">Image Bundling Revisited: Atlasing Small Web Images under Modern Codecs and</w:t>
      </w:r>
      <w:r>
        <w:t xml:space="preserve"> </w:t>
      </w:r>
      <w:r>
        <w:t xml:space="preserve">Protocols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Technical Report · 2026</w:t>
      </w:r>
    </w:p>
    <w:p>
      <w:pPr>
        <w:pStyle w:val="BodyText"/>
      </w:pPr>
      <w:r>
        <w:t xml:space="preserve">Abstract</w:t>
      </w:r>
    </w:p>
    <w:p>
      <w:pPr>
        <w:pStyle w:val="BodyText"/>
      </w:pPr>
      <w:r>
        <w:t xml:space="preserve">Web pages load tens to hundreds of small images, and the median mobile page carries</w:t>
      </w:r>
      <w:r>
        <w:t xml:space="preserve"> </w:t>
      </w:r>
      <w:r>
        <w:t xml:space="preserve">13. Serving each one separately pays per-request overhead plus two byte costs that HTTP/2</w:t>
      </w:r>
      <w:r>
        <w:t xml:space="preserve"> </w:t>
      </w:r>
      <w:r>
        <w:t xml:space="preserve">multiplexing does not remove: a fixed per-file structural cost (roughly 600 bytes for a</w:t>
      </w:r>
      <w:r>
        <w:t xml:space="preserve"> </w:t>
      </w:r>
      <w:r>
        <w:t xml:space="preserve">JPEG) and the loss of cross-image redundancy. We measure how much of these costs bundling</w:t>
      </w:r>
      <w:r>
        <w:t xml:space="preserve"> </w:t>
      </w:r>
      <w:r>
        <w:t xml:space="preserve">many images into one atlas recovers, for the three codecs that carry most web images and</w:t>
      </w:r>
      <w:r>
        <w:t xml:space="preserve"> </w:t>
      </w:r>
      <w:r>
        <w:t xml:space="preserve">decode in every browser: JPEG, PNG, and WebP.</w:t>
      </w:r>
    </w:p>
    <w:p>
      <w:pPr>
        <w:pStyle w:val="BodyText"/>
      </w:pPr>
      <w:r>
        <w:t xml:space="preserve">At matched per-tile quality, atlasing small tiles saves up to 30% of bytes under JPEG</w:t>
      </w:r>
      <w:r>
        <w:t xml:space="preserve"> </w:t>
      </w:r>
      <w:r>
        <w:t xml:space="preserve">and up to 19% under WebP, independent of protocol. The saving is set by the ratio of</w:t>
      </w:r>
      <w:r>
        <w:t xml:space="preserve"> </w:t>
      </w:r>
      <w:r>
        <w:t xml:space="preserve">per-file overhead to content size, so it falls as tiles grow: for photographs it drops</w:t>
      </w:r>
      <w:r>
        <w:t xml:space="preserve"> </w:t>
      </w:r>
      <w:r>
        <w:t xml:space="preserve">from about 30% at 56 pixels to a few percent at 224 pixels, where WebP turns</w:t>
      </w:r>
      <w:r>
        <w:t xml:space="preserve"> </w:t>
      </w:r>
      <w:r>
        <w:t xml:space="preserve">clearly negative. The sign is codec-specific: AVIF, like JPEG, stays positive at every</w:t>
      </w:r>
      <w:r>
        <w:t xml:space="preserve"> </w:t>
      </w:r>
      <w:r>
        <w:t xml:space="preserve">size, so WebP's shared quantizer, not atlasing itself, drives the reversal, and the</w:t>
      </w:r>
      <w:r>
        <w:t xml:space="preserve"> </w:t>
      </w:r>
      <w:r>
        <w:t xml:space="preserve">pattern holds across four independent photo populations. Lossless formats lose under a</w:t>
      </w:r>
      <w:r>
        <w:t xml:space="preserve"> </w:t>
      </w:r>
      <w:r>
        <w:t xml:space="preserve">naive grid but win 40–97% under</w:t>
      </w:r>
      <w:r>
        <w:t xml:space="preserve"> </w:t>
      </w:r>
      <w:r>
        <w:t xml:space="preserve">codec-aware packing (vertical strips, shared palettes), so the question is how to pack,</w:t>
      </w:r>
      <w:r>
        <w:t xml:space="preserve"> </w:t>
      </w:r>
      <w:r>
        <w:t xml:space="preserve">not whether. We distil the measurements into a coupling account (savings come from</w:t>
      </w:r>
      <w:r>
        <w:t xml:space="preserve"> </w:t>
      </w:r>
      <w:r>
        <w:t xml:space="preserve">sharing fixed costs; losses from sharing adaptive state) and into an open-source tool</w:t>
      </w:r>
      <w:r>
        <w:t xml:space="preserve"> </w:t>
      </w:r>
      <w:r>
        <w:t xml:space="preserve">that turns a directory of images into deployable bundles and matches an offline oracle on</w:t>
      </w:r>
      <w:r>
        <w:t xml:space="preserve"> </w:t>
      </w:r>
      <w:r>
        <w:t xml:space="preserve">five unseen collections. A supporting browser study shows the byte savings also cut load</w:t>
      </w:r>
      <w:r>
        <w:t xml:space="preserve"> </w:t>
      </w:r>
      <w:r>
        <w:t xml:space="preserve">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The study centers on the popular, universally-supported compressed formats: JPEG, PNG,</w:t>
      </w:r>
      <w:r>
        <w:t xml:space="preserve"> </w:t>
      </w:r>
      <w:r>
        <w:t xml:space="preserve">and WebP together carry over 70% of images served on the web (HTTP Archive 2024: JPEG</w:t>
      </w:r>
      <w:r>
        <w:t xml:space="preserve"> </w:t>
      </w:r>
      <w:r>
        <w:t xml:space="preserve">32.4%, PNG 28.4%, WebP 12.0%), decode in every browser, and are where the practical</w:t>
      </w:r>
      <w:r>
        <w:t xml:space="preserve"> </w:t>
      </w:r>
      <w:r>
        <w:t xml:space="preserve">savings live; AVIF, the leading next-generation codec, is added to the photographic</w:t>
      </w:r>
      <w:r>
        <w:t xml:space="preserve"> </w:t>
      </w:r>
      <w:r>
        <w:t xml:space="preserve">crossover (Section 5.1) so the codec-dependence of the result is visible against a</w:t>
      </w:r>
      <w:r>
        <w:t xml:space="preserve"> </w:t>
      </w:r>
      <w:r>
        <w:t xml:space="preserve">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and to our knowledge the first</w:t>
      </w:r>
      <w:r>
        <w:t xml:space="preserve"> </w:t>
      </w:r>
      <w:r>
        <w:t xml:space="preserve">measurement of image-atlasing byte savings resolved by codec and tile size at matched</w:t>
      </w:r>
      <w:r>
        <w:t xml:space="preserve"> </w:t>
      </w:r>
      <w:r>
        <w:t xml:space="preserve">perceptual quality (the one prior peer-reviewed sprite study [33] optimized PNG packing</w:t>
      </w:r>
      <w:r>
        <w:t xml:space="preserve"> </w:t>
      </w:r>
      <w:r>
        <w:t xml:space="preserve">geometry and held the codec fixed); (ii) a supporting network study of 2,515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and (v) an open-source</w:t>
      </w:r>
      <w:r>
        <w:t xml:space="preserve"> </w:t>
      </w:r>
      <w:r>
        <w:t xml:space="preserve">construction heuristic that emits deployable 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(Section 5.6)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sweep crosses these with N ∈ {50, 200, 500}, both asset</w:t>
      </w:r>
      <w:r>
        <w:t xml:space="preserve"> </w:t>
      </w:r>
      <w:r>
        <w:t xml:space="preserve">classes as WebP q80, three protocols, and four network profiles. Within each</w:t>
      </w:r>
      <w:r>
        <w:t xml:space="preserve"> </w:t>
      </w:r>
      <w:r>
        <w:t xml:space="preserve">profile the load order is randomized across conditions, protocols, and repetitions, and</w:t>
      </w:r>
      <w:r>
        <w:t xml:space="preserve"> </w:t>
      </w:r>
      <w:r>
        <w:t xml:space="preserve">the first repetition of each cell is discarded as a warm-up, leaving 11 measured loads</w:t>
      </w:r>
      <w:r>
        <w:t xml:space="preserve"> </w:t>
      </w:r>
      <w:r>
        <w:t xml:space="preserve">per cell.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4"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s68chqtx/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headline is best read as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confirm where WebP wins on realistic content. Product-catalog</w:t>
      </w:r>
      <w:r>
        <w:t xml:space="preserve"> </w:t>
      </w:r>
      <w:r>
        <w:t xml:space="preserve">thumbnails, which sit on white backgrounds, bundle far better than the generic</w:t>
      </w:r>
      <w:r>
        <w:t xml:space="preserve"> </w:t>
      </w:r>
      <w:r>
        <w:t xml:space="preserve">full-frame photos of Section 5.1: at equal WebP quality (per-tile SSIM matched within</w:t>
      </w:r>
      <w:r>
        <w:t xml:space="preserve"> </w:t>
      </w:r>
      <w:r>
        <w:t xml:space="preserve">0.006) a 100-thumbnail atlas saves 17.8% at 48 px, 14.0% at 64 px, and still</w:t>
      </w:r>
      <w:r>
        <w:t xml:space="preserve"> </w:t>
      </w:r>
      <w:r>
        <w:t xml:space="preserve">6.7% at 112 px, all positive, because the homogeneous white field nearly removes</w:t>
      </w:r>
      <w:r>
        <w:t xml:space="preserve"> </w:t>
      </w:r>
      <w:r>
        <w:t xml:space="preserve">the shared-segment penalty that drives generic photos negative.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reliable</w:t>
      </w:r>
      <w:r>
        <w:t xml:space="preserve"> </w:t>
      </w:r>
      <w:r>
        <w:t xml:space="preserve">measurement.</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 how the byte savings translate to load time on a single-testbed browser study; it is supporting evidence for the deployment guidance, not a protocol-measurement contribution, and its absolute timings are environment-dependent.</w:t>
      </w:r>
    </w:p>
    <w:p>
      <w:pPr>
        <w:pStyle w:val="TableCaption"/>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s68chqtx/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s68chqtx/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1.5–2.8x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while its transport</w:t>
      </w:r>
      <w:r>
        <w:t xml:space="preserve"> </w:t>
      </w:r>
      <w:r>
        <w:t xml:space="preserve">parameters advertise a 100-stream limit (</w:t>
      </w:r>
      <w:r>
        <w:rPr>
          <w:rStyle w:val="VerbatimChar"/>
        </w:rPr>
        <w:t xml:space="preserve">initial_max_streams_bidi</w:t>
      </w:r>
      <w:r>
        <w:t xml:space="preserve">) that is</w:t>
      </w:r>
      <w:r>
        <w:t xml:space="preserve"> </w:t>
      </w:r>
      <w:r>
        <w:t xml:space="preserve">never approached. The constraint is thus not a QUIC stream-limit or flow-control effect;</w:t>
      </w:r>
      <w:r>
        <w:t xml:space="preserve"> </w:t>
      </w:r>
      <w:r>
        <w:t xml:space="preserve">the server permits 100 concurrent streams. It sits in the client's QUIC request scheduler</w:t>
      </w:r>
      <w:r>
        <w:t xml:space="preserve"> </w:t>
      </w:r>
      <w:r>
        <w:t xml:space="preserve">(Chromium's), a property of the deployment, not of HTTP/3 itself, which multiplexes</w:t>
      </w:r>
      <w:r>
        <w:t xml:space="preserve"> </w:t>
      </w:r>
      <w:r>
        <w:t xml:space="preserve">independent streams over one connection. A default HTTP/3 client can therefore under-multiplex a</w:t>
      </w:r>
      <w:r>
        <w:t xml:space="preserve"> </w:t>
      </w:r>
      <w:r>
        <w:t xml:space="preserve">many-small-image page relative to HTTP/2, which makes bundling valuable there.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Start w:id="53" w:name="X6fbcdda3f7a958bac6351d26c2785fe4aca8b32"/>
    <w:p>
      <w:pPr>
        <w:pStyle w:val="Heading3"/>
      </w:pPr>
      <w:r>
        <w:t xml:space="preserve">5.6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7).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15 ms at every N, whereas individual files</w:t>
      </w:r>
      <w:r>
        <w:t xml:space="preserve"> </w:t>
      </w:r>
      <w:r>
        <w:t xml:space="preserve">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7.</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7.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53"/>
    <w:bookmarkEnd w:id="54"/>
    <w:bookmarkStart w:id="65" w:name="discussion"/>
    <w:p>
      <w:pPr>
        <w:pStyle w:val="Heading2"/>
      </w:pPr>
      <w:r>
        <w:t xml:space="preserve">6  Discussion</w:t>
      </w:r>
    </w:p>
    <w:bookmarkStart w:id="55"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(47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 a</w:t>
      </w:r>
      <w:r>
        <w:t xml:space="preserve"> </w:t>
      </w:r>
      <w:r>
        <w:t xml:space="preserve">predictive model accurate across codecs will need codec-specific structure (the</w:t>
      </w:r>
      <w:r>
        <w:t xml:space="preserve"> </w:t>
      </w:r>
      <w:r>
        <w:t xml:space="preserve">four-segment allocation for VP8, the per-scanline filter for PNG), which we leave to</w:t>
      </w:r>
      <w:r>
        <w:t xml:space="preserve"> </w:t>
      </w:r>
      <w:r>
        <w:t xml:space="preserve">future work. The practical takeaway stands without the full model: measure the two</w:t>
      </w:r>
      <w:r>
        <w:t xml:space="preserve"> </w:t>
      </w:r>
      <w:r>
        <w:t xml:space="preserve">candidate representations for a group and keep the smaller, which is what the heuristic</w:t>
      </w:r>
      <w:r>
        <w:t xml:space="preserve"> </w:t>
      </w:r>
      <w:r>
        <w:t xml:space="preserve">of Section 6.3 does and why it reaches the oracle out-of-sample.</w:t>
      </w:r>
    </w:p>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5"/>
    <w:bookmarkStart w:id="59"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7" name="Picture"/>
            <a:graphic>
              <a:graphicData uri="http://schemas.openxmlformats.org/drawingml/2006/picture">
                <pic:pic>
                  <pic:nvPicPr>
                    <pic:cNvPr descr="file:///E:/tmp/tmps68chqtx/svg3.png" id="58" name="Picture"/>
                    <pic:cNvPicPr>
                      <a:picLocks noChangeArrowheads="1" noChangeAspect="1"/>
                    </pic:cNvPicPr>
                  </pic:nvPicPr>
                  <pic:blipFill>
                    <a:blip r:embed="rId5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9"/>
    <w:bookmarkStart w:id="63" w:name="a-calibrated-construction-heuristic"/>
    <w:p>
      <w:pPr>
        <w:pStyle w:val="Heading3"/>
      </w:pPr>
      <w:r>
        <w:t xml:space="preserve">6.3  A calibrated construction heuristic</w:t>
      </w:r>
    </w:p>
    <w:p>
      <w:pPr>
        <w:pStyle w:val="FirstParagraph"/>
      </w:pPr>
      <w:r>
        <w:t xml:space="preserve">The cost above is not minimized by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routes each</w:t>
      </w:r>
      <w:r>
        <w:t xml:space="preserve"> </w:t>
      </w:r>
      <w:r>
        <w:t xml:space="preserve">group to a pixel atlas (small lossy tiles), a byte-bundle (large or lossless tiles), or</w:t>
      </w:r>
      <w:r>
        <w:t xml:space="preserve"> </w:t>
      </w:r>
      <w:r>
        <w:t xml:space="preserve">individual files (tiny groups); and chunks each bundle (Figure 5). It emits the atlas</w:t>
      </w:r>
      <w:r>
        <w:t xml:space="preserve"> </w:t>
      </w:r>
      <w:r>
        <w:t xml:space="preserve">and bundle files, a CSS coordinate map, a loader snippet, and a per-group savings report.</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(or into four pixel-atlas chunks at 19% fewer bytes when the tiles are</w:t>
      </w:r>
      <w:r>
        <w:t xml:space="preserve"> </w:t>
      </w:r>
      <w:r>
        <w:t xml:space="preserve">declared lossy-encodable), and 521 photographic thumbnails, 119 of them exact repeats,</w:t>
      </w:r>
      <w:r>
        <w:t xml:space="preserve"> </w:t>
      </w:r>
      <w:r>
        <w:t xml:space="preserve">into four self-describing byte-bundle chunks at 21% fewer bytes, with 521 requests</w:t>
      </w:r>
      <w:r>
        <w:t xml:space="preserve"> </w:t>
      </w:r>
      <w:r>
        <w:t xml:space="preserve">becoming four in both cases. An accounting check confirms the emitted bytes and request</w:t>
      </w:r>
      <w:r>
        <w:t xml:space="preserve"> </w:t>
      </w:r>
      <w:r>
        <w:t xml:space="preserve">count equal what the tool reports.</w:t>
      </w:r>
    </w:p>
    <w:p>
      <w:pPr>
        <w:pStyle w:val="CaptionedFigure"/>
      </w:pPr>
      <w:r>
        <w:drawing>
          <wp:inline>
            <wp:extent cx="5334000" cy="4644683"/>
            <wp:effectExtent b="0" l="0" r="0" t="0"/>
            <wp:docPr descr="" title="" id="61" name="Picture"/>
            <a:graphic>
              <a:graphicData uri="http://schemas.openxmlformats.org/drawingml/2006/picture">
                <pic:pic>
                  <pic:nvPicPr>
                    <pic:cNvPr descr="file:///E:/tmp/tmps68chqtx/svg4.png" id="62" name="Picture"/>
                    <pic:cNvPicPr>
                      <a:picLocks noChangeArrowheads="1" noChangeAspect="1"/>
                    </pic:cNvPicPr>
                  </pic:nvPicPr>
                  <pic:blipFill>
                    <a:blip r:embed="rId60"/>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with a measured tiebreak for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8.</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8).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including the two content types, generated avatars and a second</w:t>
      </w:r>
      <w:r>
        <w:t xml:space="preserve"> </w:t>
      </w:r>
      <w:r>
        <w:t xml:space="preserve">emoji vendor, that most differ from the calibration sets. This is the property that</w:t>
      </w:r>
      <w:r>
        <w:t xml:space="preserve"> </w:t>
      </w:r>
      <w:r>
        <w:t xml:space="preserve">matters for a deployable tool: on collections it was not built from, it does not merely</w:t>
      </w:r>
      <w:r>
        <w:t xml:space="preserve"> </w:t>
      </w:r>
      <w:r>
        <w:t xml:space="preserve">save bytes, it chooses at or near the best available configuration.</w:t>
      </w:r>
    </w:p>
    <w:p>
      <w:pPr>
        <w:pStyle w:val="BodyText"/>
      </w:pPr>
      <w:r>
        <w:t xml:space="preserve">The value is in choosing, not in any single layout. Table 8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8.</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8.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bookmarkEnd w:id="63"/>
    <w:bookmarkStart w:id="64" w:name="limitations"/>
    <w:p>
      <w:pPr>
        <w:pStyle w:val="Heading3"/>
      </w:pPr>
      <w:r>
        <w:t xml:space="preserve">6.4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7),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5.5); testing its generality across a second QUIC implementation and native</w:t>
      </w:r>
      <w:r>
        <w:t xml:space="preserve"> </w:t>
      </w:r>
      <w:r>
        <w:t xml:space="preserve">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6.3);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7)</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64"/>
    <w:bookmarkEnd w:id="65"/>
    <w:bookmarkStart w:id="66"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(1.5–2.8x for photographic</w:t>
      </w:r>
      <w:r>
        <w:t xml:space="preserve"> </w:t>
      </w:r>
      <w:r>
        <w:t xml:space="preserve">thumbnails) and is chiefly a byte optimization on HTTP/2; the comparable HTTP/3 gain</w:t>
      </w:r>
      <w:r>
        <w:t xml:space="preserve"> </w:t>
      </w:r>
      <w:r>
        <w:t xml:space="preserve">reflects a client-side request-concurrency limit specific to the tested stack</w:t>
      </w:r>
      <w:r>
        <w:t xml:space="preserve"> </w:t>
      </w:r>
      <w:r>
        <w:t xml:space="preserve">(Section 5.5), not a 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6"/>
    <w:bookmarkStart w:id="67"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 · 2026</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2026-08-30T05:54:00Z</dcterms:created>
  <dcterms:modified xsi:type="dcterms:W3CDTF">2026-08-30T05:54:00Z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