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6.png" ContentType="image/png"/>
  <Override PartName="/word/media/rId49.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69" w:name="X9cf113a1a2a0b59ef6672b168235b98a19f7f3e"/>
    <w:p>
      <w:pPr>
        <w:pStyle w:val="Heading1"/>
      </w:pPr>
      <w:r>
        <w:t xml:space="preserve">Image Bundling Revisited: Atlasing Small Web Images under Modern Codecs and</w:t>
      </w:r>
      <w:r>
        <w:t xml:space="preserve"> </w:t>
      </w:r>
      <w:r>
        <w:t xml:space="preserve">Protocols</w:t>
      </w:r>
    </w:p>
    <w:p>
      <w:pPr>
        <w:pStyle w:val="FirstParagraph"/>
      </w:pPr>
      <w:r>
        <w:t xml:space="preserve">Alexander Apartsin</w:t>
      </w:r>
      <w:r>
        <w:rPr>
          <w:vertAlign w:val="superscript"/>
        </w:rPr>
        <w:t xml:space="preserve">1</w:t>
      </w:r>
      <w:r>
        <w:t xml:space="preserve">, Yehudit Aperstein</w:t>
      </w:r>
      <w:r>
        <w:rPr>
          <w:vertAlign w:val="superscript"/>
        </w:rPr>
        <w:t xml:space="preserve">2</w:t>
      </w:r>
    </w:p>
    <w:p>
      <w:pPr>
        <w:pStyle w:val="BodyText"/>
      </w:pPr>
      <w:r>
        <w:rPr>
          <w:vertAlign w:val="superscript"/>
        </w:rPr>
        <w:t xml:space="preserve">1</w:t>
      </w:r>
      <w:r>
        <w:t xml:space="preserve">School of Computer Science, Faculty of Sciences, Holon</w:t>
      </w:r>
      <w:r>
        <w:t xml:space="preserve"> </w:t>
      </w:r>
      <w:r>
        <w:t xml:space="preserve">Institute of Technology (HIT), Holon, Israel</w:t>
      </w:r>
      <w:r>
        <w:br/>
      </w:r>
      <w:r>
        <w:rPr>
          <w:vertAlign w:val="superscript"/>
        </w:rPr>
        <w:t xml:space="preserve">2</w:t>
      </w:r>
      <w:r>
        <w:t xml:space="preserve">Intelligent Systems, Afeka</w:t>
      </w:r>
      <w:r>
        <w:t xml:space="preserve"> </w:t>
      </w:r>
      <w:r>
        <w:t xml:space="preserve">Academic College of Engineering, Tel-Aviv, Israel</w:t>
      </w:r>
    </w:p>
    <w:p>
      <w:pPr>
        <w:pStyle w:val="BodyText"/>
      </w:pPr>
      <w:r>
        <w:t xml:space="preserve">Technical Report · 2026</w:t>
      </w:r>
    </w:p>
    <w:p>
      <w:pPr>
        <w:pStyle w:val="BodyText"/>
      </w:pPr>
      <w:r>
        <w:t xml:space="preserve">Abstract</w:t>
      </w:r>
    </w:p>
    <w:p>
      <w:pPr>
        <w:pStyle w:val="BodyText"/>
      </w:pPr>
      <w:r>
        <w:t xml:space="preserve">Web pages load tens to hundreds of small images, and the median mobile page carries</w:t>
      </w:r>
      <w:r>
        <w:t xml:space="preserve"> </w:t>
      </w:r>
      <w:r>
        <w:t xml:space="preserve">13. Serving each one separately pays per-request overhead plus two byte costs that HTTP/2</w:t>
      </w:r>
      <w:r>
        <w:t xml:space="preserve"> </w:t>
      </w:r>
      <w:r>
        <w:t xml:space="preserve">multiplexing does not remove: a fixed per-file structural cost (roughly 600 bytes for a</w:t>
      </w:r>
      <w:r>
        <w:t xml:space="preserve"> </w:t>
      </w:r>
      <w:r>
        <w:t xml:space="preserve">JPEG) and the loss of cross-image redundancy. We measure how much of these costs bundling</w:t>
      </w:r>
      <w:r>
        <w:t xml:space="preserve"> </w:t>
      </w:r>
      <w:r>
        <w:t xml:space="preserve">many images into one atlas recovers, for the three codecs that carry most web images and</w:t>
      </w:r>
      <w:r>
        <w:t xml:space="preserve"> </w:t>
      </w:r>
      <w:r>
        <w:t xml:space="preserve">decode in every browser: JPEG, PNG, and WebP.</w:t>
      </w:r>
    </w:p>
    <w:p>
      <w:pPr>
        <w:pStyle w:val="BodyText"/>
      </w:pPr>
      <w:r>
        <w:t xml:space="preserve">At matched per-tile quality, atlasing small tiles saves up to 30% of bytes under JPEG</w:t>
      </w:r>
      <w:r>
        <w:t xml:space="preserve"> </w:t>
      </w:r>
      <w:r>
        <w:t xml:space="preserve">and up to 19% under WebP, independent of protocol. The saving is set by the ratio of</w:t>
      </w:r>
      <w:r>
        <w:t xml:space="preserve"> </w:t>
      </w:r>
      <w:r>
        <w:t xml:space="preserve">per-file overhead to content size, so it falls as tiles grow: for photographs it drops</w:t>
      </w:r>
      <w:r>
        <w:t xml:space="preserve"> </w:t>
      </w:r>
      <w:r>
        <w:t xml:space="preserve">from about 30% at 56 pixels to a few percent at 224 pixels, where WebP turns</w:t>
      </w:r>
      <w:r>
        <w:t xml:space="preserve"> </w:t>
      </w:r>
      <w:r>
        <w:t xml:space="preserve">clearly negative. The sign is codec-specific: AVIF, like JPEG, stays positive at every</w:t>
      </w:r>
      <w:r>
        <w:t xml:space="preserve"> </w:t>
      </w:r>
      <w:r>
        <w:t xml:space="preserve">size, so WebP's shared quantizer, not atlasing itself, drives the reversal, and the</w:t>
      </w:r>
      <w:r>
        <w:t xml:space="preserve"> </w:t>
      </w:r>
      <w:r>
        <w:t xml:space="preserve">pattern holds across four independent photo populations. Lossless formats lose under a</w:t>
      </w:r>
      <w:r>
        <w:t xml:space="preserve"> </w:t>
      </w:r>
      <w:r>
        <w:t xml:space="preserve">naive grid but win 40–97% under</w:t>
      </w:r>
      <w:r>
        <w:t xml:space="preserve"> </w:t>
      </w:r>
      <w:r>
        <w:t xml:space="preserve">codec-aware packing (vertical strips, shared palettes), so the question is how to pack,</w:t>
      </w:r>
      <w:r>
        <w:t xml:space="preserve"> </w:t>
      </w:r>
      <w:r>
        <w:t xml:space="preserve">not whether. We distil the measurements into a coupling account (savings come from</w:t>
      </w:r>
      <w:r>
        <w:t xml:space="preserve"> </w:t>
      </w:r>
      <w:r>
        <w:t xml:space="preserve">sharing fixed costs; losses from sharing adaptive state) and into an open-source tool</w:t>
      </w:r>
      <w:r>
        <w:t xml:space="preserve"> </w:t>
      </w:r>
      <w:r>
        <w:t xml:space="preserve">that turns a directory of images into deployable bundles and matches an offline oracle on</w:t>
      </w:r>
      <w:r>
        <w:t xml:space="preserve"> </w:t>
      </w:r>
      <w:r>
        <w:t xml:space="preserve">five unseen collections. The byte effect resists prediction from cheap source-image</w:t>
      </w:r>
      <w:r>
        <w:t xml:space="preserve"> </w:t>
      </w:r>
      <w:r>
        <w:t xml:space="preserve">features, so the tool measures the candidate representations rather than modelling them;</w:t>
      </w:r>
      <w:r>
        <w:t xml:space="preserve"> </w:t>
      </w:r>
      <w:r>
        <w:t xml:space="preserve">we also find that a probe encode of just ten to twenty tiles forecasts a group's saving to</w:t>
      </w:r>
      <w:r>
        <w:t xml:space="preserve"> </w:t>
      </w:r>
      <w:r>
        <w:t xml:space="preserve">within two percentage points where colour, edge, and frequency features cannot. In a live renderer the pixel atlas is also the fastest to full</w:t>
      </w:r>
      <w:r>
        <w:t xml:space="preserve"> </w:t>
      </w:r>
      <w:r>
        <w:t xml:space="preserve">visibility and the lowest in memory, and a supporting browser study shows the byte savings</w:t>
      </w:r>
      <w:r>
        <w:t xml:space="preserve"> </w:t>
      </w:r>
      <w:r>
        <w:t xml:space="preserve">cut load time on HTTP/1.1 and HTTP/3.</w:t>
      </w:r>
    </w:p>
    <w:bookmarkStart w:id="20" w:name="introduction"/>
    <w:p>
      <w:pPr>
        <w:pStyle w:val="Heading2"/>
      </w:pPr>
      <w:r>
        <w:t xml:space="preserve">1  Introduction</w:t>
      </w:r>
    </w:p>
    <w:p>
      <w:pPr>
        <w:pStyle w:val="FirstParagraph"/>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pPr>
      <w:r>
        <w:t xml:space="preserve">The study centers on the popular, universally-supported compressed formats: JPEG, PNG,</w:t>
      </w:r>
      <w:r>
        <w:t xml:space="preserve"> </w:t>
      </w:r>
      <w:r>
        <w:t xml:space="preserve">and WebP together carry over 70% of images served on the web (HTTP Archive 2024: JPEG</w:t>
      </w:r>
      <w:r>
        <w:t xml:space="preserve"> </w:t>
      </w:r>
      <w:r>
        <w:t xml:space="preserve">32.4%, PNG 28.4%, WebP 12.0%), decode in every browser, and are where the practical</w:t>
      </w:r>
      <w:r>
        <w:t xml:space="preserve"> </w:t>
      </w:r>
      <w:r>
        <w:t xml:space="preserve">savings live; AVIF, the leading next-generation codec, is added to the photographic</w:t>
      </w:r>
      <w:r>
        <w:t xml:space="preserve"> </w:t>
      </w:r>
      <w:r>
        <w:t xml:space="preserve">crossover (Section 5.1) so the codec-dependence of the result is visible against a</w:t>
      </w:r>
      <w:r>
        <w:t xml:space="preserve"> </w:t>
      </w:r>
      <w:r>
        <w:t xml:space="preserve">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pPr>
      <w:r>
        <w:rPr>
          <w:b/>
          <w:bCs/>
        </w:rPr>
        <w:t xml:space="preserve">Contributions.</w:t>
      </w:r>
      <w:r>
        <w:t xml:space="preserve"> </w:t>
      </w:r>
      <w:r>
        <w:t xml:space="preserve">This report contributes (i) a matched-quality sweep of</w:t>
      </w:r>
      <w:r>
        <w:t xml:space="preserve"> </w:t>
      </w:r>
      <w:r>
        <w:t xml:space="preserve">image atlasing across the three universally-supported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and to our knowledge the first</w:t>
      </w:r>
      <w:r>
        <w:t xml:space="preserve"> </w:t>
      </w:r>
      <w:r>
        <w:t xml:space="preserve">measurement of image-atlasing byte savings resolved by codec and tile size at matched</w:t>
      </w:r>
      <w:r>
        <w:t xml:space="preserve"> </w:t>
      </w:r>
      <w:r>
        <w:t xml:space="preserve">perceptual quality (the one prior peer-reviewed sprite study [33] optimized PNG packing</w:t>
      </w:r>
      <w:r>
        <w:t xml:space="preserve"> </w:t>
      </w:r>
      <w:r>
        <w:t xml:space="preserve">geometry and held the codec fixed); (ii) a supporting network study of 1,056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is not predicted by six cheap</w:t>
      </w:r>
      <w:r>
        <w:t xml:space="preserve"> </w:t>
      </w:r>
      <w:r>
        <w:t xml:space="preserve">source-image features,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5.5)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(Section 6.2).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 compared for deployment in Table 10</w:t>
      </w:r>
      <w:r>
        <w:t xml:space="preserve"> </w:t>
      </w:r>
      <w:r>
        <w:t xml:space="preserve">(Section 6.4).</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pPr>
      <w:r>
        <w:t xml:space="preserve">A live-renderer measurement (Section 5.6)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reported timing study fixes these at N = 500 tiles (the most</w:t>
      </w:r>
      <w:r>
        <w:t xml:space="preserve"> </w:t>
      </w:r>
      <w:r>
        <w:t xml:space="preserve">demanding count), both asset classes as WebP q80, three protocols, and four network</w:t>
      </w:r>
      <w:r>
        <w:t xml:space="preserve"> </w:t>
      </w:r>
      <w:r>
        <w:t xml:space="preserve">profiles, giving 96 cells. Within each profile the load order is randomized across</w:t>
      </w:r>
      <w:r>
        <w:t xml:space="preserve"> </w:t>
      </w:r>
      <w:r>
        <w:t xml:space="preserve">conditions, protocols, and repetitions, and the first repetition of each cell is discarded</w:t>
      </w:r>
      <w:r>
        <w:t xml:space="preserve"> </w:t>
      </w:r>
      <w:r>
        <w:t xml:space="preserve">as a warm-up, leaving 11 measured loads per cell (1,056 in all).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54"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TableCaption"/>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auto" w:w="0"/>
        <w:tblLook w:firstRow="1" w:lastRow="0" w:firstColumn="0" w:lastColumn="0" w:noHBand="0" w:noVBand="0" w:val="0020"/>
        <w:tblCaption w:val="Table 1. 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n/a</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3khm2bmd/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headline is best read as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Section 5.4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TableCaption"/>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Caption w:val="Table 2. 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TableCaption"/>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Caption w:val="Table 3. 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p>
      <w:pPr>
        <w:pStyle w:val="BodyText"/>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pStyle w:val="TableCaption"/>
      </w:pPr>
      <w:r>
        <w:rPr>
          <w:b/>
          <w:bCs/>
        </w:rPr>
        <w:t xml:space="preserve">Table 4.</w:t>
      </w:r>
      <w:r>
        <w:t xml:space="preserve"> </w:t>
      </w:r>
      <w:r>
        <w:t xml:space="preserve">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tblLayout w:type="fixed"/>
        <w:tblLook w:firstRow="1" w:lastRow="0" w:firstColumn="0" w:lastColumn="0" w:noHBand="0" w:noVBand="0" w:val="0020"/>
        <w:tblCaption w:val="Table 4. 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
      </w:tblPr>
      <w:tblGrid>
        <w:gridCol w:w="1980"/>
        <w:gridCol w:w="1980"/>
        <w:gridCol w:w="1980"/>
        <w:gridCol w:w="1980"/>
      </w:tblGrid>
      <w:tr>
        <w:trPr>
          <w:tblHeader w:val="on"/>
        </w:trPr>
        <w:tc>
          <w:tcPr/>
          <w:p>
            <w:pPr>
              <w:pStyle w:val="Compact"/>
              <w:jc w:val="left"/>
            </w:pPr>
            <w:r>
              <w:t xml:space="preserve">class</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AVIF</w:t>
            </w:r>
          </w:p>
        </w:tc>
      </w:tr>
      <w:tr>
        <w:tc>
          <w:tcPr/>
          <w:p>
            <w:pPr>
              <w:pStyle w:val="Compact"/>
              <w:jc w:val="left"/>
            </w:pPr>
            <w:r>
              <w:t xml:space="preserve">photos 56px</w:t>
            </w:r>
          </w:p>
        </w:tc>
        <w:tc>
          <w:tcPr/>
          <w:p>
            <w:pPr>
              <w:pStyle w:val="Compact"/>
              <w:jc w:val="left"/>
            </w:pPr>
            <w:r>
              <w:t xml:space="preserve">+26.3</w:t>
            </w:r>
            <w:r>
              <w:br/>
            </w:r>
            <w:r>
              <w:t xml:space="preserve">[+25,+27]</w:t>
            </w:r>
          </w:p>
        </w:tc>
        <w:tc>
          <w:tcPr/>
          <w:p>
            <w:pPr>
              <w:pStyle w:val="Compact"/>
              <w:jc w:val="left"/>
            </w:pPr>
            <w:r>
              <w:t xml:space="preserve">+19.2</w:t>
            </w:r>
            <w:r>
              <w:br/>
            </w:r>
            <w:r>
              <w:t xml:space="preserve">[+12,+21]</w:t>
            </w:r>
          </w:p>
        </w:tc>
        <w:tc>
          <w:tcPr/>
          <w:p>
            <w:pPr>
              <w:pStyle w:val="Compact"/>
              <w:jc w:val="left"/>
            </w:pPr>
            <w:r>
              <w:t xml:space="preserve">+32.6</w:t>
            </w:r>
            <w:r>
              <w:br/>
            </w:r>
            <w:r>
              <w:t xml:space="preserve">[+31,+35]</w:t>
            </w:r>
          </w:p>
        </w:tc>
      </w:tr>
      <w:tr>
        <w:tc>
          <w:tcPr/>
          <w:p>
            <w:pPr>
              <w:pStyle w:val="Compact"/>
              <w:jc w:val="left"/>
            </w:pPr>
            <w:r>
              <w:t xml:space="preserve">photos 112px</w:t>
            </w:r>
          </w:p>
        </w:tc>
        <w:tc>
          <w:tcPr/>
          <w:p>
            <w:pPr>
              <w:pStyle w:val="Compact"/>
              <w:jc w:val="left"/>
            </w:pPr>
            <w:r>
              <w:t xml:space="preserve">+8.4</w:t>
            </w:r>
            <w:r>
              <w:br/>
            </w:r>
            <w:r>
              <w:t xml:space="preserve">[+8,+9]</w:t>
            </w:r>
          </w:p>
        </w:tc>
        <w:tc>
          <w:tcPr/>
          <w:p>
            <w:pPr>
              <w:pStyle w:val="Compact"/>
              <w:jc w:val="left"/>
            </w:pPr>
            <w:r>
              <w:t xml:space="preserve">+1.6</w:t>
            </w:r>
            <w:r>
              <w:br/>
            </w:r>
            <w:r>
              <w:t xml:space="preserve">[+1,+4]</w:t>
            </w:r>
          </w:p>
        </w:tc>
        <w:tc>
          <w:tcPr/>
          <w:p>
            <w:pPr>
              <w:pStyle w:val="Compact"/>
              <w:jc w:val="left"/>
            </w:pPr>
            <w:r>
              <w:t xml:space="preserve">+12.4</w:t>
            </w:r>
            <w:r>
              <w:br/>
            </w:r>
            <w:r>
              <w:t xml:space="preserve">[+11,+13]</w:t>
            </w:r>
          </w:p>
        </w:tc>
      </w:tr>
      <w:tr>
        <w:tc>
          <w:tcPr/>
          <w:p>
            <w:pPr>
              <w:pStyle w:val="Compact"/>
              <w:jc w:val="left"/>
            </w:pPr>
            <w:r>
              <w:t xml:space="preserve">photos 224px</w:t>
            </w:r>
          </w:p>
        </w:tc>
        <w:tc>
          <w:tcPr/>
          <w:p>
            <w:pPr>
              <w:pStyle w:val="Compact"/>
              <w:jc w:val="left"/>
            </w:pPr>
            <w:r>
              <w:t xml:space="preserve">+2.3</w:t>
            </w:r>
            <w:r>
              <w:br/>
            </w:r>
            <w:r>
              <w:t xml:space="preserve">[+2,+3]</w:t>
            </w:r>
          </w:p>
        </w:tc>
        <w:tc>
          <w:tcPr/>
          <w:p>
            <w:pPr>
              <w:pStyle w:val="Compact"/>
              <w:jc w:val="left"/>
            </w:pPr>
            <w:r>
              <w:t xml:space="preserve">-7.0</w:t>
            </w:r>
            <w:r>
              <w:br/>
            </w:r>
            <w:r>
              <w:t xml:space="preserve">[-8,-5]</w:t>
            </w:r>
          </w:p>
        </w:tc>
        <w:tc>
          <w:tcPr/>
          <w:p>
            <w:pPr>
              <w:pStyle w:val="Compact"/>
              <w:jc w:val="left"/>
            </w:pPr>
            <w:r>
              <w:t xml:space="preserve">+5.1</w:t>
            </w:r>
            <w:r>
              <w:br/>
            </w:r>
            <w:r>
              <w:t xml:space="preserve">[+4,+5]</w:t>
            </w:r>
          </w:p>
        </w:tc>
      </w:tr>
    </w:tbl>
    <w:bookmarkEnd w:id="42"/>
    <w:bookmarkStart w:id="43" w:name="ordering-duplicates-and-layout"/>
    <w:p>
      <w:pPr>
        <w:pStyle w:val="Heading3"/>
      </w:pPr>
      <w:r>
        <w:t xml:space="preserve">5.2  Ordering, duplicates, and layout</w:t>
      </w:r>
    </w:p>
    <w:p>
      <w:pPr>
        <w:pStyle w:val="FirstParagraph"/>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TableCaption"/>
      </w:pPr>
      <w:r>
        <w:rPr>
          <w:b/>
          <w:bCs/>
        </w:rPr>
        <w:t xml:space="preserve">Table 5.</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auto" w:w="0"/>
        <w:tblLook w:firstRow="1" w:lastRow="0" w:firstColumn="0" w:lastColumn="0" w:noHBand="0" w:noVBand="0" w:val="0020"/>
        <w:tblCaption w:val="Table 5. 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show where bundling wins on realistic content. Product-catalog</w:t>
      </w:r>
      <w:r>
        <w:t xml:space="preserve"> </w:t>
      </w:r>
      <w:r>
        <w:t xml:space="preserve">thumbnails, which sit on white backgrounds, bundle well under JPEG: a 100-thumbnail atlas</w:t>
      </w:r>
      <w:r>
        <w:t xml:space="preserve"> </w:t>
      </w:r>
      <w:r>
        <w:t xml:space="preserve">saves 13–40% of bytes across 48–112 px, more than the generic full-frame</w:t>
      </w:r>
      <w:r>
        <w:t xml:space="preserve"> </w:t>
      </w:r>
      <w:r>
        <w:t xml:space="preserve">photos of Section 5.1, because the homogeneous white field enlarges the fixed-cost</w:t>
      </w:r>
      <w:r>
        <w:t xml:space="preserve"> </w:t>
      </w:r>
      <w:r>
        <w:t xml:space="preserve">share. Under WebP the equal-quality outcome is noisy and not uniformly positive (from +24%</w:t>
      </w:r>
      <w:r>
        <w:t xml:space="preserve"> </w:t>
      </w:r>
      <w:r>
        <w:t xml:space="preserve">at 48 px to −9% at 64 px), because the atlas and individual arms reach</w:t>
      </w:r>
      <w:r>
        <w:t xml:space="preserve"> </w:t>
      </w:r>
      <w:r>
        <w:t xml:space="preserve">nearly identical per-tile quality here, so the byte comparison is dominated by small</w:t>
      </w:r>
      <w:r>
        <w:t xml:space="preserve"> </w:t>
      </w:r>
      <w:r>
        <w:t xml:space="preserve">encoder fluctuations rather than a stable saving.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appropriate</w:t>
      </w:r>
      <w:r>
        <w:t xml:space="preserve"> </w:t>
      </w:r>
      <w:r>
        <w:t xml:space="preserve">measure, though for such near-ties it too varies with small encoder fluctuations.</w:t>
      </w:r>
    </w:p>
    <w:bookmarkEnd w:id="44"/>
    <w:bookmarkStart w:id="45" w:name="encoder-parameters"/>
    <w:p>
      <w:pPr>
        <w:pStyle w:val="Heading3"/>
      </w:pPr>
      <w:r>
        <w:t xml:space="preserve">5.4  Encoder parameters</w:t>
      </w:r>
    </w:p>
    <w:p>
      <w:pPr>
        <w:pStyle w:val="FirstParagraph"/>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45"/>
    <w:bookmarkStart w:id="52" w:name="supporting-measurements-network-timing"/>
    <w:p>
      <w:pPr>
        <w:pStyle w:val="Heading3"/>
      </w:pPr>
      <w:r>
        <w:t xml:space="preserve">5.5  Supporting measurements: network timing</w:t>
      </w:r>
    </w:p>
    <w:p>
      <w:pPr>
        <w:pStyle w:val="FirstParagraph"/>
      </w:pPr>
      <w:r>
        <w:t xml:space="preserve">The byte and construction results above are protocol-independent. This section reports how the byte savings translate to load time on a single-testbed browser study; it is supporting evidence for the deployment guidance, not a protocol-measurement contribution, and its absolute timings are environment-dependent.</w:t>
      </w:r>
    </w:p>
    <w:p>
      <w:pPr>
        <w:pStyle w:val="TableCaption"/>
      </w:pPr>
      <w:r>
        <w:rPr>
          <w:b/>
          <w:bCs/>
        </w:rPr>
        <w:t xml:space="preserve">Table 6.</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Caption w:val="Table 6. 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47" name="Picture"/>
                  <a:graphic>
                    <a:graphicData uri="http://schemas.openxmlformats.org/drawingml/2006/picture">
                      <pic:pic>
                        <pic:nvPicPr>
                          <pic:cNvPr descr="file:///E:/tmp/tmp3khm2bmd/svg1.png" id="48" name="Picture"/>
                          <pic:cNvPicPr>
                            <a:picLocks noChangeArrowheads="1" noChangeAspect="1"/>
                          </pic:cNvPicPr>
                        </pic:nvPicPr>
                        <pic:blipFill>
                          <a:blip r:embed="rId46"/>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50" name="Picture"/>
                  <a:graphic>
                    <a:graphicData uri="http://schemas.openxmlformats.org/drawingml/2006/picture">
                      <pic:pic>
                        <pic:nvPicPr>
                          <pic:cNvPr descr="file:///E:/tmp/tmp3khm2bmd/svg2.png" id="51" name="Picture"/>
                          <pic:cNvPicPr>
                            <a:picLocks noChangeArrowheads="1" noChangeAspect="1"/>
                          </pic:cNvPicPr>
                        </pic:nvPicPr>
                        <pic:blipFill>
                          <a:blip r:embed="rId49"/>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6 and Figure 3. First, on</w:t>
      </w:r>
      <w:r>
        <w:t xml:space="preserve"> </w:t>
      </w:r>
      <w:r>
        <w:t xml:space="preserve">HTTP/1.1 and HTTP/3, bundling remains a large timing win for flat art: 4.5–8.6x and</w:t>
      </w:r>
      <w:r>
        <w:t xml:space="preserve"> </w:t>
      </w:r>
      <w:r>
        <w:t xml:space="preserve">4.8–7.7x respectively for 500 tiles across the network profiles, and 1.6–2.8x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6).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on the photographic</w:t>
      </w:r>
      <w:r>
        <w:t xml:space="preserve"> </w:t>
      </w:r>
      <w:r>
        <w:t xml:space="preserve">page, while its transport 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(Section 6.2,</w:t>
      </w:r>
      <w:r>
        <w:t xml:space="preserve"> </w:t>
      </w:r>
      <w:r>
        <w:t xml:space="preserve">Figure 4),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52"/>
    <w:bookmarkStart w:id="53" w:name="X6fbcdda3f7a958bac6351d26c2785fe4aca8b32"/>
    <w:p>
      <w:pPr>
        <w:pStyle w:val="Heading3"/>
      </w:pPr>
      <w:r>
        <w:t xml:space="preserve">5.6  Local rendering cost: decode time and memory</w:t>
      </w:r>
    </w:p>
    <w:p>
      <w:pPr>
        <w:pStyle w:val="FirstParagraph"/>
      </w:pPr>
      <w:r>
        <w:t xml:space="preserve">Transport is only half the client cost; decode and memory are the other half, and they</w:t>
      </w:r>
      <w:r>
        <w:t xml:space="preserve"> </w:t>
      </w:r>
      <w:r>
        <w:t xml:space="preserve">are measured locally with no network shaping so they isolate rendering (Table 7).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under 25 ms at every N (15 ms at 500</w:t>
      </w:r>
      <w:r>
        <w:t xml:space="preserve"> </w:t>
      </w:r>
      <w:r>
        <w:t xml:space="preserve">tiles), whereas individual files 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pStyle w:val="TableCaption"/>
      </w:pPr>
      <w:r>
        <w:rPr>
          <w:b/>
          <w:bCs/>
        </w:rPr>
        <w:t xml:space="preserve">Table 7.</w:t>
      </w:r>
      <w:r>
        <w:t xml:space="preserve"> </w:t>
      </w:r>
      <w:r>
        <w:t xml:space="preserve">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auto" w:w="0"/>
        <w:tblLook w:firstRow="1" w:lastRow="0" w:firstColumn="0" w:lastColumn="0" w:noHBand="0" w:noVBand="0" w:val="0020"/>
        <w:tblCaption w:val="Table 7. 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
      </w:tblPr>
      <w:tblGrid>
        <w:gridCol w:w="1131"/>
        <w:gridCol w:w="1131"/>
        <w:gridCol w:w="1131"/>
        <w:gridCol w:w="1131"/>
        <w:gridCol w:w="1131"/>
        <w:gridCol w:w="1131"/>
        <w:gridCol w:w="1131"/>
      </w:tblGrid>
      <w:tr>
        <w:trPr>
          <w:tblHeader w:val="on"/>
        </w:trPr>
        <w:tc>
          <w:tcPr/>
          <w:p>
            <w:pPr>
              <w:pStyle w:val="Compact"/>
              <w:jc w:val="left"/>
            </w:pPr>
            <w:r>
              <w:t xml:space="preserve">N</w:t>
            </w:r>
          </w:p>
        </w:tc>
        <w:tc>
          <w:tcPr/>
          <w:p>
            <w:pPr>
              <w:pStyle w:val="Compact"/>
              <w:jc w:val="left"/>
            </w:pPr>
            <w:r>
              <w:t xml:space="preserve">ind ms</w:t>
            </w:r>
          </w:p>
        </w:tc>
        <w:tc>
          <w:tcPr/>
          <w:p>
            <w:pPr>
              <w:pStyle w:val="Compact"/>
              <w:jc w:val="left"/>
            </w:pPr>
            <w:r>
              <w:t xml:space="preserve">ind MB</w:t>
            </w:r>
          </w:p>
        </w:tc>
        <w:tc>
          <w:tcPr/>
          <w:p>
            <w:pPr>
              <w:pStyle w:val="Compact"/>
              <w:jc w:val="left"/>
            </w:pPr>
            <w:r>
              <w:t xml:space="preserve">atlas ms</w:t>
            </w:r>
          </w:p>
        </w:tc>
        <w:tc>
          <w:tcPr/>
          <w:p>
            <w:pPr>
              <w:pStyle w:val="Compact"/>
              <w:jc w:val="left"/>
            </w:pPr>
            <w:r>
              <w:t xml:space="preserve">atlas MB</w:t>
            </w:r>
          </w:p>
        </w:tc>
        <w:tc>
          <w:tcPr/>
          <w:p>
            <w:pPr>
              <w:pStyle w:val="Compact"/>
              <w:jc w:val="left"/>
            </w:pPr>
            <w:r>
              <w:t xml:space="preserve">bundle ms</w:t>
            </w:r>
          </w:p>
        </w:tc>
        <w:tc>
          <w:tcPr/>
          <w:p>
            <w:pPr>
              <w:pStyle w:val="Compact"/>
              <w:jc w:val="left"/>
            </w:pPr>
            <w:r>
              <w:t xml:space="preserve">bundle MB</w:t>
            </w:r>
          </w:p>
        </w:tc>
      </w:tr>
      <w:tr>
        <w:tc>
          <w:tcPr/>
          <w:p>
            <w:pPr>
              <w:pStyle w:val="Compact"/>
              <w:jc w:val="left"/>
            </w:pPr>
            <w:r>
              <w:t xml:space="preserve">50</w:t>
            </w:r>
          </w:p>
        </w:tc>
        <w:tc>
          <w:tcPr/>
          <w:p>
            <w:pPr>
              <w:pStyle w:val="Compact"/>
              <w:jc w:val="left"/>
            </w:pPr>
            <w:r>
              <w:t xml:space="preserve">164</w:t>
            </w:r>
          </w:p>
        </w:tc>
        <w:tc>
          <w:tcPr/>
          <w:p>
            <w:pPr>
              <w:pStyle w:val="Compact"/>
              <w:jc w:val="left"/>
            </w:pPr>
            <w:r>
              <w:t xml:space="preserve">89</w:t>
            </w:r>
          </w:p>
        </w:tc>
        <w:tc>
          <w:tcPr/>
          <w:p>
            <w:pPr>
              <w:pStyle w:val="Compact"/>
              <w:jc w:val="left"/>
            </w:pPr>
            <w:r>
              <w:t xml:space="preserve">36</w:t>
            </w:r>
          </w:p>
        </w:tc>
        <w:tc>
          <w:tcPr/>
          <w:p>
            <w:pPr>
              <w:pStyle w:val="Compact"/>
              <w:jc w:val="left"/>
            </w:pPr>
            <w:r>
              <w:t xml:space="preserve">81</w:t>
            </w:r>
          </w:p>
        </w:tc>
        <w:tc>
          <w:tcPr/>
          <w:p>
            <w:pPr>
              <w:pStyle w:val="Compact"/>
              <w:jc w:val="left"/>
            </w:pPr>
            <w:r>
              <w:t xml:space="preserve">44</w:t>
            </w:r>
          </w:p>
        </w:tc>
        <w:tc>
          <w:tcPr/>
          <w:p>
            <w:pPr>
              <w:pStyle w:val="Compact"/>
              <w:jc w:val="left"/>
            </w:pPr>
            <w:r>
              <w:t xml:space="preserve">87</w:t>
            </w:r>
          </w:p>
        </w:tc>
      </w:tr>
      <w:tr>
        <w:tc>
          <w:tcPr/>
          <w:p>
            <w:pPr>
              <w:pStyle w:val="Compact"/>
              <w:jc w:val="left"/>
            </w:pPr>
            <w:r>
              <w:t xml:space="preserve">200</w:t>
            </w:r>
          </w:p>
        </w:tc>
        <w:tc>
          <w:tcPr/>
          <w:p>
            <w:pPr>
              <w:pStyle w:val="Compact"/>
              <w:jc w:val="left"/>
            </w:pPr>
            <w:r>
              <w:t xml:space="preserve">379</w:t>
            </w:r>
          </w:p>
        </w:tc>
        <w:tc>
          <w:tcPr/>
          <w:p>
            <w:pPr>
              <w:pStyle w:val="Compact"/>
              <w:jc w:val="left"/>
            </w:pPr>
            <w:r>
              <w:t xml:space="preserve">127</w:t>
            </w:r>
          </w:p>
        </w:tc>
        <w:tc>
          <w:tcPr/>
          <w:p>
            <w:pPr>
              <w:pStyle w:val="Compact"/>
              <w:jc w:val="left"/>
            </w:pPr>
            <w:r>
              <w:t xml:space="preserve">23</w:t>
            </w:r>
          </w:p>
        </w:tc>
        <w:tc>
          <w:tcPr/>
          <w:p>
            <w:pPr>
              <w:pStyle w:val="Compact"/>
              <w:jc w:val="left"/>
            </w:pPr>
            <w:r>
              <w:t xml:space="preserve">92</w:t>
            </w:r>
          </w:p>
        </w:tc>
        <w:tc>
          <w:tcPr/>
          <w:p>
            <w:pPr>
              <w:pStyle w:val="Compact"/>
              <w:jc w:val="left"/>
            </w:pPr>
            <w:r>
              <w:t xml:space="preserve">139</w:t>
            </w:r>
          </w:p>
        </w:tc>
        <w:tc>
          <w:tcPr/>
          <w:p>
            <w:pPr>
              <w:pStyle w:val="Compact"/>
              <w:jc w:val="left"/>
            </w:pPr>
            <w:r>
              <w:t xml:space="preserve">119</w:t>
            </w:r>
          </w:p>
        </w:tc>
      </w:tr>
      <w:tr>
        <w:tc>
          <w:tcPr/>
          <w:p>
            <w:pPr>
              <w:pStyle w:val="Compact"/>
              <w:jc w:val="left"/>
            </w:pPr>
            <w:r>
              <w:t xml:space="preserve">500</w:t>
            </w:r>
          </w:p>
        </w:tc>
        <w:tc>
          <w:tcPr/>
          <w:p>
            <w:pPr>
              <w:pStyle w:val="Compact"/>
              <w:jc w:val="left"/>
            </w:pPr>
            <w:r>
              <w:t xml:space="preserve">767</w:t>
            </w:r>
          </w:p>
        </w:tc>
        <w:tc>
          <w:tcPr/>
          <w:p>
            <w:pPr>
              <w:pStyle w:val="Compact"/>
              <w:jc w:val="left"/>
            </w:pPr>
            <w:r>
              <w:t xml:space="preserve">129</w:t>
            </w:r>
          </w:p>
        </w:tc>
        <w:tc>
          <w:tcPr/>
          <w:p>
            <w:pPr>
              <w:pStyle w:val="Compact"/>
              <w:jc w:val="left"/>
            </w:pPr>
            <w:r>
              <w:t xml:space="preserve">33</w:t>
            </w:r>
          </w:p>
        </w:tc>
        <w:tc>
          <w:tcPr/>
          <w:p>
            <w:pPr>
              <w:pStyle w:val="Compact"/>
              <w:jc w:val="left"/>
            </w:pPr>
            <w:r>
              <w:t xml:space="preserve">106</w:t>
            </w:r>
          </w:p>
        </w:tc>
        <w:tc>
          <w:tcPr/>
          <w:p>
            <w:pPr>
              <w:pStyle w:val="Compact"/>
              <w:jc w:val="left"/>
            </w:pPr>
            <w:r>
              <w:t xml:space="preserve">313</w:t>
            </w:r>
          </w:p>
        </w:tc>
        <w:tc>
          <w:tcPr/>
          <w:p>
            <w:pPr>
              <w:pStyle w:val="Compact"/>
              <w:jc w:val="left"/>
            </w:pPr>
            <w:r>
              <w:t xml:space="preserve">143</w:t>
            </w:r>
          </w:p>
        </w:tc>
      </w:tr>
    </w:tbl>
    <w:bookmarkEnd w:id="53"/>
    <w:bookmarkEnd w:id="54"/>
    <w:bookmarkStart w:id="66" w:name="discussion"/>
    <w:p>
      <w:pPr>
        <w:pStyle w:val="Heading2"/>
      </w:pPr>
      <w:r>
        <w:t xml:space="preserve">6  Discussion</w:t>
      </w:r>
    </w:p>
    <w:bookmarkStart w:id="55"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(63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colour-histogram entropy, unique</w:t>
      </w:r>
      <w:r>
        <w:t xml:space="preserve"> </w:t>
      </w:r>
      <w:r>
        <w:t xml:space="preserve">colours, inter-tile heterogeneity, and luminance variance). The content-dependence is real and large: holding tile size and codec fixed, the saving</w:t>
      </w:r>
      <w:r>
        <w:t xml:space="preserve"> </w:t>
      </w:r>
      <w:r>
        <w:t xml:space="preserve">still varies by 16 to 41 percentage points across the eight classes (for example</w:t>
      </w:r>
      <w:r>
        <w:t xml:space="preserve"> </w:t>
      </w:r>
      <w:r>
        <w:t xml:space="preserve">−16% to +16% at 224 pixels under WebP), so a size-and-codec rule leaves a wide</w:t>
      </w:r>
      <w:r>
        <w:t xml:space="preserve"> </w:t>
      </w:r>
      <w:r>
        <w:t xml:space="preserve">residual. Yet predicting a held-out class's saving from the six features does not improve</w:t>
      </w:r>
      <w:r>
        <w:t xml:space="preserve"> </w:t>
      </w:r>
      <w:r>
        <w:t xml:space="preserve">on that baseline (Table 8), and it fails even on the isolated codec differential that</w:t>
      </w:r>
      <w:r>
        <w:t xml:space="preserve"> </w:t>
      </w:r>
      <w:r>
        <w:t xml:space="preserve">cancels the fixed-cost term (10.1 against a constant's 7.1 percentage points): the</w:t>
      </w:r>
      <w:r>
        <w:t xml:space="preserve"> </w:t>
      </w:r>
      <w:r>
        <w:t xml:space="preserve">adaptive-state penalty is codec-mechanistic and is not captured by these cheap source</w:t>
      </w:r>
      <w:r>
        <w:t xml:space="preserve"> </w:t>
      </w:r>
      <w:r>
        <w:t xml:space="preserve">features. What does recover it is a measurement, not a</w:t>
      </w:r>
      <w:r>
        <w:t xml:space="preserve"> </w:t>
      </w:r>
      <w:r>
        <w:t xml:space="preserve">model: a probe encode of only 10–20 tiles estimates the full-set saving to within</w:t>
      </w:r>
      <w:r>
        <w:t xml:space="preserve"> </w:t>
      </w:r>
      <w:r>
        <w:t xml:space="preserve">about two percentage points, and tracks the content ordering that the baseline misses</w:t>
      </w:r>
      <w:r>
        <w:t xml:space="preserve"> </w:t>
      </w:r>
      <w:r>
        <w:t xml:space="preserve">(within-cell rank correlation 0.86 to 1.00). The probe holds as the group grows, which is</w:t>
      </w:r>
      <w:r>
        <w:t xml:space="preserve"> </w:t>
      </w:r>
      <w:r>
        <w:t xml:space="preserve">where it earns its keep: a fixed 20-tile probe predicts the saving to a mean absolute error</w:t>
      </w:r>
      <w:r>
        <w:t xml:space="preserve"> </w:t>
      </w:r>
      <w:r>
        <w:t xml:space="preserve">of about two points at every group size from 50 to 500 tiles, and orders the tested</w:t>
      </w:r>
      <w:r>
        <w:t xml:space="preserve"> </w:t>
      </w:r>
      <w:r>
        <w:t xml:space="preserve">class-codec cells correctly, so on a 500-tile bundle the decision encodes just four</w:t>
      </w:r>
      <w:r>
        <w:t xml:space="preserve"> </w:t>
      </w:r>
      <w:r>
        <w:t xml:space="preserve">percent of the tiles through the same quality ladder. Its only slip is the WebP near-break-even regime, where the</w:t>
      </w:r>
      <w:r>
        <w:t xml:space="preserve"> </w:t>
      </w:r>
      <w:r>
        <w:t xml:space="preserve">shared-quantizer penalty deepens with group size faster than a small probe registers, the</w:t>
      </w:r>
      <w:r>
        <w:t xml:space="preserve"> </w:t>
      </w:r>
      <w:r>
        <w:t xml:space="preserve">one case a practitioner should confirm on the full set.</w:t>
      </w:r>
      <w:r>
        <w:t xml:space="preserve"> </w:t>
      </w:r>
      <w:r>
        <w:t xml:space="preserve">This is the empirical case for the design of Section 6.3: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pStyle w:val="TableCaption"/>
      </w:pPr>
      <w:r>
        <w:rPr>
          <w:b/>
          <w:bCs/>
        </w:rPr>
        <w:t xml:space="preserve">Table 8.</w:t>
      </w:r>
      <w:r>
        <w:t xml:space="preserve"> </w:t>
      </w:r>
      <w:r>
        <w:t xml:space="preserve">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w:t>
      </w:r>
    </w:p>
    <w:tbl>
      <w:tblPr>
        <w:tblStyle w:val="Table"/>
        <w:tblW w:type="auto" w:w="0"/>
        <w:tblLook w:firstRow="1" w:lastRow="0" w:firstColumn="0" w:lastColumn="0" w:noHBand="0" w:noVBand="0" w:val="0020"/>
        <w:tblCaption w:val="Table 8. 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MAE (pp)</w:t>
            </w:r>
          </w:p>
        </w:tc>
        <w:tc>
          <w:tcPr/>
          <w:p>
            <w:pPr>
              <w:pStyle w:val="Compact"/>
              <w:jc w:val="left"/>
            </w:pPr>
            <w:r>
              <w:t xml:space="preserve">rank</w:t>
            </w:r>
          </w:p>
        </w:tc>
      </w:tr>
      <w:tr>
        <w:tc>
          <w:tcPr/>
          <w:p>
            <w:pPr>
              <w:pStyle w:val="Compact"/>
              <w:jc w:val="left"/>
            </w:pPr>
            <w:r>
              <w:t xml:space="preserve">size + codec + one encode (baseline)</w:t>
            </w:r>
          </w:p>
        </w:tc>
        <w:tc>
          <w:tcPr/>
          <w:p>
            <w:pPr>
              <w:pStyle w:val="Compact"/>
              <w:jc w:val="left"/>
            </w:pPr>
            <w:r>
              <w:t xml:space="preserve">4.95</w:t>
            </w:r>
          </w:p>
        </w:tc>
        <w:tc>
          <w:tcPr/>
          <w:p>
            <w:pPr>
              <w:pStyle w:val="Compact"/>
              <w:jc w:val="left"/>
            </w:pPr>
            <w:r>
              <w:t xml:space="preserve">0.86</w:t>
            </w:r>
          </w:p>
        </w:tc>
      </w:tr>
      <w:tr>
        <w:tc>
          <w:tcPr/>
          <w:p>
            <w:pPr>
              <w:pStyle w:val="Compact"/>
              <w:jc w:val="left"/>
            </w:pPr>
            <w:r>
              <w:t xml:space="preserve">+ six source-image features</w:t>
            </w:r>
          </w:p>
        </w:tc>
        <w:tc>
          <w:tcPr/>
          <w:p>
            <w:pPr>
              <w:pStyle w:val="Compact"/>
              <w:jc w:val="left"/>
            </w:pPr>
            <w:r>
              <w:t xml:space="preserve">6.05</w:t>
            </w:r>
          </w:p>
        </w:tc>
        <w:tc>
          <w:tcPr/>
          <w:p>
            <w:pPr>
              <w:pStyle w:val="Compact"/>
              <w:jc w:val="left"/>
            </w:pPr>
            <w:r>
              <w:t xml:space="preserve">0.84</w:t>
            </w:r>
          </w:p>
        </w:tc>
      </w:tr>
      <w:tr>
        <w:tc>
          <w:tcPr/>
          <w:p>
            <w:pPr>
              <w:pStyle w:val="Compact"/>
              <w:jc w:val="left"/>
            </w:pPr>
            <w:r>
              <w:t xml:space="preserve">10-tile probe encode</w:t>
            </w:r>
          </w:p>
        </w:tc>
        <w:tc>
          <w:tcPr/>
          <w:p>
            <w:pPr>
              <w:pStyle w:val="Compact"/>
              <w:jc w:val="left"/>
            </w:pPr>
            <w:r>
              <w:t xml:space="preserve">2.31</w:t>
            </w:r>
          </w:p>
        </w:tc>
        <w:tc>
          <w:tcPr/>
          <w:p>
            <w:pPr>
              <w:pStyle w:val="Compact"/>
              <w:jc w:val="left"/>
            </w:pPr>
            <w:r>
              <w:t xml:space="preserve">0.98</w:t>
            </w:r>
          </w:p>
        </w:tc>
      </w:tr>
      <w:tr>
        <w:tc>
          <w:tcPr/>
          <w:p>
            <w:pPr>
              <w:pStyle w:val="Compact"/>
              <w:jc w:val="left"/>
            </w:pPr>
            <w:r>
              <w:t xml:space="preserve">20-tile probe encode</w:t>
            </w:r>
          </w:p>
        </w:tc>
        <w:tc>
          <w:tcPr/>
          <w:p>
            <w:pPr>
              <w:pStyle w:val="Compact"/>
              <w:jc w:val="left"/>
            </w:pPr>
            <w:r>
              <w:t xml:space="preserve">1.62</w:t>
            </w:r>
          </w:p>
        </w:tc>
        <w:tc>
          <w:tcPr/>
          <w:p>
            <w:pPr>
              <w:pStyle w:val="Compact"/>
              <w:jc w:val="left"/>
            </w:pPr>
            <w:r>
              <w:t xml:space="preserve">0.98</w:t>
            </w:r>
          </w:p>
        </w:tc>
      </w:tr>
    </w:tbl>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55"/>
    <w:bookmarkStart w:id="59" w:name="cache-invalidation-and-delta-updates"/>
    <w:p>
      <w:pPr>
        <w:pStyle w:val="Heading3"/>
      </w:pPr>
      <w:r>
        <w:t xml:space="preserve">6.2  Cache invalidation and delta updates</w:t>
      </w:r>
    </w:p>
    <w:p>
      <w:pPr>
        <w:pStyle w:val="FirstParagraph"/>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pPr>
      <w:r>
        <w:t xml:space="preserve">A warm-cache simulation over a 200-tile WebP collection makes the full trade-off</w:t>
      </w:r>
      <w:r>
        <w:t xml:space="preserve"> </w:t>
      </w:r>
      <w:r>
        <w:t xml:space="preserve">explicit (Figure 4).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CaptionedFigure"/>
      </w:pPr>
      <w:r>
        <w:drawing>
          <wp:inline>
            <wp:extent cx="5334000" cy="3048000"/>
            <wp:effectExtent b="0" l="0" r="0" t="0"/>
            <wp:docPr descr="" title="" id="57" name="Picture"/>
            <a:graphic>
              <a:graphicData uri="http://schemas.openxmlformats.org/drawingml/2006/picture">
                <pic:pic>
                  <pic:nvPicPr>
                    <pic:cNvPr descr="file:///E:/tmp/tmp3khm2bmd/svg3.png" id="58" name="Picture"/>
                    <pic:cNvPicPr>
                      <a:picLocks noChangeArrowheads="1" noChangeAspect="1"/>
                    </pic:cNvPicPr>
                  </pic:nvPicPr>
                  <pic:blipFill>
                    <a:blip r:embed="rId5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59"/>
    <w:bookmarkStart w:id="63" w:name="a-calibrated-construction-heuristic"/>
    <w:p>
      <w:pPr>
        <w:pStyle w:val="Heading3"/>
      </w:pPr>
      <w:r>
        <w:t xml:space="preserve">6.3  A calibrated construction heuristic</w:t>
      </w:r>
    </w:p>
    <w:p>
      <w:pPr>
        <w:pStyle w:val="FirstParagraph"/>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5).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at 21% fewer bytes, with 521 requests becoming four in both cases. An accounting</w:t>
      </w:r>
      <w:r>
        <w:t xml:space="preserve"> </w:t>
      </w:r>
      <w:r>
        <w:t xml:space="preserve">check confirms the emitted bytes and request count equal what the tool reports.</w:t>
      </w:r>
    </w:p>
    <w:p>
      <w:pPr>
        <w:pStyle w:val="CaptionedFigure"/>
      </w:pPr>
      <w:r>
        <w:drawing>
          <wp:inline>
            <wp:extent cx="5334000" cy="4644683"/>
            <wp:effectExtent b="0" l="0" r="0" t="0"/>
            <wp:docPr descr="" title="" id="61" name="Picture"/>
            <a:graphic>
              <a:graphicData uri="http://schemas.openxmlformats.org/drawingml/2006/picture">
                <pic:pic>
                  <pic:nvPicPr>
                    <pic:cNvPr descr="file:///E:/tmp/tmp3khm2bmd/svg4.png" id="62" name="Picture"/>
                    <pic:cNvPicPr>
                      <a:picLocks noChangeArrowheads="1" noChangeAspect="1"/>
                    </pic:cNvPicPr>
                  </pic:nvPicPr>
                  <pic:blipFill>
                    <a:blip r:embed="rId60"/>
                    <a:stretch>
                      <a:fillRect/>
                    </a:stretch>
                  </pic:blipFill>
                  <pic:spPr bwMode="auto">
                    <a:xfrm>
                      <a:off x="0" y="0"/>
                      <a:ext cx="5334000" cy="4644683"/>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9.</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9).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including the two content types, generated avatars and a second</w:t>
      </w:r>
      <w:r>
        <w:t xml:space="preserve"> </w:t>
      </w:r>
      <w:r>
        <w:t xml:space="preserve">emoji vendor, that most differ from the calibration sets. This is the property that</w:t>
      </w:r>
      <w:r>
        <w:t xml:space="preserve"> </w:t>
      </w:r>
      <w:r>
        <w:t xml:space="preserve">matters for a deployable tool: on collections it was not built from, it does not merely</w:t>
      </w:r>
      <w:r>
        <w:t xml:space="preserve"> </w:t>
      </w:r>
      <w:r>
        <w:t xml:space="preserve">save bytes, it chooses at or near the best available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pPr>
      <w:r>
        <w:t xml:space="preserve">The value is in choosing, not in any single layout. Table 9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TableCaption"/>
      </w:pPr>
      <w:r>
        <w:rPr>
          <w:b/>
          <w:bCs/>
        </w:rPr>
        <w:t xml:space="preserve">Table 9.</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Caption w:val="Table 9. 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p>
      <w:pPr>
        <w:pStyle w:val="BodyText"/>
      </w:pPr>
      <w:r>
        <w:t xml:space="preserve">As an end-to-end check we ran the tool on a heterogeneous directory that mimics a real</w:t>
      </w:r>
      <w:r>
        <w:t xml:space="preserve"> </w:t>
      </w:r>
      <w:r>
        <w:t xml:space="preserve">site's image folder: 185 files drawn from four live asset sets (country flags, emoji,</w:t>
      </w:r>
      <w:r>
        <w:t xml:space="preserve"> </w:t>
      </w:r>
      <w:r>
        <w:t xml:space="preserve">generated avatars, and photographs) at their native, mixed dimensions, with duplicates</w:t>
      </w:r>
      <w:r>
        <w:t xml:space="preserve"> </w:t>
      </w:r>
      <w:r>
        <w:t xml:space="preserve">included as real pages carry them. The tool folded 29 exact duplicates, partitioned the</w:t>
      </w:r>
      <w:r>
        <w:t xml:space="preserve"> </w:t>
      </w:r>
      <w:r>
        <w:t xml:space="preserve">rest by dimension and lossless requirement, and chose a different representation for each</w:t>
      </w:r>
      <w:r>
        <w:t xml:space="preserve"> </w:t>
      </w:r>
      <w:r>
        <w:t xml:space="preserve">group without any per-group tuning: a byte-bundle for the 224-pixel photographs,</w:t>
      </w:r>
      <w:r>
        <w:t xml:space="preserve"> </w:t>
      </w:r>
      <w:r>
        <w:t xml:space="preserve">WebP-lossless strips for the uniform 64- and 72-pixel avatar and emoji sets, and strips or</w:t>
      </w:r>
      <w:r>
        <w:t xml:space="preserve"> </w:t>
      </w:r>
      <w:r>
        <w:t xml:space="preserve">individual files for the small odd-aspect-ratio flag groups depending on how many share a</w:t>
      </w:r>
      <w:r>
        <w:t xml:space="preserve"> </w:t>
      </w:r>
      <w:r>
        <w:t xml:space="preserve">size. It cut 185 requests to 25. The byte outcome depends on the baseline: 23.5% smaller</w:t>
      </w:r>
      <w:r>
        <w:t xml:space="preserve"> </w:t>
      </w:r>
      <w:r>
        <w:t xml:space="preserve">than serving every file reference separately, but only 3.3% smaller than a deduplicated</w:t>
      </w:r>
      <w:r>
        <w:t xml:space="preserve"> </w:t>
      </w:r>
      <w:r>
        <w:t xml:space="preserve">individual baseline that already serves each unique image once, because most of the first</w:t>
      </w:r>
      <w:r>
        <w:t xml:space="preserve"> </w:t>
      </w:r>
      <w:r>
        <w:t xml:space="preserve">figure is duplicate folding that content-addressed URLs also achieve. The residual 3.3%</w:t>
      </w:r>
      <w:r>
        <w:t xml:space="preserve"> </w:t>
      </w:r>
      <w:r>
        <w:t xml:space="preserve">over dedup is the genuine bundling gain, and it splits exactly as the study predicts: the</w:t>
      </w:r>
      <w:r>
        <w:t xml:space="preserve"> </w:t>
      </w:r>
      <w:r>
        <w:t xml:space="preserve">flat-art strips save up to 11% of bytes while the photographic byte-bundle is</w:t>
      </w:r>
      <w:r>
        <w:t xml:space="preserve"> </w:t>
      </w:r>
      <w:r>
        <w:t xml:space="preserve">byte-neutral (−0.4%) and pays its way purely in collapsed requests. Exercising these</w:t>
      </w:r>
      <w:r>
        <w:t xml:space="preserve"> </w:t>
      </w:r>
      <w:r>
        <w:t xml:space="preserve">mixed code paths, which the uniform benchmark corpora never reach, also surfaced two</w:t>
      </w:r>
      <w:r>
        <w:t xml:space="preserve"> </w:t>
      </w:r>
      <w:r>
        <w:t xml:space="preserve">accounting defects that the tool's invariant check (predicted bytes and requests must</w:t>
      </w:r>
      <w:r>
        <w:t xml:space="preserve"> </w:t>
      </w:r>
      <w:r>
        <w:t xml:space="preserve">equal the emitted resources) now catches and that are fixed; the tool passes that check on</w:t>
      </w:r>
      <w:r>
        <w:t xml:space="preserve"> </w:t>
      </w:r>
      <w:r>
        <w:t xml:space="preserve">every asset set in the study.</w:t>
      </w:r>
    </w:p>
    <w:bookmarkEnd w:id="63"/>
    <w:bookmarkStart w:id="64" w:name="choosing-a-rendering-mechanism"/>
    <w:p>
      <w:pPr>
        <w:pStyle w:val="Heading3"/>
      </w:pPr>
      <w:r>
        <w:t xml:space="preserve">6.4  Choosing a rendering mechanism</w:t>
      </w:r>
    </w:p>
    <w:p>
      <w:pPr>
        <w:pStyle w:val="FirstParagraph"/>
      </w:pPr>
      <w:r>
        <w:t xml:space="preserve">Selecting a representation is only half of deployment; the four ways to show a bundled</w:t>
      </w:r>
      <w:r>
        <w:t xml:space="preserve"> </w:t>
      </w:r>
      <w:r>
        <w:t xml:space="preserve">tile (Section 3.1) are not interchangeable in a production page, because they differ</w:t>
      </w:r>
      <w:r>
        <w:t xml:space="preserve"> </w:t>
      </w:r>
      <w:r>
        <w:t xml:space="preserve">in native image semantics, accessibility, loading control, and browser support</w:t>
      </w:r>
      <w:r>
        <w:t xml:space="preserve"> </w:t>
      </w:r>
      <w:r>
        <w:t xml:space="preserve">(Table 10). A CSS pixel atlas shown through</w:t>
      </w:r>
      <w:r>
        <w:t xml:space="preserve"> </w:t>
      </w:r>
      <w:r>
        <w:rPr>
          <w:rStyle w:val="VerbatimChar"/>
        </w:rPr>
        <w:t xml:space="preserve">background-position</w:t>
      </w:r>
      <w:r>
        <w:t xml:space="preserve"> </w:t>
      </w:r>
      <w:r>
        <w:t xml:space="preserve">is</w:t>
      </w:r>
      <w:r>
        <w:t xml:space="preserve"> </w:t>
      </w:r>
      <w:r>
        <w:t xml:space="preserve">universally supported and ideal for decorative icons, but a background image is not an</w:t>
      </w:r>
      <w:r>
        <w:t xml:space="preserve"> </w:t>
      </w:r>
      <w:r>
        <w:rPr>
          <w:rStyle w:val="VerbatimChar"/>
        </w:rPr>
        <w:t xml:space="preserve">&lt;img&gt;</w:t>
      </w:r>
      <w:r>
        <w:t xml:space="preserve">: it carries no intrinsic alt text (accessibility must come from</w:t>
      </w:r>
      <w:r>
        <w:t xml:space="preserve"> </w:t>
      </w:r>
      <w:r>
        <w:t xml:space="preserve">surrounding ARIA), does not participate in native lazy loading or</w:t>
      </w:r>
      <w:r>
        <w:t xml:space="preserve"> </w:t>
      </w:r>
      <w:r>
        <w:rPr>
          <w:rStyle w:val="VerbatimChar"/>
        </w:rPr>
        <w:t xml:space="preserve">fetchpriority</w:t>
      </w:r>
      <w:r>
        <w:t xml:space="preserve">, and is inappropriate for content images that must be</w:t>
      </w:r>
      <w:r>
        <w:t xml:space="preserve"> </w:t>
      </w:r>
      <w:r>
        <w:t xml:space="preserve">announced. A cropped</w:t>
      </w:r>
      <w:r>
        <w:t xml:space="preserve"> </w:t>
      </w:r>
      <w:r>
        <w:rPr>
          <w:rStyle w:val="VerbatimChar"/>
        </w:rPr>
        <w:t xml:space="preserve">&lt;img&gt;</w:t>
      </w:r>
      <w:r>
        <w:t xml:space="preserve"> </w:t>
      </w:r>
      <w:r>
        <w:t xml:space="preserve">in an</w:t>
      </w:r>
      <w:r>
        <w:t xml:space="preserve"> </w:t>
      </w:r>
      <w:r>
        <w:rPr>
          <w:rStyle w:val="VerbatimChar"/>
        </w:rPr>
        <w:t xml:space="preserve">overflow:hidden</w:t>
      </w:r>
      <w:r>
        <w:t xml:space="preserve"> </w:t>
      </w:r>
      <w:r>
        <w:t xml:space="preserve">wrapper</w:t>
      </w:r>
      <w:r>
        <w:t xml:space="preserve"> </w:t>
      </w:r>
      <w:r>
        <w:t xml:space="preserve">keeps alt text and native loading and works cross-browser;</w:t>
      </w:r>
      <w:r>
        <w:t xml:space="preserve"> </w:t>
      </w:r>
      <w:r>
        <w:rPr>
          <w:rStyle w:val="VerbatimChar"/>
        </w:rPr>
        <w:t xml:space="preserve">object-view-box</w:t>
      </w:r>
      <w:r>
        <w:t xml:space="preserve"> </w:t>
      </w:r>
      <w:r>
        <w:t xml:space="preserve">gives the same with less markup but is Chromium-only and should not be treated as a</w:t>
      </w:r>
      <w:r>
        <w:t xml:space="preserve"> </w:t>
      </w:r>
      <w:r>
        <w:t xml:space="preserve">generally deployable solution. A byte-bundle reconstructs real per-tile</w:t>
      </w:r>
      <w:r>
        <w:t xml:space="preserve"> </w:t>
      </w:r>
      <w:r>
        <w:rPr>
          <w:rStyle w:val="VerbatimChar"/>
        </w:rPr>
        <w:t xml:space="preserve">&lt;img&gt;</w:t>
      </w:r>
      <w:r>
        <w:t xml:space="preserve"> </w:t>
      </w:r>
      <w:r>
        <w:t xml:space="preserve">elements from blob URLs, so it recovers full image semantics at</w:t>
      </w:r>
      <w:r>
        <w:t xml:space="preserve"> </w:t>
      </w:r>
      <w:r>
        <w:t xml:space="preserve">the cost of a small loader script and its content-security-policy implications, which</w:t>
      </w:r>
      <w:r>
        <w:t xml:space="preserve"> </w:t>
      </w:r>
      <w:r>
        <w:t xml:space="preserve">makes it the natural choice for heterogeneous or content-bearing photographs. The selector</w:t>
      </w:r>
      <w:r>
        <w:t xml:space="preserve"> </w:t>
      </w:r>
      <w:r>
        <w:t xml:space="preserve">of Section 6.3 chooses the byte layout; this table chooses the display mechanism, and</w:t>
      </w:r>
      <w:r>
        <w:t xml:space="preserve"> </w:t>
      </w:r>
      <w:r>
        <w:t xml:space="preserve">the two decisions compose.</w:t>
      </w:r>
    </w:p>
    <w:p>
      <w:pPr>
        <w:pStyle w:val="TableCaption"/>
      </w:pPr>
      <w:r>
        <w:rPr>
          <w:b/>
          <w:bCs/>
        </w:rPr>
        <w:t xml:space="preserve">Table 10.</w:t>
      </w:r>
      <w:r>
        <w:t xml:space="preserve"> </w:t>
      </w:r>
      <w:r>
        <w:t xml:space="preserve">Display mechanisms for a bundled tile and how they differ in</w:t>
      </w:r>
      <w:r>
        <w:t xml:space="preserve"> </w:t>
      </w:r>
      <w:r>
        <w:t xml:space="preserve">production. All four paint after a single atlas or bundle fetch; they diverge on image</w:t>
      </w:r>
      <w:r>
        <w:t xml:space="preserve"> </w:t>
      </w:r>
      <w:r>
        <w:t xml:space="preserve">semantics, accessibility, loading control, and support. Pick the byte layout with the</w:t>
      </w:r>
      <w:r>
        <w:t xml:space="preserve"> </w:t>
      </w:r>
      <w:r>
        <w:t xml:space="preserve">Section 6.3 selector and the mechanism here.</w:t>
      </w:r>
    </w:p>
    <w:tbl>
      <w:tblPr>
        <w:tblStyle w:val="Table"/>
        <w:tblW w:type="auto" w:w="0"/>
        <w:tblLook w:firstRow="1" w:lastRow="0" w:firstColumn="0" w:lastColumn="0" w:noHBand="0" w:noVBand="0" w:val="0020"/>
        <w:tblCaption w:val="Table 10. Display mechanisms for a bundled tile and how they differ in production. All four paint after a single atlas or bundle fetch; they diverge on image semantics, accessibility, loading control, and support. Pick the byte layout with the Section 6.3 selector and the mechanism here."/>
      </w:tblPr>
      <w:tblGrid>
        <w:gridCol w:w="1131"/>
        <w:gridCol w:w="1131"/>
        <w:gridCol w:w="1131"/>
        <w:gridCol w:w="1131"/>
        <w:gridCol w:w="1131"/>
        <w:gridCol w:w="1131"/>
        <w:gridCol w:w="1131"/>
      </w:tblGrid>
      <w:tr>
        <w:trPr>
          <w:tblHeader w:val="on"/>
        </w:trPr>
        <w:tc>
          <w:tcPr/>
          <w:p>
            <w:pPr>
              <w:pStyle w:val="Compact"/>
              <w:jc w:val="left"/>
            </w:pPr>
            <w:r>
              <w:t xml:space="preserve">mechanism</w:t>
            </w:r>
          </w:p>
        </w:tc>
        <w:tc>
          <w:tcPr/>
          <w:p>
            <w:pPr>
              <w:pStyle w:val="Compact"/>
              <w:jc w:val="left"/>
            </w:pPr>
            <w:r>
              <w:t xml:space="preserve">native &lt;img&gt;</w:t>
            </w:r>
          </w:p>
        </w:tc>
        <w:tc>
          <w:tcPr/>
          <w:p>
            <w:pPr>
              <w:pStyle w:val="Compact"/>
              <w:jc w:val="left"/>
            </w:pPr>
            <w:r>
              <w:t xml:space="preserve">alt text</w:t>
            </w:r>
          </w:p>
        </w:tc>
        <w:tc>
          <w:tcPr/>
          <w:p>
            <w:pPr>
              <w:pStyle w:val="Compact"/>
              <w:jc w:val="left"/>
            </w:pPr>
            <w:r>
              <w:t xml:space="preserve">lazy load / priority</w:t>
            </w:r>
          </w:p>
        </w:tc>
        <w:tc>
          <w:tcPr/>
          <w:p>
            <w:pPr>
              <w:pStyle w:val="Compact"/>
              <w:jc w:val="left"/>
            </w:pPr>
            <w:r>
              <w:t xml:space="preserve">JS / CSP</w:t>
            </w:r>
          </w:p>
        </w:tc>
        <w:tc>
          <w:tcPr/>
          <w:p>
            <w:pPr>
              <w:pStyle w:val="Compact"/>
              <w:jc w:val="left"/>
            </w:pPr>
            <w:r>
              <w:t xml:space="preserve">support</w:t>
            </w:r>
          </w:p>
        </w:tc>
        <w:tc>
          <w:tcPr/>
          <w:p>
            <w:pPr>
              <w:pStyle w:val="Compact"/>
              <w:jc w:val="left"/>
            </w:pPr>
            <w:r>
              <w:t xml:space="preserve">best use</w:t>
            </w:r>
          </w:p>
        </w:tc>
      </w:tr>
      <w:tr>
        <w:tc>
          <w:tcPr/>
          <w:p>
            <w:pPr>
              <w:pStyle w:val="Compact"/>
              <w:jc w:val="left"/>
            </w:pPr>
            <w:r>
              <w:t xml:space="preserve">CSS</w:t>
            </w:r>
            <w:r>
              <w:t xml:space="preserve"> </w:t>
            </w:r>
            <w:r>
              <w:rPr>
                <w:rStyle w:val="VerbatimChar"/>
              </w:rPr>
              <w:t xml:space="preserve">background-position</w:t>
            </w:r>
          </w:p>
        </w:tc>
        <w:tc>
          <w:tcPr/>
          <w:p>
            <w:pPr>
              <w:pStyle w:val="Compact"/>
              <w:jc w:val="left"/>
            </w:pPr>
            <w:r>
              <w:t xml:space="preserve">no</w:t>
            </w:r>
          </w:p>
        </w:tc>
        <w:tc>
          <w:tcPr/>
          <w:p>
            <w:pPr>
              <w:pStyle w:val="Compact"/>
              <w:jc w:val="left"/>
            </w:pPr>
            <w:r>
              <w:t xml:space="preserve">via ARIA</w:t>
            </w:r>
          </w:p>
        </w:tc>
        <w:tc>
          <w:tcPr/>
          <w:p>
            <w:pPr>
              <w:pStyle w:val="Compact"/>
              <w:jc w:val="left"/>
            </w:pPr>
            <w:r>
              <w:t xml:space="preserve">manual</w:t>
            </w:r>
          </w:p>
        </w:tc>
        <w:tc>
          <w:tcPr/>
          <w:p>
            <w:pPr>
              <w:pStyle w:val="Compact"/>
              <w:jc w:val="left"/>
            </w:pPr>
            <w:r>
              <w:t xml:space="preserve">CSS only</w:t>
            </w:r>
          </w:p>
        </w:tc>
        <w:tc>
          <w:tcPr/>
          <w:p>
            <w:pPr>
              <w:pStyle w:val="Compact"/>
              <w:jc w:val="left"/>
            </w:pPr>
            <w:r>
              <w:t xml:space="preserve">universal</w:t>
            </w:r>
          </w:p>
        </w:tc>
        <w:tc>
          <w:tcPr/>
          <w:p>
            <w:pPr>
              <w:pStyle w:val="Compact"/>
              <w:jc w:val="left"/>
            </w:pPr>
            <w:r>
              <w:t xml:space="preserve">decorative icons</w:t>
            </w:r>
          </w:p>
        </w:tc>
      </w:tr>
      <w:tr>
        <w:tc>
          <w:tcPr/>
          <w:p>
            <w:pPr>
              <w:pStyle w:val="Compact"/>
              <w:jc w:val="left"/>
            </w:pPr>
            <w:r>
              <w:t xml:space="preserve">cropped</w:t>
            </w:r>
            <w:r>
              <w:t xml:space="preserve"> </w:t>
            </w:r>
            <w:r>
              <w:rPr>
                <w:rStyle w:val="VerbatimChar"/>
              </w:rPr>
              <w:t xml:space="preserve">&lt;img&gt;</w:t>
            </w:r>
            <w:r>
              <w:t xml:space="preserve"> </w:t>
            </w:r>
            <w:r>
              <w:t xml:space="preserve">wrapper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broad</w:t>
            </w:r>
          </w:p>
        </w:tc>
        <w:tc>
          <w:tcPr/>
          <w:p>
            <w:pPr>
              <w:pStyle w:val="Compact"/>
              <w:jc w:val="left"/>
            </w:pPr>
            <w:r>
              <w:t xml:space="preserve">semantic images</w:t>
            </w:r>
          </w:p>
        </w:tc>
      </w:tr>
      <w:tr>
        <w:tc>
          <w:tcPr/>
          <w:p>
            <w:pPr>
              <w:pStyle w:val="Compact"/>
              <w:jc w:val="left"/>
            </w:pPr>
            <w:r>
              <w:rPr>
                <w:rStyle w:val="VerbatimChar"/>
              </w:rPr>
              <w:t xml:space="preserve">object-view-box</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Chromium only</w:t>
            </w:r>
          </w:p>
        </w:tc>
        <w:tc>
          <w:tcPr/>
          <w:p>
            <w:pPr>
              <w:pStyle w:val="Compact"/>
              <w:jc w:val="left"/>
            </w:pPr>
            <w:r>
              <w:t xml:space="preserve">native crop (emerging)</w:t>
            </w:r>
          </w:p>
        </w:tc>
      </w:tr>
      <w:tr>
        <w:tc>
          <w:tcPr/>
          <w:p>
            <w:pPr>
              <w:pStyle w:val="Compact"/>
              <w:jc w:val="left"/>
            </w:pPr>
            <w:r>
              <w:t xml:space="preserve">byte-bundle + blob URLs</w:t>
            </w:r>
          </w:p>
        </w:tc>
        <w:tc>
          <w:tcPr/>
          <w:p>
            <w:pPr>
              <w:pStyle w:val="Compact"/>
              <w:jc w:val="left"/>
            </w:pPr>
            <w:r>
              <w:t xml:space="preserve">yes (after JS)</w:t>
            </w:r>
          </w:p>
        </w:tc>
        <w:tc>
          <w:tcPr/>
          <w:p>
            <w:pPr>
              <w:pStyle w:val="Compact"/>
              <w:jc w:val="left"/>
            </w:pPr>
            <w:r>
              <w:t xml:space="preserve">yes</w:t>
            </w:r>
          </w:p>
        </w:tc>
        <w:tc>
          <w:tcPr/>
          <w:p>
            <w:pPr>
              <w:pStyle w:val="Compact"/>
              <w:jc w:val="left"/>
            </w:pPr>
            <w:r>
              <w:t xml:space="preserve">app-controlled</w:t>
            </w:r>
          </w:p>
        </w:tc>
        <w:tc>
          <w:tcPr/>
          <w:p>
            <w:pPr>
              <w:pStyle w:val="Compact"/>
              <w:jc w:val="left"/>
            </w:pPr>
            <w:r>
              <w:t xml:space="preserve">JS + CSP</w:t>
            </w:r>
          </w:p>
        </w:tc>
        <w:tc>
          <w:tcPr/>
          <w:p>
            <w:pPr>
              <w:pStyle w:val="Compact"/>
              <w:jc w:val="left"/>
            </w:pPr>
            <w:r>
              <w:t xml:space="preserve">broad APIs</w:t>
            </w:r>
          </w:p>
        </w:tc>
        <w:tc>
          <w:tcPr/>
          <w:p>
            <w:pPr>
              <w:pStyle w:val="Compact"/>
              <w:jc w:val="left"/>
            </w:pPr>
            <w:r>
              <w:t xml:space="preserve">heterogeneous photos</w:t>
            </w:r>
          </w:p>
        </w:tc>
      </w:tr>
    </w:tbl>
    <w:bookmarkEnd w:id="64"/>
    <w:bookmarkStart w:id="65" w:name="limitations"/>
    <w:p>
      <w:pPr>
        <w:pStyle w:val="Heading3"/>
      </w:pPr>
      <w:r>
        <w:t xml:space="preserve">6.5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now measured in a live renderer (Section 3.2, Table 7),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(Section 5.5)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6.3);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6) but</w:t>
      </w:r>
      <w:r>
        <w:t xml:space="preserve"> </w:t>
      </w:r>
      <w:r>
        <w:t xml:space="preserve">no formal significance testing, and the timing endpoint is time-to-all-tiles-visible;</w:t>
      </w:r>
      <w:r>
        <w:t xml:space="preserve"> </w:t>
      </w:r>
      <w:r>
        <w:t xml:space="preserve">first-tile and first-viewport milestones are reported for the local renderer (Table 7)</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65"/>
    <w:bookmarkEnd w:id="66"/>
    <w:bookmarkStart w:id="67" w:name="conclusion"/>
    <w:p>
      <w:pPr>
        <w:pStyle w:val="Heading2"/>
      </w:pPr>
      <w:r>
        <w:t xml:space="preserve">7  Conclusion</w:t>
      </w:r>
    </w:p>
    <w:p>
      <w:pPr>
        <w:pStyle w:val="FirstParagraph"/>
      </w:pPr>
      <w:r>
        <w:t xml:space="preserve">Bundling small web images pays, and the study makes precise when and by how much for</w:t>
      </w:r>
      <w:r>
        <w:t xml:space="preserve"> </w:t>
      </w:r>
      <w:r>
        <w:t xml:space="preserve">the formats that carry most of 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40–97%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(1.6–2.8x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which a second</w:t>
      </w:r>
      <w:r>
        <w:t xml:space="preserve"> </w:t>
      </w:r>
      <w:r>
        <w:t xml:space="preserve">QUIC implementation roughly halves (Section 5.5), not a 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67"/>
    <w:bookmarkStart w:id="68"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chapter.</w:t>
      </w:r>
      <w:r>
        <w:t xml:space="preserve"> </w:t>
      </w:r>
      <w:r>
        <w:t xml:space="preserve">https://almanac.httparchive.org/en/2024/media</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RFC 9842, IETF, 2025.</w:t>
      </w:r>
      <w:r>
        <w:t xml:space="preserve"> </w:t>
      </w:r>
      <w:r>
        <w:t xml:space="preserve">doi:10.17487/RFC9842</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High efficiency coding and media</w:t>
      </w:r>
      <w:r>
        <w:t xml:space="preserve"> </w:t>
      </w:r>
      <w:r>
        <w:t xml:space="preserve">delivery in heterogeneous environments,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p>
      <w:pPr>
        <w:pStyle w:val="BodyText"/>
      </w:pPr>
      <w:r>
        <w:t xml:space="preserve">Alexander Apartsin, Yehudit Aperstein · 2026</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2026-08-31T12:39:59Z</dcterms:created>
  <dcterms:modified xsi:type="dcterms:W3CDTF">2026-08-31T12:39:59Z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