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8.png" ContentType="image/png"/>
  <Override PartName="/word/media/rId12.png" ContentType="image/png"/>
  <Override PartName="/word/media/rId16.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7b0177053e15349d7262ee04b1c662261a5a653"/>
    <w:p>
      <w:pPr>
        <w:pStyle w:val="Heading1"/>
      </w:pPr>
      <w:r>
        <w:t xml:space="preserve">The Joule Point: an Energy-Optimal Operating Point for AI Inference</w:t>
      </w:r>
    </w:p>
    <w:p>
      <w:pPr>
        <w:pStyle w:val="FirstParagraph"/>
      </w:pPr>
      <w:r>
        <w:t xml:space="preserve">Alexander Apartsin</w:t>
      </w:r>
      <w:r>
        <w:rPr>
          <w:vertAlign w:val="superscript"/>
        </w:rPr>
        <w:t xml:space="preserve">1</w:t>
      </w:r>
      <w:r>
        <w:t xml:space="preserve"> </w:t>
      </w:r>
      <w:r>
        <w:t xml:space="preserve"> ·  Yehudit Aperstein</w:t>
      </w:r>
      <w:r>
        <w:rPr>
          <w:vertAlign w:val="superscript"/>
        </w:rPr>
        <w:t xml:space="preserve">2,*</w:t>
      </w:r>
    </w:p>
    <w:p>
      <w:pPr>
        <w:pStyle w:val="BodyText"/>
      </w:pPr>
      <w:r>
        <w:rPr>
          <w:vertAlign w:val="superscript"/>
        </w:rPr>
        <w:t xml:space="preserve">1</w:t>
      </w:r>
      <w:r>
        <w:t xml:space="preserve">Holon Institute of Technology, Holon, Israel   </w:t>
      </w:r>
      <w:r>
        <w:rPr>
          <w:vertAlign w:val="superscript"/>
        </w:rPr>
        <w:t xml:space="preserve">2</w:t>
      </w:r>
      <w:r>
        <w:t xml:space="preserve">Afeka Academic College of Engineering, Tel Aviv, Israel</w:t>
      </w:r>
    </w:p>
    <w:p>
      <w:pPr>
        <w:pStyle w:val="BodyText"/>
      </w:pPr>
      <w:r>
        <w:rPr>
          <w:vertAlign w:val="superscript"/>
        </w:rPr>
        <w:t xml:space="preserve">*</w:t>
      </w:r>
      <w:r>
        <w:t xml:space="preserve">Corresponding author: apersteiny@afeka.ac.il</w:t>
      </w:r>
    </w:p>
    <w:p>
      <w:pPr>
        <w:pStyle w:val="BodyText"/>
      </w:pPr>
      <w:r>
        <w:t xml:space="preserve">Abstract</w:t>
      </w:r>
    </w:p>
    <w:p>
      <w:pPr>
        <w:pStyle w:val="BodyText"/>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p>
      <w:pPr>
        <w:pStyle w:val="BodyText"/>
      </w:pPr>
      <w:r>
        <w:rPr>
          <w:b/>
          <w:bCs/>
        </w:rPr>
        <w:t xml:space="preserve">Keywords:</w:t>
      </w:r>
      <w:r>
        <w:t xml:space="preserve"> </w:t>
      </w:r>
      <w:r>
        <w:t xml:space="preserve">GPU energy efficiency; power capping; AI inference; DVFS; energy-aware scheduling; data centers</w:t>
      </w:r>
    </w:p>
    <w:bookmarkStart w:id="9" w:name="introduction"/>
    <w:p>
      <w:pPr>
        <w:pStyle w:val="Heading2"/>
      </w:pPr>
      <w:r>
        <w:t xml:space="preserve">1. Introduction</w:t>
      </w:r>
    </w:p>
    <w:p>
      <w:pPr>
        <w:pStyle w:val="FirstParagraph"/>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pPr>
      <w:r>
        <w:t xml:space="preserve">2. Related work</w:t>
      </w:r>
    </w:p>
    <w:p>
      <w:pPr>
        <w:pStyle w:val="FirstParagraph"/>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pPr>
      <w:r>
        <w:t xml:space="preserve">3. Energy space and its calculus</w:t>
      </w:r>
    </w:p>
    <w:p>
      <w:pPr>
        <w:pStyle w:val="FirstParagraph"/>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pPr>
      <w:r>
        <w:t xml:space="preserve">4. The ELF dataset</w:t>
      </w:r>
    </w:p>
    <w:p>
      <w:pPr>
        <w:pStyle w:val="FirstParagraph"/>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CaptionedFigure"/>
      </w:pPr>
      <w:r>
        <w:drawing>
          <wp:inline>
            <wp:extent cx="6400800" cy="4142756"/>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6400800" cy="414275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pPr>
      <w:r>
        <w:t xml:space="preserve">5. The response surface and its law</w:t>
      </w:r>
    </w:p>
    <w:p>
      <w:pPr>
        <w:pStyle w:val="FirstParagraph"/>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pStyle w:val="CaptionedFigure"/>
      </w:pPr>
      <w:r>
        <w:drawing>
          <wp:inline>
            <wp:extent cx="6400800" cy="2032839"/>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6400800" cy="203283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response law P(θ)=P</w:t>
      </w:r>
      <w:r>
        <w:rPr>
          <w:vertAlign w:val="subscript"/>
        </w:rPr>
        <w:t xml:space="preserve">0</w:t>
      </w:r>
      <w:r>
        <w:t xml:space="preserve">+aθ</w:t>
      </w:r>
      <w:r>
        <w:rPr>
          <w:vertAlign w:val="superscript"/>
        </w:rPr>
        <w:t xml:space="preserve">β</w:t>
      </w:r>
      <w:r>
        <w:t xml:space="preserve"> </w:t>
      </w:r>
      <w:r>
        <w:t xml:space="preserve">is a card property. One</w:t>
      </w:r>
      <w:r>
        <w:t xml:space="preserve"> </w:t>
      </w:r>
      <w:r>
        <w:t xml:space="preserve">panel per GPU (A100, A10G, L4); each dot is a measured operating point for one of the 20 workloads in the</w:t>
      </w:r>
      <w:r>
        <w:t xml:space="preserve"> </w:t>
      </w:r>
      <w:r>
        <w:t xml:space="preserve">loaded regime, with the rate normalized to that workload's own maximum and power to the card's TDP. All</w:t>
      </w:r>
      <w:r>
        <w:t xml:space="preserve"> </w:t>
      </w:r>
      <w:r>
        <w:t xml:space="preserve">workloads closely follow a single fitted law per card (line), showing the exponent travels with the card, not</w:t>
      </w:r>
      <w:r>
        <w:t xml:space="preserve"> </w:t>
      </w:r>
      <w:r>
        <w:t xml:space="preserve">the model: pooled fit R</w:t>
      </w:r>
      <w:r>
        <w:rPr>
          <w:vertAlign w:val="superscript"/>
        </w:rPr>
        <w:t xml:space="preserve">2</w:t>
      </w:r>
      <w:r>
        <w:t xml:space="preserve"> </w:t>
      </w:r>
      <w:r>
        <w:t xml:space="preserve">of 0.92 (A100), 0.88 (A10G), and 0.95 (L4), with</w:t>
      </w:r>
      <w:r>
        <w:t xml:space="preserve"> </w:t>
      </w:r>
      <w:r>
        <w:t xml:space="preserve">β from about 1.5 on the L4 to 7.4 on the A10G.</w:t>
      </w:r>
    </w:p>
    <w:bookmarkEnd w:id="19"/>
    <w:bookmarkStart w:id="26" w:name="Xdbe3ddcc6adf11a4ee78a812ec8f972c578c061"/>
    <w:p>
      <w:pPr>
        <w:pStyle w:val="Heading2"/>
      </w:pPr>
      <w:r>
        <w:t xml:space="preserve">6. The Joule Point, and the price of reaching it</w:t>
      </w:r>
    </w:p>
    <w:p>
      <w:pPr>
        <w:pStyle w:val="FirstParagraph"/>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CaptionedFigure"/>
      </w:pPr>
      <w:r>
        <w:drawing>
          <wp:inline>
            <wp:extent cx="5937504" cy="3913632"/>
            <wp:effectExtent b="0" l="0" r="0" t="0"/>
            <wp:docPr descr="energy decomposition: power x time" title="" id="21" name="Picture"/>
            <a:graphic>
              <a:graphicData uri="http://schemas.openxmlformats.org/drawingml/2006/picture">
                <pic:pic>
                  <pic:nvPicPr>
                    <pic:cNvPr descr="../power_shaping/figures/fig_decompose.png" id="22" name="Picture"/>
                    <pic:cNvPicPr>
                      <a:picLocks noChangeArrowheads="1" noChangeAspect="1"/>
                    </pic:cNvPicPr>
                  </pic:nvPicPr>
                  <pic:blipFill>
                    <a:blip r:embed="rId20"/>
                    <a:stretch>
                      <a:fillRect/>
                    </a:stretch>
                  </pic:blipFill>
                  <pic:spPr bwMode="auto">
                    <a:xfrm>
                      <a:off x="0" y="0"/>
                      <a:ext cx="5937504" cy="3913632"/>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CaptionedFigure"/>
      </w:pPr>
      <w:r>
        <w:drawing>
          <wp:inline>
            <wp:extent cx="6400800" cy="4417877"/>
            <wp:effectExtent b="0" l="0" r="0" t="0"/>
            <wp:docPr descr="energy U-shape on every card" title="" id="24" name="Picture"/>
            <a:graphic>
              <a:graphicData uri="http://schemas.openxmlformats.org/drawingml/2006/picture">
                <pic:pic>
                  <pic:nvPicPr>
                    <pic:cNvPr descr="../power_shaping/figures/fig_energy_u.png" id="25" name="Picture"/>
                    <pic:cNvPicPr>
                      <a:picLocks noChangeArrowheads="1" noChangeAspect="1"/>
                    </pic:cNvPicPr>
                  </pic:nvPicPr>
                  <pic:blipFill>
                    <a:blip r:embed="rId23"/>
                    <a:stretch>
                      <a:fillRect/>
                    </a:stretch>
                  </pic:blipFill>
                  <pic:spPr bwMode="auto">
                    <a:xfrm>
                      <a:off x="0" y="0"/>
                      <a:ext cx="6400800" cy="4417877"/>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pStyle w:val="TableCaption"/>
      </w:pPr>
      <w:r>
        <w:rPr>
          <w:b/>
          <w:bCs/>
        </w:rPr>
        <w:t xml:space="preserve">Table 1.</w:t>
      </w:r>
      <w:r>
        <w:t xml:space="preserve"> </w:t>
      </w:r>
      <w:r>
        <w:t xml:space="preserve">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auto" w:w="0"/>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Pr>
      <w:tblGrid>
        <w:gridCol w:w="1320"/>
        <w:gridCol w:w="1320"/>
        <w:gridCol w:w="1320"/>
        <w:gridCol w:w="1320"/>
        <w:gridCol w:w="1320"/>
        <w:gridCol w:w="1320"/>
      </w:tblGrid>
      <w:tr>
        <w:trPr>
          <w:tblHeader w:val="on"/>
        </w:trPr>
        <w:tc>
          <w:tcPr/>
          <w:p>
            <w:pPr>
              <w:pStyle w:val="Compact"/>
            </w:pPr>
            <w:r>
              <w:t xml:space="preserve">card</w:t>
            </w:r>
          </w:p>
        </w:tc>
        <w:tc>
          <w:tcPr/>
          <w:p>
            <w:pPr>
              <w:pStyle w:val="Compact"/>
            </w:pPr>
            <w:r>
              <w:t xml:space="preserve">Joule Point (%TDP)</w:t>
            </w:r>
          </w:p>
        </w:tc>
        <w:tc>
          <w:tcPr/>
          <w:p>
            <w:pPr>
              <w:pStyle w:val="Compact"/>
            </w:pPr>
            <w:r>
              <w:t xml:space="preserve">energy saved (%)</w:t>
            </w:r>
          </w:p>
        </w:tc>
        <w:tc>
          <w:tcPr/>
          <w:p>
            <w:pPr>
              <w:pStyle w:val="Compact"/>
            </w:pPr>
            <w:r>
              <w:t xml:space="preserve">cards = latency (×)</w:t>
            </w:r>
          </w:p>
        </w:tc>
        <w:tc>
          <w:tcPr/>
          <w:p>
            <w:pPr>
              <w:pStyle w:val="Compact"/>
            </w:pPr>
            <w:r>
              <w:t xml:space="preserve">fixed-cap sd (pts)</w:t>
            </w:r>
          </w:p>
        </w:tc>
        <w:tc>
          <w:tcPr/>
          <w:p>
            <w:pPr>
              <w:pStyle w:val="Compact"/>
            </w:pPr>
            <w:r>
              <w:t xml:space="preserve">fixed-cap penalty (%)</w:t>
            </w:r>
          </w:p>
        </w:tc>
      </w:tr>
      <w:tr>
        <w:tc>
          <w:tcPr/>
          <w:p>
            <w:pPr>
              <w:pStyle w:val="Compact"/>
            </w:pPr>
            <w:r>
              <w:t xml:space="preserve">A100</w:t>
            </w:r>
          </w:p>
        </w:tc>
        <w:tc>
          <w:tcPr/>
          <w:p>
            <w:pPr>
              <w:pStyle w:val="Compact"/>
            </w:pPr>
            <w:r>
              <w:t xml:space="preserve">46</w:t>
            </w:r>
          </w:p>
        </w:tc>
        <w:tc>
          <w:tcPr/>
          <w:p>
            <w:pPr>
              <w:pStyle w:val="Compact"/>
            </w:pPr>
            <w:r>
              <w:t xml:space="preserve">29</w:t>
            </w:r>
          </w:p>
        </w:tc>
        <w:tc>
          <w:tcPr/>
          <w:p>
            <w:pPr>
              <w:pStyle w:val="Compact"/>
            </w:pPr>
            <w:r>
              <w:t xml:space="preserve">1.24</w:t>
            </w:r>
          </w:p>
        </w:tc>
        <w:tc>
          <w:tcPr/>
          <w:p>
            <w:pPr>
              <w:pStyle w:val="Compact"/>
            </w:pPr>
            <w:r>
              <w:t xml:space="preserve">4.7</w:t>
            </w:r>
          </w:p>
        </w:tc>
        <w:tc>
          <w:tcPr/>
          <w:p>
            <w:pPr>
              <w:pStyle w:val="Compact"/>
            </w:pPr>
            <w:r>
              <w:t xml:space="preserve">0.9</w:t>
            </w:r>
          </w:p>
        </w:tc>
      </w:tr>
      <w:tr>
        <w:tc>
          <w:tcPr/>
          <w:p>
            <w:pPr>
              <w:pStyle w:val="Compact"/>
            </w:pPr>
            <w:r>
              <w:t xml:space="preserve">A10G</w:t>
            </w:r>
          </w:p>
        </w:tc>
        <w:tc>
          <w:tcPr/>
          <w:p>
            <w:pPr>
              <w:pStyle w:val="Compact"/>
            </w:pPr>
            <w:r>
              <w:t xml:space="preserve">43</w:t>
            </w:r>
          </w:p>
        </w:tc>
        <w:tc>
          <w:tcPr/>
          <w:p>
            <w:pPr>
              <w:pStyle w:val="Compact"/>
            </w:pPr>
            <w:r>
              <w:t xml:space="preserve">31</w:t>
            </w:r>
          </w:p>
        </w:tc>
        <w:tc>
          <w:tcPr/>
          <w:p>
            <w:pPr>
              <w:pStyle w:val="Compact"/>
            </w:pPr>
            <w:r>
              <w:t xml:space="preserve">1.22</w:t>
            </w:r>
          </w:p>
        </w:tc>
        <w:tc>
          <w:tcPr/>
          <w:p>
            <w:pPr>
              <w:pStyle w:val="Compact"/>
            </w:pPr>
            <w:r>
              <w:t xml:space="preserve">2.8</w:t>
            </w:r>
          </w:p>
        </w:tc>
        <w:tc>
          <w:tcPr/>
          <w:p>
            <w:pPr>
              <w:pStyle w:val="Compact"/>
            </w:pPr>
            <w:r>
              <w:t xml:space="preserve">0.4</w:t>
            </w:r>
          </w:p>
        </w:tc>
      </w:tr>
    </w:tbl>
    <w:p>
      <w:pPr>
        <w:pStyle w:val="BodyText"/>
      </w:pPr>
      <w:r>
        <w:t xml:space="preserve">Under load, one static cap per card, set once, has a mean energy penalty below one per cent versus each job's own optimum, so the online per-job search that prior energy-aware systems run is unnecessary in this regime.</w:t>
      </w:r>
    </w:p>
    <w:p>
      <w:pPr>
        <w:pStyle w:val="BodyText"/>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27" w:name="X07386daecf40fedbd79a720cbc0bf8709520c71"/>
    <w:p>
      <w:pPr>
        <w:pStyle w:val="Heading2"/>
      </w:pPr>
      <w:r>
        <w:t xml:space="preserve">7. Scheduling in energy space: a fleet simulation</w:t>
      </w:r>
    </w:p>
    <w:p>
      <w:pPr>
        <w:pStyle w:val="FirstParagraph"/>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27"/>
    <w:bookmarkStart w:id="31" w:name="X94196bdfd205e123d10441674579e6711711dc6"/>
    <w:p>
      <w:pPr>
        <w:pStyle w:val="Heading2"/>
      </w:pPr>
      <w:r>
        <w:t xml:space="preserve">8. Implications for AI data center operators</w:t>
      </w:r>
    </w:p>
    <w:p>
      <w:pPr>
        <w:pStyle w:val="FirstParagraph"/>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CaptionedFigure"/>
      </w:pPr>
      <w:r>
        <w:drawing>
          <wp:inline>
            <wp:extent cx="4839788" cy="7191102"/>
            <wp:effectExtent b="0" l="0" r="0" t="0"/>
            <wp:docPr descr="compute-power frontier" title="" id="29" name="Picture"/>
            <a:graphic>
              <a:graphicData uri="http://schemas.openxmlformats.org/drawingml/2006/picture">
                <pic:pic>
                  <pic:nvPicPr>
                    <pic:cNvPr descr="../power_shaping/figures/fig_frontier_stacked.png" id="30" name="Picture"/>
                    <pic:cNvPicPr>
                      <a:picLocks noChangeArrowheads="1" noChangeAspect="1"/>
                    </pic:cNvPicPr>
                  </pic:nvPicPr>
                  <pic:blipFill>
                    <a:blip r:embed="rId28"/>
                    <a:stretch>
                      <a:fillRect/>
                    </a:stretch>
                  </pic:blipFill>
                  <pic:spPr bwMode="auto">
                    <a:xfrm>
                      <a:off x="0" y="0"/>
                      <a:ext cx="4839788" cy="7191102"/>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Compute-power frontier on a fleet of 18 identical A100s, one measured model per</w:t>
      </w:r>
      <w:r>
        <w:t xml:space="preserve"> </w:t>
      </w:r>
      <w:r>
        <w:t xml:space="preserve">GPU, computed deterministically from the measured cap-sweep curves (repetitions averaged); this is the static</w:t>
      </w:r>
      <w:r>
        <w:t xml:space="preserve"> </w:t>
      </w:r>
      <w:r>
        <w:t xml:space="preserve">allocation optimum, not the closed-loop trace. The x-axis sweeps the fleet power budget from 100 down to 40 per</w:t>
      </w:r>
      <w:r>
        <w:t xml:space="preserve"> </w:t>
      </w:r>
      <w:r>
        <w:t xml:space="preserve">cent of the 7.2 kW total TDP. At each budget, energy-space allocation (each GPU its own cap, the exact</w:t>
      </w:r>
      <w:r>
        <w:t xml:space="preserve"> </w:t>
      </w:r>
      <w:r>
        <w:t xml:space="preserve">optimum over the measured cap grid) is compared with the uniform baseline (one fleet-wide cap, the largest</w:t>
      </w:r>
      <w:r>
        <w:t xml:space="preserve"> </w:t>
      </w:r>
      <w:r>
        <w:t xml:space="preserve">measured cap that fits the budget on all 18 GPUs). Left: useful compute, each model's throughput normalized to</w:t>
      </w:r>
      <w:r>
        <w:t xml:space="preserve"> </w:t>
      </w:r>
      <w:r>
        <w:t xml:space="preserve">its own full-power peak and summed. Right: SLO goodput, the number of jobs whose latency stays within 10 per</w:t>
      </w:r>
      <w:r>
        <w:t xml:space="preserve"> </w:t>
      </w:r>
      <w:r>
        <w:t xml:space="preserve">cent of that model's full-power latency. The advantage is modest for smooth throughput and decisive for goodput:</w:t>
      </w:r>
      <w:r>
        <w:t xml:space="preserve"> </w:t>
      </w:r>
      <w:r>
        <w:t xml:space="preserve">as the budget tightens the uniform baseline collapses while the per-GPU assignment degrades gracefully. Both</w:t>
      </w:r>
      <w:r>
        <w:t xml:space="preserve"> </w:t>
      </w:r>
      <w:r>
        <w:t xml:space="preserve">panels are computed on the saturating-batch sweeps, the loaded regime of Sections 5 to 7.</w:t>
      </w:r>
    </w:p>
    <w:bookmarkEnd w:id="31"/>
    <w:bookmarkStart w:id="35" w:name="limitations"/>
    <w:p>
      <w:pPr>
        <w:pStyle w:val="Heading2"/>
      </w:pPr>
      <w:r>
        <w:t xml:space="preserve">9. Limitations</w:t>
      </w:r>
    </w:p>
    <w:p>
      <w:pPr>
        <w:pStyle w:val="FirstParagraph"/>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p>
      <w:pPr>
        <w:pStyle w:val="CaptionedFigure"/>
      </w:pPr>
      <w:r>
        <w:drawing>
          <wp:inline>
            <wp:extent cx="6400800" cy="4172204"/>
            <wp:effectExtent b="0" l="0" r="0" t="0"/>
            <wp:docPr descr="power-budget goodput" title="" id="33" name="Picture"/>
            <a:graphic>
              <a:graphicData uri="http://schemas.openxmlformats.org/drawingml/2006/picture">
                <pic:pic>
                  <pic:nvPicPr>
                    <pic:cNvPr descr="../power_shaping/figures/fig_power_budget_stacked.png" id="34" name="Picture"/>
                    <pic:cNvPicPr>
                      <a:picLocks noChangeArrowheads="1" noChangeAspect="1"/>
                    </pic:cNvPicPr>
                  </pic:nvPicPr>
                  <pic:blipFill>
                    <a:blip r:embed="rId32"/>
                    <a:stretch>
                      <a:fillRect/>
                    </a:stretch>
                  </pic:blipFill>
                  <pic:spPr bwMode="auto">
                    <a:xfrm>
                      <a:off x="0" y="0"/>
                      <a:ext cx="6400800" cy="4172204"/>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5"/>
    <w:bookmarkStart w:id="36" w:name="conclusion-and-future-work"/>
    <w:p>
      <w:pPr>
        <w:pStyle w:val="Heading2"/>
      </w:pPr>
      <w:r>
        <w:t xml:space="preserve">10. Conclusion and future work</w:t>
      </w:r>
    </w:p>
    <w:p>
      <w:pPr>
        <w:pStyle w:val="FirstParagraph"/>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7" w:name="credit-authorship-contribution-statement"/>
    <w:p>
      <w:pPr>
        <w:pStyle w:val="Heading2"/>
      </w:pPr>
      <w:r>
        <w:t xml:space="preserve">CRediT authorship contribution statement</w:t>
      </w:r>
    </w:p>
    <w:p>
      <w:pPr>
        <w:pStyle w:val="FirstParagraph"/>
      </w:pPr>
      <w:r>
        <w:rPr>
          <w:b/>
          <w:bCs/>
        </w:rPr>
        <w:t xml:space="preserve">Alexander Apartsin:</w:t>
      </w:r>
      <w:r>
        <w:t xml:space="preserve"> </w:t>
      </w:r>
      <w:r>
        <w:t xml:space="preserve">Conceptualization, Methodology, Software, Investigation, Data curation, Writing - original draft.</w:t>
      </w:r>
      <w:r>
        <w:t xml:space="preserve"> </w:t>
      </w:r>
      <w:r>
        <w:rPr>
          <w:b/>
          <w:bCs/>
        </w:rPr>
        <w:t xml:space="preserve">Yehudit Aperstein:</w:t>
      </w:r>
      <w:r>
        <w:t xml:space="preserve"> </w:t>
      </w:r>
      <w:r>
        <w:t xml:space="preserve">Conceptualization, Methodology, Validation, Writing - review and editing, Supervision.</w:t>
      </w:r>
    </w:p>
    <w:bookmarkEnd w:id="37"/>
    <w:bookmarkStart w:id="38" w:name="declaration-of-competing-interest"/>
    <w:p>
      <w:pPr>
        <w:pStyle w:val="Heading2"/>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38"/>
    <w:bookmarkStart w:id="40" w:name="data-and-code-availability"/>
    <w:p>
      <w:pPr>
        <w:pStyle w:val="Heading2"/>
      </w:pPr>
      <w:r>
        <w:t xml:space="preserve">Data and code availability</w:t>
      </w:r>
    </w:p>
    <w:p>
      <w:pPr>
        <w:pStyle w:val="FirstParagraph"/>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9">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40"/>
    <w:bookmarkStart w:id="41" w:name="references"/>
    <w:p>
      <w:pPr>
        <w:pStyle w:val="Heading2"/>
      </w:pPr>
      <w:r>
        <w:t xml:space="preserve">References</w:t>
      </w:r>
    </w:p>
    <w:p>
      <w:pPr>
        <w:pStyle w:val="Compact"/>
        <w:numPr>
          <w:ilvl w:val="0"/>
          <w:numId w:val="1003"/>
        </w:numPr>
      </w:pPr>
      <w:r>
        <w:t xml:space="preserve">L. A. Barroso, U. Holzle. The Case for Energy-Proportional Computing. IEEE Computer 40(12):33-37, 2007. doi:10.1109/MC.2007.443.</w:t>
      </w:r>
    </w:p>
    <w:p>
      <w:pPr>
        <w:pStyle w:val="Compact"/>
        <w:numPr>
          <w:ilvl w:val="0"/>
          <w:numId w:val="1003"/>
        </w:numPr>
      </w:pPr>
      <w:r>
        <w:t xml:space="preserve">J. You, J.-W. Chung, M. Chowdhury. Zeus: Understanding and Optimizing GPU Energy Consumption of DNN</w:t>
      </w:r>
      <w:r>
        <w:t xml:space="preserve"> </w:t>
      </w:r>
      <w:r>
        <w:t xml:space="preserve">Training. USENIX NSDI 2023. arXiv:2208.06102.</w:t>
      </w:r>
    </w:p>
    <w:p>
      <w:pPr>
        <w:pStyle w:val="Compact"/>
        <w:numPr>
          <w:ilvl w:val="0"/>
          <w:numId w:val="1003"/>
        </w:numPr>
      </w:pPr>
      <w:r>
        <w:t xml:space="preserve">P. Patel, E. Choukse, C. Zhang, I. Goiri, et al. Characterizing Power Management Opportunities for LLMs in the Cloud (POLCA). ASPLOS 2024. doi:10.1145/3620666.3651329.</w:t>
      </w:r>
    </w:p>
    <w:p>
      <w:pPr>
        <w:pStyle w:val="Compact"/>
        <w:numPr>
          <w:ilvl w:val="0"/>
          <w:numId w:val="1003"/>
        </w:numPr>
      </w:pPr>
      <w:r>
        <w:t xml:space="preserve">J. Stojkovic et al. DynamoLLM: Designing LLM Inference Clusters for Performance and Energy Efficiency.</w:t>
      </w:r>
      <w:r>
        <w:t xml:space="preserve"> </w:t>
      </w:r>
      <w:r>
        <w:t xml:space="preserve">IEEE HPCA 2025. arXiv:2408.00741.</w:t>
      </w:r>
    </w:p>
    <w:p>
      <w:pPr>
        <w:pStyle w:val="Compact"/>
        <w:numPr>
          <w:ilvl w:val="0"/>
          <w:numId w:val="1003"/>
        </w:numPr>
      </w:pPr>
      <w:r>
        <w:t xml:space="preserve">S. Teerapittayanon, B. McDanel, H. T. Kung. BranchyNet: Fast Inference via Early Exiting from Deep Neural</w:t>
      </w:r>
      <w:r>
        <w:t xml:space="preserve"> </w:t>
      </w:r>
      <w:r>
        <w:t xml:space="preserve">Networks. ICPR 2016. arXiv:1709.01686.</w:t>
      </w:r>
    </w:p>
    <w:p>
      <w:pPr>
        <w:pStyle w:val="Compact"/>
        <w:numPr>
          <w:ilvl w:val="0"/>
          <w:numId w:val="1003"/>
        </w:numPr>
      </w:pPr>
      <w:r>
        <w:t xml:space="preserve">Y. Bengio, N. Leonard, A. Courville. Estimating or Propagating Gradients Through Stochastic Neurons for</w:t>
      </w:r>
      <w:r>
        <w:t xml:space="preserve"> </w:t>
      </w:r>
      <w:r>
        <w:t xml:space="preserve">Conditional Computation. arXiv:1308.3432, 2013.</w:t>
      </w:r>
    </w:p>
    <w:p>
      <w:pPr>
        <w:pStyle w:val="Compact"/>
        <w:numPr>
          <w:ilvl w:val="0"/>
          <w:numId w:val="1003"/>
        </w:numPr>
      </w:pPr>
      <w:r>
        <w:t xml:space="preserve">Y. Han, G. Huang, S. Song, L. Yang, H. Wang, Y. Wang. Dynamic Neural Networks: A Survey. IEEE TPAMI</w:t>
      </w:r>
      <w:r>
        <w:t xml:space="preserve"> </w:t>
      </w:r>
      <w:r>
        <w:t xml:space="preserve">44(11), 2022. arXiv:2102.04906.</w:t>
      </w:r>
    </w:p>
    <w:p>
      <w:pPr>
        <w:pStyle w:val="Compact"/>
        <w:numPr>
          <w:ilvl w:val="0"/>
          <w:numId w:val="1003"/>
        </w:numPr>
      </w:pPr>
      <w:r>
        <w:t xml:space="preserve">Y. Leviathan, M. Kalman, Y. Matias. Fast Inference from Transformers via Speculative Decoding. ICML 2023.</w:t>
      </w:r>
      <w:r>
        <w:t xml:space="preserve"> </w:t>
      </w:r>
      <w:r>
        <w:t xml:space="preserve">arXiv:2211.17192.</w:t>
      </w:r>
    </w:p>
    <w:p>
      <w:pPr>
        <w:pStyle w:val="Compact"/>
        <w:numPr>
          <w:ilvl w:val="0"/>
          <w:numId w:val="1003"/>
        </w:numPr>
      </w:pPr>
      <w:r>
        <w:t xml:space="preserve">S. Still, D. A. Sivak, A. J. Bell, G. E. Crooks. Thermodynamics of Prediction. Phys. Rev. Lett. 109,</w:t>
      </w:r>
      <w:r>
        <w:t xml:space="preserve"> </w:t>
      </w:r>
      <w:r>
        <w:t xml:space="preserve">120604, 2012. arXiv:1203.3271.</w:t>
      </w:r>
    </w:p>
    <w:p>
      <w:pPr>
        <w:pStyle w:val="Compact"/>
        <w:numPr>
          <w:ilvl w:val="0"/>
          <w:numId w:val="1003"/>
        </w:numPr>
      </w:pPr>
      <w:r>
        <w:t xml:space="preserve">R. Landauer. Irreversibility and Heat Generation in the Computing Process. IBM J. Res. Dev. 5(3):183-191, 1961. doi:10.1147/rd.53.0183.</w:t>
      </w:r>
    </w:p>
    <w:p>
      <w:pPr>
        <w:pStyle w:val="Compact"/>
        <w:numPr>
          <w:ilvl w:val="0"/>
          <w:numId w:val="1003"/>
        </w:numPr>
      </w:pP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Compact"/>
        <w:numPr>
          <w:ilvl w:val="0"/>
          <w:numId w:val="1003"/>
        </w:numPr>
      </w:pPr>
      <w:r>
        <w:t xml:space="preserve">P. Colangelo, A. K. Coskun, J. Megrue, et al. AI data centres as grid-interactive assets. Nature Energy, 2025. doi:10.1038/s41560-025-01927-1.</w:t>
      </w:r>
    </w:p>
    <w:p>
      <w:pPr>
        <w:pStyle w:val="Compact"/>
        <w:numPr>
          <w:ilvl w:val="0"/>
          <w:numId w:val="1003"/>
        </w:numPr>
      </w:pPr>
      <w:r>
        <w:t xml:space="preserve">A. Radovanovic, R. Koningstein, I. Schneider, et al. Carbon-aware computing for datacenters. IEEE Transactions on Power Systems 38(2), 2023. arXiv:2106.11750.</w:t>
      </w:r>
    </w:p>
    <w:p>
      <w:pPr>
        <w:pStyle w:val="Compact"/>
        <w:numPr>
          <w:ilvl w:val="0"/>
          <w:numId w:val="1003"/>
        </w:numPr>
      </w:pPr>
      <w:r>
        <w:t xml:space="preserve">G. Ghatikar, M. A. Piette, S. Fujita, et al. Demand response and open automated demand response opportunities for data centers. Lawrence Berkeley National Laboratory, LBNL-3047E, 2010.</w:t>
      </w:r>
    </w:p>
    <w:p>
      <w:pPr>
        <w:pStyle w:val="Compact"/>
        <w:numPr>
          <w:ilvl w:val="0"/>
          <w:numId w:val="1003"/>
        </w:numPr>
      </w:pPr>
      <w:r>
        <w:t xml:space="preserve">X. Fan, W.-D. Weber, L. A. Barroso. Power provisioning for a warehouse-sized computer. ISCA 2007. doi:10.1145/1250662.1250665.</w:t>
      </w:r>
    </w:p>
    <w:p>
      <w:pPr>
        <w:pStyle w:val="Compact"/>
        <w:numPr>
          <w:ilvl w:val="0"/>
          <w:numId w:val="1003"/>
        </w:numPr>
      </w:pPr>
      <w:r>
        <w:t xml:space="preserve">P. Patel, E. Choukse, C. Zhang, et al. Splitwise: Efficient generative LLM inference using phase splitting. ISCA 2024. doi:10.1109/ISCA59077.2024.00019.</w:t>
      </w:r>
    </w:p>
    <w:p>
      <w:pPr>
        <w:pStyle w:val="Compact"/>
        <w:numPr>
          <w:ilvl w:val="0"/>
          <w:numId w:val="1003"/>
        </w:numPr>
      </w:pPr>
      <w:r>
        <w:t xml:space="preserve">Z. Tang, Y. Wang, Q. Wang, X. Chu. The Impact of GPU DVFS on the Energy and Performance of Deep Learning:</w:t>
      </w:r>
      <w:r>
        <w:t xml:space="preserve"> </w:t>
      </w:r>
      <w:r>
        <w:t xml:space="preserve">An Empirical Study. ACM e-Energy 2019. doi:10.1145/3307772.3328315.</w:t>
      </w:r>
    </w:p>
    <w:p>
      <w:pPr>
        <w:pStyle w:val="Compact"/>
        <w:numPr>
          <w:ilvl w:val="0"/>
          <w:numId w:val="1003"/>
        </w:numPr>
      </w:pPr>
      <w:r>
        <w:t xml:space="preserve">X. Mei, L. S. Yung, K. Zhao, X. Chu. A Survey and Measurement Study of GPU DVFS on Energy Conservation.</w:t>
      </w:r>
      <w:r>
        <w:t xml:space="preserve"> </w:t>
      </w:r>
      <w:r>
        <w:t xml:space="preserve">Digital Communications and Networks 3(2):89-100, 2017. doi:10.1016/j.dcan.2016.10.001.</w:t>
      </w:r>
    </w:p>
    <w:p>
      <w:pPr>
        <w:pStyle w:val="Compact"/>
        <w:numPr>
          <w:ilvl w:val="0"/>
          <w:numId w:val="1003"/>
        </w:numPr>
      </w:pPr>
      <w:r>
        <w:t xml:space="preserve">R. Gonzalez, M. Horowitz. Energy Dissipation in General Purpose Microprocessors. IEEE J. Solid-State</w:t>
      </w:r>
      <w:r>
        <w:t xml:space="preserve"> </w:t>
      </w:r>
      <w:r>
        <w:t xml:space="preserve">Circuits 31(9):1277-1284, 1996. doi:10.1109/4.535411.</w:t>
      </w:r>
    </w:p>
    <w:p>
      <w:pPr>
        <w:pStyle w:val="Compact"/>
        <w:numPr>
          <w:ilvl w:val="0"/>
          <w:numId w:val="1003"/>
        </w:numPr>
      </w:pPr>
      <w:r>
        <w:t xml:space="preserve">J.-W. Chung, Y. Gu, I. Jang, et al. Perseus: Reducing Energy Bloat in Large Model Training. ACM SOSP 2024.</w:t>
      </w:r>
      <w:r>
        <w:t xml:space="preserve"> </w:t>
      </w:r>
      <w:r>
        <w:t xml:space="preserve">doi:10.1145/3694715.3695970.</w:t>
      </w:r>
    </w:p>
    <w:p>
      <w:pPr>
        <w:pStyle w:val="Compact"/>
        <w:numPr>
          <w:ilvl w:val="0"/>
          <w:numId w:val="1003"/>
        </w:numPr>
      </w:pP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Compact"/>
        <w:numPr>
          <w:ilvl w:val="0"/>
          <w:numId w:val="1003"/>
        </w:numPr>
      </w:pPr>
      <w:r>
        <w:t xml:space="preserve">H. Qiu, W. Mao, A. Patke, et al. Power-aware Deep Learning Model Serving with μ-Serve. USENIX ATC 2024.</w:t>
      </w:r>
    </w:p>
    <w:p>
      <w:pPr>
        <w:pStyle w:val="Compact"/>
        <w:numPr>
          <w:ilvl w:val="0"/>
          <w:numId w:val="1003"/>
        </w:numPr>
      </w:pPr>
      <w:r>
        <w:t xml:space="preserve">G.-I. Yu, J. S. Jeong, G.-W. Kim, S. Kim, B.-G. Chun. Orca: A Distributed Serving System for</w:t>
      </w:r>
      <w:r>
        <w:t xml:space="preserve"> </w:t>
      </w:r>
      <w:r>
        <w:t xml:space="preserve">Transformer-Based Generative Models. USENIX OSDI 2022.</w:t>
      </w:r>
    </w:p>
    <w:p>
      <w:pPr>
        <w:pStyle w:val="Compact"/>
        <w:numPr>
          <w:ilvl w:val="0"/>
          <w:numId w:val="1003"/>
        </w:numPr>
      </w:pPr>
      <w:r>
        <w:t xml:space="preserve">W. Kwon, Z. Li, S. Zhuang, et al. Efficient Memory Management for Large Language Model Serving with</w:t>
      </w:r>
      <w:r>
        <w:t xml:space="preserve"> </w:t>
      </w:r>
      <w:r>
        <w:t xml:space="preserve">PagedAttention. ACM SOSP 2023. arXiv:2309.06180.</w:t>
      </w:r>
    </w:p>
    <w:p>
      <w:pPr>
        <w:pStyle w:val="Compact"/>
        <w:numPr>
          <w:ilvl w:val="0"/>
          <w:numId w:val="1003"/>
        </w:numPr>
      </w:pPr>
      <w:r>
        <w:t xml:space="preserve">A. Agrawal, N. Kedia, A. Panwar, et al. Taming Throughput-Latency Tradeoff in LLM Inference with</w:t>
      </w:r>
      <w:r>
        <w:t xml:space="preserve"> </w:t>
      </w:r>
      <w:r>
        <w:t xml:space="preserve">Sarathi-Serve. USENIX OSDI 2024. arXiv:2403.02310.</w:t>
      </w:r>
    </w:p>
    <w:p>
      <w:pPr>
        <w:pStyle w:val="Compact"/>
        <w:numPr>
          <w:ilvl w:val="0"/>
          <w:numId w:val="1003"/>
        </w:numPr>
      </w:pPr>
      <w:r>
        <w:t xml:space="preserve">Y. Zhong, S. Liu, J. Chen, et al. DistServe: Disaggregating Prefill and Decoding for Goodput-optimized</w:t>
      </w:r>
      <w:r>
        <w:t xml:space="preserve"> </w:t>
      </w:r>
      <w:r>
        <w:t xml:space="preserve">Large Language Model Serving. USENIX OSDI 2024. arXiv:2401.09670.</w:t>
      </w:r>
    </w:p>
    <w:p>
      <w:pPr>
        <w:pStyle w:val="Compact"/>
        <w:numPr>
          <w:ilvl w:val="0"/>
          <w:numId w:val="1003"/>
        </w:numPr>
      </w:pPr>
      <w:r>
        <w:t xml:space="preserve">D. Narayanan, K. Santhanam, F. Kazhamiaka, et al. Heterogeneity-Aware Cluster Scheduling Policies for Deep</w:t>
      </w:r>
      <w:r>
        <w:t xml:space="preserve"> </w:t>
      </w:r>
      <w:r>
        <w:t xml:space="preserve">Learning Workloads. USENIX OSDI 2020. arXiv:2008.09213.</w:t>
      </w:r>
    </w:p>
    <w:p>
      <w:pPr>
        <w:pStyle w:val="Compact"/>
        <w:numPr>
          <w:ilvl w:val="0"/>
          <w:numId w:val="1003"/>
        </w:numPr>
      </w:pPr>
      <w:r>
        <w:t xml:space="preserve">B. Acun, B. Lee, F. Kazhamiaka, et al. Carbon Explorer: A Holistic Framework for Designing Carbon Aware</w:t>
      </w:r>
      <w:r>
        <w:t xml:space="preserve"> </w:t>
      </w:r>
      <w:r>
        <w:t xml:space="preserve">Datacenters. ACM ASPLOS 2023. doi:10.1145/3575693.3575754.</w:t>
      </w:r>
    </w:p>
    <w:p>
      <w:pPr>
        <w:pStyle w:val="Compact"/>
        <w:numPr>
          <w:ilvl w:val="0"/>
          <w:numId w:val="1003"/>
        </w:numPr>
      </w:pPr>
      <w:r>
        <w:t xml:space="preserve">A. Souza, N. Bashir, J. Murillo, et al. Ecovisor: A Virtual Energy System for Carbon-Efficient</w:t>
      </w:r>
      <w:r>
        <w:t xml:space="preserve"> </w:t>
      </w:r>
      <w:r>
        <w:t xml:space="preserve">Applications. ACM ASPLOS 2023. doi:10.1145/3575693.3575709.</w:t>
      </w:r>
    </w:p>
    <w:p>
      <w:pPr>
        <w:pStyle w:val="Compact"/>
        <w:numPr>
          <w:ilvl w:val="0"/>
          <w:numId w:val="1003"/>
        </w:numPr>
      </w:pP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Compact"/>
        <w:numPr>
          <w:ilvl w:val="0"/>
          <w:numId w:val="1003"/>
        </w:numPr>
      </w:pP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Compact"/>
        <w:numPr>
          <w:ilvl w:val="0"/>
          <w:numId w:val="1003"/>
        </w:numPr>
      </w:pPr>
      <w:r>
        <w:t xml:space="preserve">J.-W. Chung, J. J. Ma, R. Wu, et al. The ML.ENERGY Benchmark: Toward Automated Inference Energy</w:t>
      </w:r>
      <w:r>
        <w:t xml:space="preserve"> </w:t>
      </w:r>
      <w:r>
        <w:t xml:space="preserve">Measurement and Optimization. arXiv:2505.06371, 2025.</w:t>
      </w:r>
    </w:p>
    <w:p>
      <w:pPr>
        <w:pStyle w:val="Compact"/>
        <w:numPr>
          <w:ilvl w:val="0"/>
          <w:numId w:val="1003"/>
        </w:numPr>
      </w:pPr>
      <w:r>
        <w:t xml:space="preserve">S. Samsi, D. Zhao, J. McDonald, et al. From Words to Watts: Benchmarking the Energy Costs of Large</w:t>
      </w:r>
      <w:r>
        <w:t xml:space="preserve"> </w:t>
      </w:r>
      <w:r>
        <w:t xml:space="preserve">Language Model Inference. IEEE HPEC 2023. arXiv:2310.03003.</w:t>
      </w:r>
    </w:p>
    <w:p>
      <w:pPr>
        <w:pStyle w:val="Compact"/>
        <w:numPr>
          <w:ilvl w:val="0"/>
          <w:numId w:val="1003"/>
        </w:numPr>
      </w:pPr>
      <w:r>
        <w:t xml:space="preserve">A. de Vries. The Growing Energy Footprint of Artificial Intelligence. Joule 7(10):2191-2194, 2023.</w:t>
      </w:r>
      <w:r>
        <w:t xml:space="preserve"> </w:t>
      </w:r>
      <w:r>
        <w:t xml:space="preserve">doi:10.1016/j.joule.2023.09.004.</w:t>
      </w:r>
    </w:p>
    <w:p>
      <w:pPr>
        <w:pStyle w:val="Compact"/>
        <w:numPr>
          <w:ilvl w:val="0"/>
          <w:numId w:val="1003"/>
        </w:numPr>
      </w:pPr>
      <w:r>
        <w:t xml:space="preserve">F. Yao, A. Demers, S. Shenker. A Scheduling Model for Reduced CPU Energy. IEEE FOCS 1995.</w:t>
      </w:r>
      <w:r>
        <w:t xml:space="preserve"> </w:t>
      </w:r>
      <w:r>
        <w:t xml:space="preserve">doi:10.1109/SFCS.1995.492493.</w:t>
      </w:r>
    </w:p>
    <w:p>
      <w:pPr>
        <w:pStyle w:val="Compact"/>
        <w:numPr>
          <w:ilvl w:val="0"/>
          <w:numId w:val="1003"/>
        </w:numPr>
      </w:pPr>
      <w:r>
        <w:t xml:space="preserve">A. Miyoshi, C. Lefurgy, E. Van Hensbergen, R. Rajamony, R. Rajkumar. Critical Power Slope: Understanding</w:t>
      </w:r>
      <w:r>
        <w:t xml:space="preserve"> </w:t>
      </w:r>
      <w:r>
        <w:t xml:space="preserve">the Runtime Effects of Frequency Scaling. ACM ICS 2002. doi:10.1145/514191.514200.</w:t>
      </w:r>
    </w:p>
    <w:p>
      <w:pPr>
        <w:pStyle w:val="Compact"/>
        <w:numPr>
          <w:ilvl w:val="0"/>
          <w:numId w:val="1003"/>
        </w:numPr>
      </w:pPr>
      <w:r>
        <w:t xml:space="preserve">A. Gandhi, M. Harchol-Balter, R. Das, C. Lefurgy. Optimal Power Allocation in Server Farms. ACM SIGMETRICS</w:t>
      </w:r>
      <w:r>
        <w:t xml:space="preserve"> </w:t>
      </w:r>
      <w:r>
        <w:t xml:space="preserve">2009. doi:10.1145/1555349.1555368.</w:t>
      </w:r>
    </w:p>
    <w:p>
      <w:pPr>
        <w:pStyle w:val="Compact"/>
        <w:numPr>
          <w:ilvl w:val="0"/>
          <w:numId w:val="1003"/>
        </w:numPr>
      </w:pPr>
      <w:r>
        <w:t xml:space="preserve">S. Hong, H. Kim. An Integrated GPU Power and Performance Model. ACM/IEEE ISCA 2010.</w:t>
      </w:r>
      <w:r>
        <w:t xml:space="preserve"> </w:t>
      </w:r>
      <w:r>
        <w:t xml:space="preserve">doi:10.1145/1815961.1815998.</w:t>
      </w:r>
    </w:p>
    <w:p>
      <w:pPr>
        <w:pStyle w:val="Compact"/>
        <w:numPr>
          <w:ilvl w:val="0"/>
          <w:numId w:val="1003"/>
        </w:numPr>
      </w:pPr>
      <w:r>
        <w:t xml:space="preserve">J. Leng, T. Hetherington, A. ElTantawy, et al. GPUWattch: Enabling Energy Optimizations in GPGPUs. ACM/IEEE</w:t>
      </w:r>
      <w:r>
        <w:t xml:space="preserve"> </w:t>
      </w:r>
      <w:r>
        <w:t xml:space="preserve">ISCA 2013. doi:10.1145/2508148.2485964.</w:t>
      </w:r>
    </w:p>
    <w:p>
      <w:pPr>
        <w:pStyle w:val="Compact"/>
        <w:numPr>
          <w:ilvl w:val="0"/>
          <w:numId w:val="1003"/>
        </w:numPr>
      </w:pP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Compact"/>
        <w:numPr>
          <w:ilvl w:val="0"/>
          <w:numId w:val="1003"/>
        </w:numPr>
      </w:pPr>
      <w:r>
        <w:t xml:space="preserve">A. Qureshi, R. Weber, H. Balakrishnan, J. Guttag, B. Maggs. Cutting the Electric Bill for Internet-Scale</w:t>
      </w:r>
      <w:r>
        <w:t xml:space="preserve"> </w:t>
      </w:r>
      <w:r>
        <w:t xml:space="preserve">Systems. ACM SIGCOMM 2009. doi:10.1145/1592568.1592584.</w:t>
      </w:r>
    </w:p>
    <w:p>
      <w:pPr>
        <w:pStyle w:val="Compact"/>
        <w:numPr>
          <w:ilvl w:val="0"/>
          <w:numId w:val="1003"/>
        </w:numPr>
      </w:pPr>
      <w:r>
        <w:t xml:space="preserve">I. Goiri, K. Le, M. E. Haque, et al. GreenSlot: Scheduling Energy Consumption in Green Datacenters. ACM/IEEE</w:t>
      </w:r>
      <w:r>
        <w:t xml:space="preserve"> </w:t>
      </w:r>
      <w:r>
        <w:t xml:space="preserve">SC 2011. doi:10.1145/2063384.2063411.</w:t>
      </w:r>
    </w:p>
    <w:p>
      <w:pPr>
        <w:pStyle w:val="Compact"/>
        <w:numPr>
          <w:ilvl w:val="0"/>
          <w:numId w:val="1003"/>
        </w:numPr>
      </w:pPr>
      <w:r>
        <w:t xml:space="preserve">C. Hankendi, et al. PALS: Power-Aware LLM Serving for Mixture-of-Experts Models. arXiv:2605.21427, 2026.</w:t>
      </w:r>
    </w:p>
    <w:p>
      <w:pPr>
        <w:pStyle w:val="Compact"/>
        <w:numPr>
          <w:ilvl w:val="0"/>
          <w:numId w:val="1003"/>
        </w:numPr>
      </w:pPr>
      <w:r>
        <w:t xml:space="preserve">T. Wang, et al. Energy-Aware Scheduling for Serverless LLM Serving on Shared GPUs. arXiv:2606.30391, 2026.</w:t>
      </w:r>
    </w:p>
    <w:p>
      <w:pPr>
        <w:pStyle w:val="Compact"/>
        <w:numPr>
          <w:ilvl w:val="0"/>
          <w:numId w:val="1003"/>
        </w:numPr>
      </w:pPr>
      <w:r>
        <w:t xml:space="preserve">A. K. Kakolyris, et al. SLO-aware GPU Frequency Scaling for Energy Efficient LLM Inference Serving.</w:t>
      </w:r>
      <w:r>
        <w:t xml:space="preserve"> </w:t>
      </w:r>
      <w:r>
        <w:t xml:space="preserve">arXiv:2408.05235, 2024.</w:t>
      </w:r>
    </w:p>
    <w:p>
      <w:pPr>
        <w:pStyle w:val="Compact"/>
        <w:numPr>
          <w:ilvl w:val="0"/>
          <w:numId w:val="1003"/>
        </w:numPr>
      </w:pPr>
      <w:r>
        <w:t xml:space="preserve">Q. Liu, et al. GreenLLM: SLO-Aware Dynamic Frequency Scaling for Energy-Efficient LLM Serving.</w:t>
      </w:r>
      <w:r>
        <w:t xml:space="preserve"> </w:t>
      </w:r>
      <w:r>
        <w:t xml:space="preserve">arXiv:2508.16449, 2025.</w:t>
      </w:r>
    </w:p>
    <w:p>
      <w:pPr>
        <w:pStyle w:val="Compact"/>
        <w:numPr>
          <w:ilvl w:val="0"/>
          <w:numId w:val="1003"/>
        </w:numPr>
      </w:pPr>
      <w:r>
        <w:t xml:space="preserve">J. Stojkovic, et al. TAPAS: Thermal- and Power-Aware Scheduling for LLM Inference in Cloud Platforms. ACM</w:t>
      </w:r>
      <w:r>
        <w:t xml:space="preserve"> </w:t>
      </w:r>
      <w:r>
        <w:t xml:space="preserve">ASPLOS 2025. doi:10.1145/3676641.3716025.</w:t>
      </w:r>
    </w:p>
    <w:p>
      <w:pPr>
        <w:pStyle w:val="Compact"/>
        <w:numPr>
          <w:ilvl w:val="0"/>
          <w:numId w:val="1003"/>
        </w:numPr>
      </w:pPr>
      <w:r>
        <w:t xml:space="preserve">M. Fadel Argerich, et al. Watt Counts: Energy-Aware Benchmark for Sustainable LLM Inference on Heterogeneous</w:t>
      </w:r>
      <w:r>
        <w:t xml:space="preserve"> </w:t>
      </w:r>
      <w:r>
        <w:t xml:space="preserve">GPU Architectures. arXiv:2604.09048, 2026.</w:t>
      </w:r>
    </w:p>
    <w:p>
      <w:pPr>
        <w:pStyle w:val="Compact"/>
        <w:numPr>
          <w:ilvl w:val="0"/>
          <w:numId w:val="1003"/>
        </w:numPr>
      </w:pPr>
      <w:r>
        <w:t xml:space="preserve">C. E. Tripp, et al. Measuring the Energy Consumption and Efficiency of Deep Neural Networks: An Empirical</w:t>
      </w:r>
      <w:r>
        <w:t xml:space="preserve"> </w:t>
      </w:r>
      <w:r>
        <w:t xml:space="preserve">Analysis and Design Recommendations. arXiv:2403.08151, 2024.</w:t>
      </w:r>
    </w:p>
    <w:p>
      <w:pPr>
        <w:pStyle w:val="Compact"/>
        <w:numPr>
          <w:ilvl w:val="0"/>
          <w:numId w:val="1003"/>
        </w:numPr>
      </w:pPr>
      <w:r>
        <w:t xml:space="preserve">E. J. Husom, et al. The Price of Prompting: Profiling Energy Use in Large Language Models Inference.</w:t>
      </w:r>
      <w:r>
        <w:t xml:space="preserve"> </w:t>
      </w:r>
      <w:r>
        <w:t xml:space="preserve">arXiv:2407.16893, 2024.</w:t>
      </w:r>
    </w:p>
    <w:p>
      <w:pPr>
        <w:pStyle w:val="Compact"/>
        <w:numPr>
          <w:ilvl w:val="0"/>
          <w:numId w:val="1003"/>
        </w:numPr>
      </w:pPr>
      <w:r>
        <w:t xml:space="preserve">Y. Li, et al. EcoServe: Designing Carbon-Aware AI Inference Systems. arXiv:2502.05043, 2025.</w:t>
      </w:r>
    </w:p>
    <w:p>
      <w:pPr>
        <w:pStyle w:val="Compact"/>
        <w:numPr>
          <w:ilvl w:val="0"/>
          <w:numId w:val="1003"/>
        </w:numPr>
      </w:pPr>
      <w:r>
        <w:t xml:space="preserve">M. Elhoushi, et al. LayerSkip: Enabling Early Exit Inference and Self-Speculative Decoding. arXiv:2404.16710,</w:t>
      </w:r>
      <w:r>
        <w:t xml:space="preserve"> </w:t>
      </w:r>
      <w:r>
        <w:t xml:space="preserve">2024.</w:t>
      </w:r>
    </w:p>
    <w:p>
      <w:pPr>
        <w:pStyle w:val="Compact"/>
        <w:numPr>
          <w:ilvl w:val="0"/>
          <w:numId w:val="1003"/>
        </w:numPr>
      </w:pPr>
      <w:r>
        <w:t xml:space="preserve">J. Xin, R. Tang, J. Lee, Y. Yu, J. Lin. DeeBERT: Dynamic Early Exiting for Accelerating BERT Inference. ACL</w:t>
      </w:r>
      <w:r>
        <w:t xml:space="preserve"> </w:t>
      </w:r>
      <w:r>
        <w:t xml:space="preserve">2020. doi:10.18653/v1/2020.acl-main.204.</w:t>
      </w:r>
    </w:p>
    <w:p>
      <w:pPr>
        <w:pStyle w:val="Compact"/>
        <w:numPr>
          <w:ilvl w:val="0"/>
          <w:numId w:val="1003"/>
        </w:numPr>
      </w:pPr>
      <w:r>
        <w:t xml:space="preserve">G. Huang, D. Chen, T. Li, F. Wu, L. van der Maaten, K. Q. Weinberger. Multi-Scale Dense Networks for</w:t>
      </w:r>
      <w:r>
        <w:t xml:space="preserve"> </w:t>
      </w:r>
      <w:r>
        <w:t xml:space="preserve">Resource Efficient Image Classification. ICLR 2018. arXiv:1703.09844.</w:t>
      </w:r>
    </w:p>
    <w:p>
      <w:pPr>
        <w:pStyle w:val="Compact"/>
        <w:numPr>
          <w:ilvl w:val="0"/>
          <w:numId w:val="1003"/>
        </w:numPr>
      </w:pPr>
      <w:r>
        <w:t xml:space="preserve">X. Wang, F. Yu, Z.-Y. Dou, T. Darrell, J. E. Gonzalez. SkipNet: Learning Dynamic Routing in Convolutional</w:t>
      </w:r>
      <w:r>
        <w:t xml:space="preserve"> </w:t>
      </w:r>
      <w:r>
        <w:t xml:space="preserve">Networks. ECCV 2018. arXiv:1711.09485.</w:t>
      </w:r>
    </w:p>
    <w:p>
      <w:pPr>
        <w:pStyle w:val="Compact"/>
        <w:numPr>
          <w:ilvl w:val="0"/>
          <w:numId w:val="1003"/>
        </w:numPr>
      </w:pPr>
      <w:r>
        <w:t xml:space="preserve">Y. Zhan, M. Ghamkhari, D. Xu, S. Ren, H. Mohsenian-Rad. Extending Demand Response to Tenants in Cloud Data</w:t>
      </w:r>
      <w:r>
        <w:t xml:space="preserve"> </w:t>
      </w:r>
      <w:r>
        <w:t xml:space="preserve">Centers via Non-intrusive Workload Flexibility Pricing. arXiv:1603.05746, 2016.</w:t>
      </w:r>
    </w:p>
    <w:p>
      <w:pPr>
        <w:pStyle w:val="Compact"/>
        <w:numPr>
          <w:ilvl w:val="0"/>
          <w:numId w:val="1003"/>
        </w:numPr>
      </w:pP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Compact"/>
        <w:numPr>
          <w:ilvl w:val="0"/>
          <w:numId w:val="1003"/>
        </w:numPr>
      </w:pPr>
      <w:r>
        <w:t xml:space="preserve">P. Liu, G. Bravo-Rocca, J. Guitart. Energy-Aware Dynamic Pricing Model for Cloud Environments. GECON 2019.</w:t>
      </w:r>
      <w:r>
        <w:t xml:space="preserve"> </w:t>
      </w:r>
      <w:r>
        <w:t xml:space="preserve">doi:10.1007/978-3-030-36027-6_7.</w:t>
      </w:r>
    </w:p>
    <w:p>
      <w:pPr>
        <w:pStyle w:val="Compact"/>
        <w:numPr>
          <w:ilvl w:val="0"/>
          <w:numId w:val="1003"/>
        </w:numPr>
      </w:pP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Compact"/>
        <w:numPr>
          <w:ilvl w:val="0"/>
          <w:numId w:val="1003"/>
        </w:numPr>
      </w:pPr>
      <w:r>
        <w:t xml:space="preserve">Airbus. Getting to Grips with the Cost Index, Issue II. Flight Operations Support and Line Assistance,</w:t>
      </w:r>
      <w:r>
        <w:t xml:space="preserve"> </w:t>
      </w:r>
      <w:r>
        <w:t xml:space="preserve">Customer Services Directorate, Airbus, Blagnac, France, 1998.</w:t>
      </w:r>
    </w:p>
    <w:bookmarkEnd w:id="41"/>
    <w:bookmarkEnd w:id="42"/>
    <w:sectPr w:rsidR="00FC693F" w:rsidRPr="0006063C" w:rsidSect="00034616">
      <w:pgSz w:h="15840" w:w="12240"/>
      <w:pgMar w:bottom="1080" w:footer="720" w:gutter="0" w:header="720" w:left="1080" w:right="108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hanging="259" w:left="317"/>
      <w:jc w:val="both"/>
    </w:pPr>
    <w:rPr>
      <w:rFonts w:ascii="Times New Roman" w:hAnsi="Times New Roman"/>
      <w:b w:val="0"/>
      <w:i w:val="0"/>
      <w:sz w:val="20"/>
    </w:rPr>
  </w:style>
  <w:style w:customStyle="1" w:styleId="AbstractLabel" w:type="paragraph">
    <w:name w:val="Abstract Label"/>
    <w:basedOn w:val="BodyText"/>
    <w:pPr>
      <w:keepNext/>
      <w:spacing w:after="80" w:before="80"/>
      <w:jc w:val="center"/>
    </w:pPr>
    <w:rPr>
      <w:rFonts w:ascii="Times New Roman" w:hAnsi="Times New Roman"/>
      <w:b/>
      <w:i w:val="0"/>
      <w:sz w:val="20"/>
    </w:rPr>
  </w:style>
  <w:style w:customStyle="1" w:styleId="Keywords" w:type="paragraph">
    <w:name w:val="Keywords"/>
    <w:basedOn w:val="BodyText"/>
    <w:pPr>
      <w:keepNext w:val="0"/>
      <w:spacing w:after="80" w:befor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32" Target="media/rId32.png" /><Relationship Type="http://schemas.openxmlformats.org/officeDocument/2006/relationships/hyperlink" Id="rId39" Target="https://doi.org/10.5281/zenodo.22058568"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220585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2026-09-05T05:38:23Z</dcterms:created>
  <dcterms:modified xsi:type="dcterms:W3CDTF">2026-09-05T05:38:23Z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