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D7DFC" w14:textId="30B1D67D" w:rsidR="007E326C" w:rsidRPr="00BF5F39" w:rsidRDefault="007E326C" w:rsidP="007E326C">
      <w:pPr>
        <w:pStyle w:val="MDPI11articletype"/>
      </w:pPr>
      <w:r w:rsidRPr="00BF5F39">
        <w:t>Article</w:t>
      </w:r>
    </w:p>
    <w:p w14:paraId="08970651" w14:textId="088A894A" w:rsidR="007E326C" w:rsidRPr="00BF5F39" w:rsidRDefault="004757AE" w:rsidP="007E326C">
      <w:pPr>
        <w:pStyle w:val="MDPI12title"/>
      </w:pPr>
      <w:r>
        <w:t xml:space="preserve">Title: Concise and Informative</w:t>
      </w:r>
    </w:p>
    <w:p w14:paraId="24D9F5C5" w14:textId="2E36D152" w:rsidR="004A6017" w:rsidRPr="00BF5F39" w:rsidRDefault="00D453B1" w:rsidP="007E326C">
      <w:pPr>
        <w:pStyle w:val="MDPI13authornames"/>
      </w:pPr>
      <w:proofErr w:type="gramStart"/>
      <w:proofErr w:type="gramEnd"/>
      <w:r>
        <w:t xml:space="preserve">Firstname Lastname 1,*, Firstname Lastname 2 and Firstname Lastname 3</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4A6017" w:rsidRPr="00BF5F39" w14:paraId="5F776AF6" w14:textId="77777777" w:rsidTr="000E60BC">
        <w:tc>
          <w:tcPr>
            <w:tcW w:w="2410" w:type="dxa"/>
          </w:tcPr>
          <w:p w14:paraId="58B63DB6" w14:textId="77777777" w:rsidR="004A6017" w:rsidRPr="00BF5F39" w:rsidRDefault="004A6017" w:rsidP="000E60BC">
            <w:pPr>
              <w:pStyle w:val="MDPI15academiceditor"/>
              <w:spacing w:before="0" w:after="120"/>
            </w:pPr>
            <w:r w:rsidRPr="00BF5F39">
              <w:t xml:space="preserve">Academic Editor: </w:t>
            </w:r>
            <w:proofErr w:type="spellStart"/>
            <w:r w:rsidRPr="00BF5F39">
              <w:t>Firstname</w:t>
            </w:r>
            <w:proofErr w:type="spellEnd"/>
            <w:r w:rsidRPr="00BF5F39">
              <w:t xml:space="preserve"> Lastname</w:t>
            </w:r>
          </w:p>
          <w:p w14:paraId="626A6354" w14:textId="77777777" w:rsidR="004A6017" w:rsidRPr="00BF5F39" w:rsidRDefault="004A6017" w:rsidP="000E60BC">
            <w:pPr>
              <w:pStyle w:val="MDPI14history"/>
              <w:spacing w:before="120"/>
            </w:pPr>
            <w:r w:rsidRPr="00BF5F39">
              <w:t>Received: date</w:t>
            </w:r>
          </w:p>
          <w:p w14:paraId="26718328" w14:textId="77777777" w:rsidR="004A6017" w:rsidRPr="00BF5F39" w:rsidRDefault="004A6017" w:rsidP="000E60BC">
            <w:pPr>
              <w:pStyle w:val="MDPI14history"/>
            </w:pPr>
            <w:r w:rsidRPr="00BF5F39">
              <w:t>Revised: date</w:t>
            </w:r>
          </w:p>
          <w:p w14:paraId="6BC14FC0" w14:textId="77777777" w:rsidR="004A6017" w:rsidRPr="00BF5F39" w:rsidRDefault="004A6017" w:rsidP="000E60BC">
            <w:pPr>
              <w:pStyle w:val="MDPI14history"/>
            </w:pPr>
            <w:r w:rsidRPr="00BF5F39">
              <w:t>Accepted: date</w:t>
            </w:r>
          </w:p>
          <w:p w14:paraId="721D57C2" w14:textId="77777777" w:rsidR="004A6017" w:rsidRPr="00BF5F39" w:rsidRDefault="004A6017" w:rsidP="000E60BC">
            <w:pPr>
              <w:pStyle w:val="MDPI14history"/>
              <w:spacing w:after="120"/>
            </w:pPr>
            <w:r w:rsidRPr="00BF5F39">
              <w:t>Published: date</w:t>
            </w:r>
          </w:p>
          <w:p w14:paraId="6ABC939A" w14:textId="77777777" w:rsidR="004A6017" w:rsidRPr="00BF5F39" w:rsidRDefault="004A6017" w:rsidP="000E60BC">
            <w:pPr>
              <w:pStyle w:val="MDPI72copyright"/>
              <w:rPr>
                <w:rFonts w:eastAsia="DengXian"/>
                <w:noProof w:val="0"/>
                <w:lang w:val="en-US" w:bidi="en-US"/>
              </w:rPr>
            </w:pPr>
            <w:r w:rsidRPr="00BF5F39">
              <w:rPr>
                <w:rFonts w:eastAsia="DengXian"/>
                <w:b/>
                <w:noProof w:val="0"/>
                <w:lang w:val="en-US" w:bidi="en-US"/>
              </w:rPr>
              <w:t>Copyright:</w:t>
            </w:r>
            <w:r w:rsidRPr="00BF5F39">
              <w:rPr>
                <w:rFonts w:eastAsia="DengXian"/>
                <w:noProof w:val="0"/>
                <w:lang w:val="en-US" w:bidi="en-US"/>
              </w:rPr>
              <w:t xml:space="preserve"> © </w:t>
            </w:r>
            <w:r>
              <w:rPr>
                <w:rFonts w:eastAsia="DengXian"/>
                <w:noProof w:val="0"/>
                <w:lang w:val="en-US" w:bidi="en-US"/>
              </w:rPr>
              <w:t>2026</w:t>
            </w:r>
            <w:r w:rsidRPr="00BF5F39">
              <w:rPr>
                <w:rFonts w:eastAsia="DengXian"/>
                <w:noProof w:val="0"/>
                <w:lang w:val="en-US" w:bidi="en-US"/>
              </w:rPr>
              <w:t xml:space="preserve"> by the authors. Submitted for possible open access publication under the terms and conditions of the </w:t>
            </w:r>
            <w:hyperlink r:id="rId7" w:history="1">
              <w:r w:rsidRPr="004A6017">
                <w:rPr>
                  <w:rStyle w:val="Hyperlink"/>
                  <w:rFonts w:eastAsia="DengXian"/>
                  <w:noProof w:val="0"/>
                  <w:u w:val="none"/>
                  <w:lang w:val="en-US" w:bidi="en-US"/>
                </w:rPr>
                <w:t>Creative Commons Attribution (CC BY) license</w:t>
              </w:r>
            </w:hyperlink>
            <w:r>
              <w:rPr>
                <w:rFonts w:eastAsia="DengXian"/>
                <w:noProof w:val="0"/>
                <w:lang w:val="en-US" w:bidi="en-US"/>
              </w:rPr>
              <w:t>.</w:t>
            </w:r>
          </w:p>
        </w:tc>
      </w:tr>
    </w:tbl>
    <w:p w14:paraId="034F4E6A" w14:textId="1485AD00" w:rsidR="007E326C" w:rsidRPr="002938C4" w:rsidRDefault="00D06FE4" w:rsidP="007E326C">
      <w:pPr>
        <w:pStyle w:val="MDPI16affiliation"/>
      </w:pPr>
      <w:r>
        <w:t xml:space="preserve">1	First affiliation; email1@example.com</w:t>
      </w:r>
    </w:p>
    <w:p w14:paraId="147FF354" w14:textId="60C20F73" w:rsidR="007E326C" w:rsidRPr="002938C4" w:rsidRDefault="007E326C" w:rsidP="007E326C">
      <w:pPr>
        <w:pStyle w:val="MDPI16affiliation"/>
      </w:pPr>
      <w:r>
        <w:t xml:space="preserve">2	Second affiliation; email2@example.com</w:t>
      </w:r>
    </w:p>
    <w:p w14:paraId="15D03709" w14:textId="2BA5B26E" w:rsidR="008F4315" w:rsidRPr="00BF5F39" w:rsidRDefault="008F4315" w:rsidP="00661717">
      <w:pPr>
        <w:pStyle w:val="MDPI16affiliation"/>
      </w:pPr>
      <w:r>
        <w:t xml:space="preserve">*	Correspondence: corresponding.author@example.com</w:t>
      </w:r>
    </w:p>
    <w:p w14:paraId="0BA6A78D" w14:textId="54A74AB2" w:rsidR="007E326C" w:rsidRPr="00BF5F39" w:rsidRDefault="007E326C" w:rsidP="00D453B1">
      <w:pPr>
        <w:pStyle w:val="MDPI16affiliation"/>
      </w:pPr>
      <w:r>
        <w:t xml:space="preserve"/>
      </w:r>
    </w:p>
    <w:p w14:paraId="13768206" w14:textId="77777777" w:rsidR="00D756C4" w:rsidRPr="00D756C4" w:rsidRDefault="007E326C" w:rsidP="00D756C4">
      <w:pPr>
        <w:pStyle w:val="MDPI17abstract"/>
        <w:jc w:val="left"/>
        <w:rPr>
          <w:b/>
        </w:rPr>
      </w:pPr>
      <w:r w:rsidRPr="00D756C4">
        <w:rPr>
          <w:b/>
        </w:rPr>
        <w:t>Abstract</w:t>
      </w:r>
    </w:p>
    <w:bookmarkEnd w:id="2"/>
    <w:bookmarkEnd w:id="3"/>
    <w:bookmarkEnd w:id="4"/>
    <w:bookmarkEnd w:id="7"/>
    <w:bookmarkEnd w:id="8"/>
    <w:bookmarkEnd w:id="9"/>
    <w:bookmarkEnd w:id="13"/>
    <w:bookmarkEnd w:id="14"/>
    <w:bookmarkEnd w:id="15"/>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in the clustered latent space rather than from data-space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On the stealthy difficult subset it is strongest on HAI (0.811 over five seeds, a statistically significant margin over the next-best baseline, paired episode-bootstrap 95% CI on the difference [0.015, 0.089]), and it matches the strongest baseline on WADI (0.690) and SWaT (0.960); the HAI advantage persists under a stronger difficulty split that also removes any window separable by a single per-channel statistic. On a stricter double-hard subset that additionally removes windows a linear cross-channel predictor separates, the detector has the highest mean AUROC on all three datasets, with statistically supported superiority on HAI and numerical leads on the smaller WADI and single-episode SWaT subsets.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latent-primary anomaly score with an auto-gated reconstruction-residual head.</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a key mechanism is demoting reconstruction from the</w:t>
      </w:r>
      <w:r>
        <w:t xml:space="preserve"> </w:t>
      </w:r>
      <w:r>
        <w:t xml:space="preserve">default score, since a flexible decoder reconstructs the hard faults faithfully, while an optional</w:t>
      </w:r>
      <w:r>
        <w:t xml:space="preserve"> </w:t>
      </w:r>
      <w:r>
        <w:t xml:space="preserve">reconstruction-residual head is auto-gated back on only where it provably generalises to held-out normal</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attack benchmarks, and compare against classical baselines and against two deep detectors, USAD</w:t>
      </w:r>
      <w:r>
        <w:t xml:space="preserve"> </w:t>
      </w:r>
      <w:r>
        <w:t xml:space="preserve">and TranAD, re-computed with the same raw metrics (§5–6). The detector attains the best overall AUROC</w:t>
      </w:r>
      <w:r>
        <w:t xml:space="preserve"> </w:t>
      </w:r>
      <w:r>
        <w:t xml:space="preserve">on every dataset and is strongest on the difficult subset over five seeds, most decisively and significantly on</w:t>
      </w:r>
      <w:r>
        <w:t xml:space="preserve"> </w:t>
      </w:r>
      <w:r>
        <w:t xml:space="preserve">HAI, where the difficult faults break joint structure and the deep detectors collapse; on WADI and SWaT it ties</w:t>
      </w:r>
      <w:r>
        <w:t xml:space="preserve"> </w:t>
      </w:r>
      <w:r>
        <w:t xml:space="preserve">the strongest baseline at the top of the difficult column.</w:t>
      </w:r>
    </w:p>
    <w:p>
      <w:pPr>
        <w:pStyle w:val="MDPI31text"/>
        <w:ind w:left="2608"/>
      </w:pPr>
      <w:r>
        <w:t xml:space="preserve">We are explicit about scope. This study covers three datasets with a single trained model</w:t>
      </w:r>
      <w:r>
        <w:t xml:space="preserve"> </w:t>
      </w:r>
      <w:r>
        <w:t xml:space="preserve">per dataset; AUROC is reported as a five-seed mean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and proximity- and event-aware</w:t>
      </w:r>
      <w:r>
        <w:t xml:space="preserve"> </w:t>
      </w:r>
      <w:r>
        <w:t xml:space="preserve">metrics such as PATE [</w:t>
      </w:r>
      <w:hyperlink w:anchor="r-pate">
        <w:r>
          <w:rPr>
            <w:rStyle w:val="Hyperlink"/>
          </w:rPr>
          <w:t xml:space="preserve">10</w:t>
        </w:r>
      </w:hyperlink>
      <w:r>
        <w:t xml:space="preserve">] move beyond point adjustment altogether.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11</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 Recent</w:t>
      </w:r>
      <w:r>
        <w:t xml:space="preserve"> </w:t>
      </w:r>
      <w:r>
        <w:t xml:space="preserve">large-scale benchmarks confirm that detector rankings are strongly dataset-dependent [</w:t>
      </w:r>
      <w:hyperlink w:anchor="r-tab">
        <w:r>
          <w:rPr>
            <w:rStyle w:val="Hyperlink"/>
          </w:rPr>
          <w:t xml:space="preserve">12</w:t>
        </w:r>
      </w:hyperlink>
      <w:r>
        <w:t xml:space="preserve">],</w:t>
      </w:r>
      <w:r>
        <w:t xml:space="preserve"> </w:t>
      </w:r>
      <w:r>
        <w:t xml:space="preserve">which is why we read every method per dataset and per difficulty subset rather than by a single headline number.</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13</w:t>
        </w:r>
      </w:hyperlink>
      <w:r>
        <w:t xml:space="preserve">] show this assumption is unreliable, because anomalies lying far from normal data can be reconstructed perfectly in practice, and Gong et al. [</w:t>
      </w:r>
      <w:hyperlink w:anchor="r-memae">
        <w:r>
          <w:rPr>
            <w:rStyle w:val="Hyperlink"/>
          </w:rPr>
          <w:t xml:space="preserve">14</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15</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16</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17</w:t>
        </w:r>
      </w:hyperlink>
      <w:r>
        <w:t xml:space="preserve">], a VAE with a Gaussian-mixture</w:t>
      </w:r>
      <w:r>
        <w:t xml:space="preserve"> </w:t>
      </w:r>
      <w:r>
        <w:t xml:space="preserve">latent prior that learns representation and clusters jointly. DAGMM [</w:t>
      </w:r>
      <w:hyperlink w:anchor="r-dagmm">
        <w:r>
          <w:rPr>
            <w:rStyle w:val="Hyperlink"/>
          </w:rPr>
          <w:t xml:space="preserve">18</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19</w:t>
        </w:r>
      </w:hyperlink>
      <w:r>
        <w:t xml:space="preserve">]. Classical baselines are Isolation Forest [</w:t>
      </w:r>
      <w:hyperlink w:anchor="r-if">
        <w:r>
          <w:rPr>
            <w:rStyle w:val="Hyperlink"/>
          </w:rPr>
          <w:t xml:space="preserve">20</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22</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a widely used deep SOTA on SWaT/WADI-style benchmarks. More recent detectors refine rather than</w:t>
      </w:r>
      <w:r>
        <w:t xml:space="preserve"> </w:t>
      </w:r>
      <w:r>
        <w:t xml:space="preserve">abandon reconstruction: SensitiveHUE [</w:t>
      </w:r>
      <w:hyperlink w:anchor="r-sensitivehue">
        <w:r>
          <w:rPr>
            <w:rStyle w:val="Hyperlink"/>
          </w:rPr>
          <w:t xml:space="preserve">25</w:t>
        </w:r>
      </w:hyperlink>
      <w:r>
        <w:t xml:space="preserve">] models per-variable heteroscedastic</w:t>
      </w:r>
      <w:r>
        <w:t xml:space="preserve"> </w:t>
      </w:r>
      <w:r>
        <w:t xml:space="preserve">uncertainty to sharpen sensitivity to normal patterns, and CATCH [</w:t>
      </w:r>
      <w:hyperlink w:anchor="r-catch">
        <w:r>
          <w:rPr>
            <w:rStyle w:val="Hyperlink"/>
          </w:rPr>
          <w:t xml:space="preserve">26</w:t>
        </w:r>
      </w:hyperlink>
      <w:r>
        <w:t xml:space="preserve">] learns channel</w:t>
      </w:r>
      <w:r>
        <w:t xml:space="preserve"> </w:t>
      </w:r>
      <w:r>
        <w:t xml:space="preserve">correlations through frequency-domain patching. Both remain reconstruction-based, so the mechanism analysis of</w:t>
      </w:r>
      <w:r>
        <w:t xml:space="preserve"> </w:t>
      </w:r>
      <w:r>
        <w:t xml:space="preserve">§7 predicts they too will miss the reconstructable-but-improbable joint faults that define our difficult</w:t>
      </w:r>
      <w:r>
        <w:t xml:space="preserve"> </w:t>
      </w:r>
      <w:r>
        <w:t xml:space="preserve">subset. We benchmark USAD and TranAD, the reconstruction- and transformer-based deep detectors, under the same</w:t>
      </w:r>
      <w:r>
        <w:t xml:space="preserve"> </w:t>
      </w:r>
      <w:r>
        <w:t xml:space="preserve">raw, difficulty-stratified metrics (the re-scored comparison is in §6), and leave a raw-metric evaluation of</w:t>
      </w:r>
      <w:r>
        <w:t xml:space="preserve"> </w:t>
      </w:r>
      <w:r>
        <w:t xml:space="preserve">these newer detectors and of the cross-channel GDN, whose published evaluation uses point adjustment, to future</w:t>
      </w:r>
      <w:r>
        <w:t xml:space="preserve"> </w:t>
      </w:r>
      <w:r>
        <w:t xml:space="preserve">work.</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27</w:t>
        </w:r>
      </w:hyperlink>
      <w:r>
        <w:t xml:space="preserve">, </w:t>
      </w:r>
      <w:hyperlink w:anchor="r-vibdecomp">
        <w:r>
          <w:rPr>
            <w:rStyle w:val="Hyperlink"/>
          </w:rPr>
          <w:t xml:space="preserve">28</w:t>
        </w:r>
      </w:hyperlink>
      <w:r>
        <w:t xml:space="preserve">],</w:t>
      </w:r>
      <w:r>
        <w:t xml:space="preserve"> </w:t>
      </w:r>
      <w:r>
        <w:t xml:space="preserve">structural-health monitoring of rotorcraft components [</w:t>
      </w:r>
      <w:hyperlink w:anchor="r-bolt">
        <w:r>
          <w:rPr>
            <w:rStyle w:val="Hyperlink"/>
          </w:rPr>
          <w:t xml:space="preserve">29</w:t>
        </w:r>
      </w:hyperlink>
      <w:r>
        <w:t xml:space="preserve">], and fault prediction in</w:t>
      </w:r>
      <w:r>
        <w:t xml:space="preserve"> </w:t>
      </w:r>
      <w:r>
        <w:t xml:space="preserve">rotorcraft flight controls [</w:t>
      </w:r>
      <w:hyperlink w:anchor="r-rotorcraft">
        <w:r>
          <w:rPr>
            <w:rStyle w:val="Hyperlink"/>
          </w:rPr>
          <w:t xml:space="preserve">30</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31</w:t>
        </w:r>
      </w:hyperlink>
      <w:r>
        <w:t xml:space="preserve">] is a 123-channel water-distribution testbed from iTrust, and SWaT [</w:t>
      </w:r>
      <w:hyperlink w:anchor="r-swat">
        <w:r>
          <w:rPr>
            <w:rStyle w:val="Hyperlink"/>
          </w:rPr>
          <w:t xml:space="preserve">32</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33</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17</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18</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demote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(single trained model per</w:t>
      </w:r>
      <w:r>
        <w:t xml:space="preserve"> </w:t>
      </w:r>
      <w:r>
        <w:t xml:space="preserve">dataset). The reconstruction residual is near chance on WADI (0.490) and, although informative on HAI (0.689),</w:t>
      </w:r>
      <w:r>
        <w:t xml:space="preserve"> </w:t>
      </w:r>
      <w:r>
        <w:t xml:space="preserve">it stays below the latent term (0.760) and drags the summed joint score down; the latent likelihood carries the</w:t>
      </w:r>
      <w:r>
        <w:t xml:space="preserve"> </w:t>
      </w:r>
      <w:r>
        <w:t xml:space="preserve">signal but a single diagonal Gaussian per mode is coarse. A multi-seed, three-dataset head ablation is reported</w:t>
      </w:r>
      <w:r>
        <w:t xml:space="preserve"> </w:t>
      </w:r>
      <w:r>
        <w:t xml:space="preserve">in Table 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Demoting</w:t>
      </w:r>
      <w:r>
        <w:t xml:space="preserve"> </w:t>
      </w:r>
      <w:r>
        <w:t xml:space="preserve">reconstruction from the default score is a universal difficult-subset improvement and also lifts the combined and</w:t>
      </w:r>
      <w:r>
        <w:t xml:space="preserve"> </w:t>
      </w:r>
      <w:r>
        <w:t xml:space="preserve">easy columns on HAI. The base scoring stack works entirely in the jointly learned latent; reconstruction re-enters</w:t>
      </w:r>
      <w:r>
        <w:t xml:space="preserve"> </w:t>
      </w:r>
      <w:r>
        <w:t xml:space="preserve">only through the optional, auto-gated residual head (§4.3 iv), which fires only where it provably</w:t>
      </w:r>
      <w:r>
        <w:t xml:space="preserve"> </w:t>
      </w:r>
      <w:r>
        <w:t xml:space="preserve">generalises to held-out normal (HAI and SWaT here, not WADI).</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19</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a design provision for datasets with heavily overlapping modes; it stays inactive on all three benchmarks here and</w:t>
      </w:r>
      <w:r>
        <w:t xml:space="preserve"> </w:t>
      </w:r>
      <w:r>
        <w:t xml:space="preserve">is therefore not part of the empirical contribution, with its validation on overlapping-mode data left to future</w:t>
      </w:r>
      <w:r>
        <w:t xml:space="preserve"> </w:t>
      </w:r>
      <w:r>
        <w:t xml:space="preserve">work. Thus the reported model configures its heads purely from training-normal statistics, with no test-set</w:t>
      </w:r>
      <w:r>
        <w:t xml:space="preserve"> </w:t>
      </w:r>
      <w:r>
        <w:t xml:space="preserve">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31</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33</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32</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those the max-mean</w:t>
      </w:r>
      <w:r>
        <w:t xml:space="preserve"> </w:t>
      </w:r>
      <w:r>
        <w:t xml:space="preserve">range rule does not separate; §6 confirms the HAI advantage persists under a stronger split that also removes</w:t>
      </w:r>
      <w:r>
        <w:t xml:space="preserve"> </w:t>
      </w:r>
      <w:r>
        <w:t xml:space="preserve">windows flagged by any of the six per-channel statistics, so difficulty is not defined by a single hand-picked</w:t>
      </w:r>
      <w:r>
        <w:t xml:space="preserve"> </w:t>
      </w:r>
      <w:r>
        <w:t xml:space="preserve">statistic.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20</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22</w:t>
        </w:r>
      </w:hyperlink>
      <w:r>
        <w:t xml:space="preserve">] and TranAD</w:t>
      </w:r>
      <w:r>
        <w:t xml:space="preserve"> </w:t>
      </w:r>
      <w:r>
        <w:t xml:space="preserve">[</w:t>
      </w:r>
      <w:hyperlink w:anchor="r-tranad">
        <w:r>
          <w:rPr>
            <w:rStyle w:val="Hyperlink"/>
          </w:rPr>
          <w:t xml:space="preserve">23</w:t>
        </w:r>
      </w:hyperlink>
      <w:r>
        <w:t xml:space="preserve">] through the TranAD evaluation harness and score them with the</w:t>
      </w:r>
      <w:r>
        <w:t xml:space="preserve"> </w:t>
      </w:r>
      <w:r>
        <w:rPr>
          <w:i/>
          <w:iCs/>
        </w:rPr>
        <w:t xml:space="preserve">same raw point-wise</w:t>
      </w:r>
      <w:r>
        <w:rPr>
          <w:i/>
          <w:iCs/>
        </w:rPr>
        <w:t xml:space="preserve"> </w:t>
      </w:r>
      <w:r>
        <w:rPr>
          <w:i/>
          <w:iCs/>
        </w:rPr>
        <w:t xml:space="preserve">metrics</w:t>
      </w:r>
      <w:r>
        <w:t xml:space="preserve">, aggregating their per-timestep scores onto our window grid (with an integer-ratio correction for</w:t>
      </w:r>
      <w:r>
        <w:t xml:space="preserve"> </w:t>
      </w:r>
      <w:r>
        <w:t xml:space="preserve">HAI's downsampling).</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and the VaDE family) report AUROC as mean±standard deviation</w:t>
      </w:r>
      <w:r>
        <w:t xml:space="preserve"> </w:t>
      </w:r>
      <w:r>
        <w:t xml:space="preserve">over five seeds. Bold = best AUROC in that dataset×subset column (ties bolded jointly). “Ours”</w:t>
      </w:r>
      <w:r>
        <w:t xml:space="preserve"> </w:t>
      </w:r>
      <w:r>
        <w:t xml:space="preserve">=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0.698</w:t>
            </w:r>
          </w:p>
        </w:tc>
        <w:tc>
          <w:tcPr>
            <w:vAlign w:val="center"/>
          </w:tcPr>
          <w:p>
            <w:pPr>
              <w:pStyle w:val="Compact"/>
              <w:suppressAutoHyphens/>
              <w:jc w:val="center"/>
            </w:pPr>
            <w:r>
              <w:rPr>
                <w:sz w:val="18"/>
                <w:szCs w:val="18"/>
              </w:rPr>
              <w:t xml:space="preserve">0.516</w:t>
            </w:r>
          </w:p>
        </w:tc>
        <w:tc>
          <w:tcPr>
            <w:vAlign w:val="center"/>
          </w:tcPr>
          <w:p>
            <w:pPr>
              <w:pStyle w:val="Compact"/>
              <w:suppressAutoHyphens/>
              <w:jc w:val="center"/>
            </w:pPr>
            <w:r>
              <w:rPr>
                <w:sz w:val="18"/>
                <w:szCs w:val="18"/>
              </w:rPr>
              <w:t xml:space="preserve">0.901</w:t>
            </w:r>
          </w:p>
        </w:tc>
        <w:tc>
          <w:tcPr>
            <w:vAlign w:val="center"/>
          </w:tcPr>
          <w:p>
            <w:pPr>
              <w:pStyle w:val="Compact"/>
              <w:suppressAutoHyphens/>
              <w:jc w:val="center"/>
            </w:pPr>
            <w:r>
              <w:rPr>
                <w:sz w:val="18"/>
                <w:szCs w:val="18"/>
              </w:rPr>
              <w:t xml:space="preserve">0.658</w:t>
            </w:r>
          </w:p>
        </w:tc>
        <w:tc>
          <w:tcPr>
            <w:vAlign w:val="center"/>
          </w:tcPr>
          <w:p>
            <w:pPr>
              <w:pStyle w:val="Compact"/>
              <w:suppressAutoHyphens/>
              <w:jc w:val="center"/>
            </w:pPr>
            <w:r>
              <w:rPr>
                <w:sz w:val="18"/>
                <w:szCs w:val="18"/>
              </w:rPr>
              <w:t xml:space="preserve">0.303</w:t>
            </w:r>
          </w:p>
        </w:tc>
        <w:tc>
          <w:tcPr>
            <w:vAlign w:val="center"/>
          </w:tcPr>
          <w:p>
            <w:pPr>
              <w:pStyle w:val="Compact"/>
              <w:suppressAutoHyphens/>
              <w:jc w:val="center"/>
            </w:pPr>
            <w:r>
              <w:rPr>
                <w:sz w:val="18"/>
                <w:szCs w:val="18"/>
              </w:rPr>
              <w:t xml:space="preserve">0.033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0.721</w:t>
            </w:r>
          </w:p>
        </w:tc>
        <w:tc>
          <w:tcPr>
            <w:vAlign w:val="center"/>
          </w:tcPr>
          <w:p>
            <w:pPr>
              <w:pStyle w:val="Compact"/>
              <w:suppressAutoHyphens/>
              <w:jc w:val="center"/>
            </w:pPr>
            <w:r>
              <w:rPr>
                <w:sz w:val="18"/>
                <w:szCs w:val="18"/>
              </w:rPr>
              <w:t xml:space="preserve">0.556</w:t>
            </w:r>
          </w:p>
        </w:tc>
        <w:tc>
          <w:tcPr>
            <w:vAlign w:val="center"/>
          </w:tcPr>
          <w:p>
            <w:pPr>
              <w:pStyle w:val="Compact"/>
              <w:suppressAutoHyphens/>
              <w:jc w:val="center"/>
            </w:pPr>
            <w:r>
              <w:rPr>
                <w:sz w:val="18"/>
                <w:szCs w:val="18"/>
              </w:rPr>
              <w:t xml:space="preserve">0.921</w:t>
            </w:r>
          </w:p>
        </w:tc>
        <w:tc>
          <w:tcPr>
            <w:vAlign w:val="center"/>
          </w:tcPr>
          <w:p>
            <w:pPr>
              <w:pStyle w:val="Compact"/>
              <w:suppressAutoHyphens/>
              <w:jc w:val="center"/>
            </w:pPr>
            <w:r>
              <w:rPr>
                <w:sz w:val="18"/>
                <w:szCs w:val="18"/>
              </w:rPr>
              <w:t xml:space="preserve">0.686</w:t>
            </w:r>
          </w:p>
        </w:tc>
        <w:tc>
          <w:tcPr>
            <w:vAlign w:val="center"/>
          </w:tcPr>
          <w:p>
            <w:pPr>
              <w:pStyle w:val="Compact"/>
              <w:suppressAutoHyphens/>
              <w:jc w:val="center"/>
            </w:pPr>
            <w:r>
              <w:rPr>
                <w:sz w:val="18"/>
                <w:szCs w:val="18"/>
              </w:rPr>
              <w:t xml:space="preserve">0.333</w:t>
            </w:r>
          </w:p>
        </w:tc>
        <w:tc>
          <w:tcPr>
            <w:vAlign w:val="center"/>
          </w:tcPr>
          <w:p>
            <w:pPr>
              <w:pStyle w:val="Compact"/>
              <w:suppressAutoHyphens/>
              <w:jc w:val="center"/>
            </w:pPr>
            <w:r>
              <w:rPr>
                <w:sz w:val="18"/>
                <w:szCs w:val="18"/>
              </w:rPr>
              <w:t xml:space="preserve">0.039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0.849</w:t>
            </w:r>
          </w:p>
        </w:tc>
        <w:tc>
          <w:tcPr>
            <w:vAlign w:val="center"/>
          </w:tcPr>
          <w:p>
            <w:pPr>
              <w:pStyle w:val="Compact"/>
              <w:suppressAutoHyphens/>
              <w:jc w:val="center"/>
            </w:pPr>
            <w:r>
              <w:rPr>
                <w:sz w:val="18"/>
                <w:szCs w:val="18"/>
              </w:rPr>
              <w:t xml:space="preserve">0.706</w:t>
            </w:r>
          </w:p>
        </w:tc>
        <w:tc>
          <w:tcPr>
            <w:vAlign w:val="center"/>
          </w:tcPr>
          <w:p>
            <w:pPr>
              <w:pStyle w:val="Compact"/>
              <w:suppressAutoHyphens/>
              <w:jc w:val="center"/>
            </w:pPr>
            <w:r>
              <w:rPr>
                <w:sz w:val="18"/>
                <w:szCs w:val="18"/>
              </w:rPr>
              <w:t xml:space="preserve">0.970</w:t>
            </w:r>
          </w:p>
        </w:tc>
        <w:tc>
          <w:tcPr>
            <w:vAlign w:val="center"/>
          </w:tcPr>
          <w:p>
            <w:pPr>
              <w:pStyle w:val="Compact"/>
              <w:suppressAutoHyphens/>
              <w:jc w:val="center"/>
            </w:pPr>
            <w:r>
              <w:rPr>
                <w:sz w:val="18"/>
                <w:szCs w:val="18"/>
              </w:rPr>
              <w:t xml:space="preserve">0.841</w:t>
            </w:r>
          </w:p>
        </w:tc>
        <w:tc>
          <w:tcPr>
            <w:vAlign w:val="center"/>
          </w:tcPr>
          <w:p>
            <w:pPr>
              <w:pStyle w:val="Compact"/>
              <w:suppressAutoHyphens/>
              <w:jc w:val="center"/>
            </w:pPr>
            <w:r>
              <w:rPr>
                <w:sz w:val="18"/>
                <w:szCs w:val="18"/>
              </w:rPr>
              <w:t xml:space="preserve">0.497</w:t>
            </w:r>
          </w:p>
        </w:tc>
        <w:tc>
          <w:tcPr>
            <w:vAlign w:val="center"/>
          </w:tcPr>
          <w:p>
            <w:pPr>
              <w:pStyle w:val="Compact"/>
              <w:suppressAutoHyphens/>
              <w:jc w:val="center"/>
            </w:pPr>
            <w:r>
              <w:rPr>
                <w:sz w:val="18"/>
                <w:szCs w:val="18"/>
              </w:rPr>
              <w:t xml:space="preserve">0.023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w:t>
            </w:r>
          </w:p>
        </w:tc>
        <w:tc>
          <w:tcPr>
            <w:vAlign w:val="center"/>
          </w:tcPr>
          <w:p>
            <w:pPr>
              <w:pStyle w:val="Compact"/>
              <w:suppressAutoHyphens/>
              <w:jc w:val="center"/>
            </w:pPr>
            <w:r>
              <w:rPr>
                <w:sz w:val="18"/>
                <w:szCs w:val="18"/>
              </w:rPr>
              <w:t xml:space="preserve">0.825</w:t>
            </w:r>
          </w:p>
        </w:tc>
        <w:tc>
          <w:tcPr>
            <w:vAlign w:val="center"/>
          </w:tcPr>
          <w:p>
            <w:pPr>
              <w:pStyle w:val="Compact"/>
              <w:suppressAutoHyphens/>
              <w:jc w:val="center"/>
            </w:pPr>
            <w:r>
              <w:rPr>
                <w:sz w:val="18"/>
                <w:szCs w:val="18"/>
              </w:rPr>
              <w:t xml:space="preserve">0.445</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0.730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w:t>
            </w:r>
          </w:p>
        </w:tc>
        <w:tc>
          <w:tcPr>
            <w:vAlign w:val="center"/>
          </w:tcPr>
          <w:p>
            <w:pPr>
              <w:pStyle w:val="Compact"/>
              <w:suppressAutoHyphens/>
              <w:jc w:val="center"/>
            </w:pPr>
            <w:r>
              <w:rPr>
                <w:sz w:val="18"/>
                <w:szCs w:val="18"/>
              </w:rPr>
              <w:t xml:space="preserve">0.725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(167 difficult windows spanning 26 distinct</w:t>
      </w:r>
      <w:r>
        <w:t xml:space="preserve"> </w:t>
      </w:r>
      <w:r>
        <w:t xml:space="preserve">attack episodes), well above the AutoEncoder (0.757) and far above the deep detectors USAD (0.497) and TranAD</w:t>
      </w:r>
      <w:r>
        <w:t xml:space="preserve"> </w:t>
      </w:r>
      <w:r>
        <w:t xml:space="preserve">(0.445), which sit near chance. This margin over the AutoEncoder is statistically significant: an episode-block</w:t>
      </w:r>
      <w:r>
        <w:t xml:space="preserve"> </w:t>
      </w:r>
      <w:r>
        <w:t xml:space="preserve">bootstrap of the paired difference (resampling attack episodes and normal windows, averaged over the five seeds)</w:t>
      </w:r>
      <w:r>
        <w:t xml:space="preserve"> </w:t>
      </w:r>
      <w:r>
        <w:t xml:space="preserve">gives +0.054 with a 95% confidence interval of [0.015, 0.089] and an estimated P(difference ≤ 0) of</w:t>
      </w:r>
      <w:r>
        <w:t xml:space="preserve"> </w:t>
      </w:r>
      <w:r>
        <w:t xml:space="preserve">0.002. On WADI the model reaches 0.690, statistically indistinguishable from Isolation Forest (0.677; paired 95%</w:t>
      </w:r>
      <w:r>
        <w:t xml:space="preserve"> </w:t>
      </w:r>
      <w:r>
        <w:t xml:space="preserve">CI [−0.083, 0.106], P ≈ 0.36), so WADI-difficult is a tie at the top of the column rather than</w:t>
      </w:r>
      <w:r>
        <w:t xml:space="preserve"> </w:t>
      </w:r>
      <w:r>
        <w:t xml:space="preserve">a win, while the deep detectors collapse to 0.30–0.33. On SWaT the difficult subset is only mildly difficult:</w:t>
      </w:r>
      <w:r>
        <w:t xml:space="preserve"> </w:t>
      </w:r>
      <w:r>
        <w:t xml:space="preserve">the trivial rule already scores 0.943 there, so every method is strong (ours 0.960, the linear baseline 0.959, a</w:t>
      </w:r>
      <w:r>
        <w:t xml:space="preserve"> </w:t>
      </w:r>
      <w:r>
        <w:t xml:space="preserve">tie), and its 38 difficult windows come from a single attack episode, so SWaT-difficult is a ceiling case rather</w:t>
      </w:r>
      <w:r>
        <w:t xml:space="preserve"> </w:t>
      </w:r>
      <w:r>
        <w:t xml:space="preserve">than a discriminative test of joint-structure detection.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Robustness to a stronger difficulty definition.</w:t>
      </w:r>
      <w:r>
        <w:t xml:space="preserve"> </w:t>
      </w:r>
      <w:r>
        <w:t xml:space="preserve">The canonical split flags a window easy only</w:t>
      </w:r>
      <w:r>
        <w:t xml:space="preserve"> </w:t>
      </w:r>
      <w:r>
        <w:t xml:space="preserve">when the maximum absolute standardised per-channel</w:t>
      </w:r>
      <w:r>
        <w:t xml:space="preserve"> </w:t>
      </w:r>
      <w:r>
        <w:rPr>
          <w:i/>
          <w:iCs/>
        </w:rPr>
        <w:t xml:space="preserve">mean</w:t>
      </w:r>
      <w:r>
        <w:t xml:space="preserve"> </w:t>
      </w:r>
      <w:r>
        <w:t xml:space="preserve">exceeds its 99th train-normal percentile, so a</w:t>
      </w:r>
      <w:r>
        <w:t xml:space="preserve"> </w:t>
      </w:r>
      <w:r>
        <w:t xml:space="preserve">window could in principle be “difficult” yet be separable by a different univariate statistic. We</w:t>
      </w:r>
      <w:r>
        <w:t xml:space="preserve"> </w:t>
      </w:r>
      <w:r>
        <w:t xml:space="preserve">therefore repeat the analysis with a stronger split that labels a window easy if the maximum over</w:t>
      </w:r>
      <w:r>
        <w:t xml:space="preserve"> </w:t>
      </w:r>
      <w:r>
        <w:rPr>
          <w:i/>
          <w:iCs/>
        </w:rPr>
        <w:t xml:space="preserve">all six</w:t>
      </w:r>
      <w:r>
        <w:t xml:space="preserve"> </w:t>
      </w:r>
      <w:r>
        <w:t xml:space="preserve">standardised per-channel statistics (mean, standard deviation, minimum, maximum, first-to-last difference, and</w:t>
      </w:r>
      <w:r>
        <w:t xml:space="preserve"> </w:t>
      </w:r>
      <w:r>
        <w:t xml:space="preserve">range) exceeds its 99th train-normal percentile, removing any window a single univariate statistic separates. On</w:t>
      </w:r>
      <w:r>
        <w:t xml:space="preserve"> </w:t>
      </w:r>
      <w:r>
        <w:t xml:space="preserve">the resulting HAI difficult subset (110 windows) the detector still leads every baseline (0.675, versus 0.622 for</w:t>
      </w:r>
      <w:r>
        <w:t xml:space="preserve"> </w:t>
      </w:r>
      <w:r>
        <w:t xml:space="preserve">the linear cross-channel baseline, 0.604 for the AutoEncoder, and 0.528 for Isolation Forest), so its HAI</w:t>
      </w:r>
      <w:r>
        <w:t xml:space="preserve"> </w:t>
      </w:r>
      <w:r>
        <w:t xml:space="preserve">advantage is not an artefact of the particular statistic that defines difficulty. WADI remains a tie (Isolation</w:t>
      </w:r>
      <w:r>
        <w:t xml:space="preserve"> </w:t>
      </w:r>
      <w:r>
        <w:t xml:space="preserve">Forest 0.710, ours 0.697) and SWaT remains a ceiling case (trivial rule 0.929), consistent with the canonical</w:t>
      </w:r>
      <w:r>
        <w:t xml:space="preserve"> </w:t>
      </w:r>
      <w:r>
        <w:t xml:space="preserve">split.</w:t>
      </w:r>
    </w:p>
    <w:p>
      <w:pPr>
        <w:pStyle w:val="MDPI31text"/>
        <w:ind w:left="2608"/>
      </w:pPr>
      <w:r>
        <w:rPr>
          <w:b/>
          <w:bCs/>
        </w:rPr>
        <w:t xml:space="preserve">The double-hard subset.</w:t>
      </w:r>
      <w:r>
        <w:t xml:space="preserve"> </w:t>
      </w:r>
      <w:r>
        <w:t xml:space="preserve">As a secondary robustness stress test we intersect the failures of the</w:t>
      </w:r>
      <w:r>
        <w:t xml:space="preserve"> </w:t>
      </w:r>
      <w:r>
        <w:t xml:space="preserve">two simplest baseline families. A window is</w:t>
      </w:r>
      <w:r>
        <w:t xml:space="preserve"> </w:t>
      </w:r>
      <w:r>
        <w:rPr>
          <w:i/>
          <w:iCs/>
        </w:rPr>
        <w:t xml:space="preserve">double-hard</w:t>
      </w:r>
      <w:r>
        <w:t xml:space="preserve"> </w:t>
      </w:r>
      <w:r>
        <w:t xml:space="preserve">if it is an anomaly separated by</w:t>
      </w:r>
      <w:r>
        <w:t xml:space="preserve"> </w:t>
      </w:r>
      <w:r>
        <w:rPr>
          <w:i/>
          <w:iCs/>
        </w:rPr>
        <w:t xml:space="preserve">neither</w:t>
      </w:r>
      <w:r>
        <w:t xml:space="preserve"> </w:t>
      </w:r>
      <w:r>
        <w:t xml:space="preserve">the univariate max|z| rule</w:t>
      </w:r>
      <w:r>
        <w:t xml:space="preserve"> </w:t>
      </w:r>
      <w:r>
        <w:rPr>
          <w:i/>
          <w:iCs/>
        </w:rPr>
        <w:t xml:space="preserve">nor</w:t>
      </w:r>
      <w:r>
        <w:t xml:space="preserve"> </w:t>
      </w:r>
      <w:r>
        <w:t xml:space="preserve">the one-hot linear cross-channel predictor (LinRes), with both</w:t>
      </w:r>
      <w:r>
        <w:t xml:space="preserve"> </w:t>
      </w:r>
      <w:r>
        <w:t xml:space="preserve">99th-percentile thresholds fixed on train-normal only and the detector under test playing no role in constructing</w:t>
      </w:r>
      <w:r>
        <w:t xml:space="preserve"> </w:t>
      </w:r>
      <w:r>
        <w:t xml:space="preserve">the subset. This subset is not an unbiased benchmark against the two detectors that define it, which fail on it by</w:t>
      </w:r>
      <w:r>
        <w:t xml:space="preserve"> </w:t>
      </w:r>
      <w:r>
        <w:t xml:space="preserve">construction; it isolates the anomalies that remain once both marginal and simple linear cross-channel structure</w:t>
      </w:r>
      <w:r>
        <w:t xml:space="preserve"> </w:t>
      </w:r>
      <w:r>
        <w:t xml:space="preserve">is removed. Table 4 reports its per-method AUROC. The detector attains the highest mean AUROC on all three</w:t>
      </w:r>
      <w:r>
        <w:t xml:space="preserve"> </w:t>
      </w:r>
      <w:r>
        <w:t xml:space="preserve">datasets (WADI 0.601, HAI 0.806, SWaT 0.921). Statistical superiority is established only on HAI, where 19 attack</w:t>
      </w:r>
      <w:r>
        <w:t xml:space="preserve"> </w:t>
      </w:r>
      <w:r>
        <w:t xml:space="preserve">episodes support an episode-block bootstrap: the paired difference over the AutoEncoder is +0.076 (95% CI</w:t>
      </w:r>
      <w:r>
        <w:t xml:space="preserve"> </w:t>
      </w:r>
      <w:r>
        <w:t xml:space="preserve">[0.038, 0.119]). The WADI subset rests on five episodes and is a numerical lead over Isolation Forest (0.601 vs</w:t>
      </w:r>
      <w:r>
        <w:t xml:space="preserve"> </w:t>
      </w:r>
      <w:r>
        <w:t xml:space="preserve">0.599), not a significant difference; the 18 SWaT windows come from a single attack episode, so no episode-level</w:t>
      </w:r>
      <w:r>
        <w:t xml:space="preserve"> </w:t>
      </w:r>
      <w:r>
        <w:t xml:space="preserve">generalisation is claimed there. The subset genuinely removes ceiling signal rather than selecting an easier</w:t>
      </w:r>
      <w:r>
        <w:t xml:space="preserve"> </w:t>
      </w:r>
      <w:r>
        <w:t xml:space="preserve">favourable slice: on SWaT the trivial-rule AUROC falls from 0.943 on the difficult subset to 0.880 here, and the</w:t>
      </w:r>
      <w:r>
        <w:t xml:space="preserve"> </w:t>
      </w:r>
      <w:r>
        <w:t xml:space="preserve">AutoEncoder collapses on WADI (0.336).</w:t>
      </w:r>
    </w:p>
    <w:p>
      <w:pPr>
        <w:pStyle w:val="MDPI41tablecaption"/>
        <w:ind w:left="2608"/>
      </w:pPr>
      <w:r>
        <w:rPr>
          <w:b/>
          <w:bCs/>
        </w:rPr>
        <w:t xml:space="preserve">Table 4.</w:t>
      </w:r>
      <w:r>
        <w:t xml:space="preserve"> </w:t>
      </w:r>
      <w:r>
        <w:t xml:space="preserve">Double-hard subset AUROC (five-seed mean±standard deviation for the</w:t>
      </w:r>
      <w:r>
        <w:t xml:space="preserve"> </w:t>
      </w:r>
      <w:r>
        <w:t xml:space="preserve">learned detectors). The double-hard subset keeps only anomaly windows separated by neither the univariate max|z|</w:t>
      </w:r>
      <w:r>
        <w:t xml:space="preserve"> </w:t>
      </w:r>
      <w:r>
        <w:t xml:space="preserve">rule nor the linear cross-channel predictor, both thresholded on train-normal at the 99th percentile; it is a</w:t>
      </w:r>
      <w:r>
        <w:t xml:space="preserve"> </w:t>
      </w:r>
      <w:r>
        <w:t xml:space="preserve">baseline-independent stress test, not an unbiased comparison against those two filters. Windows / distinct attack</w:t>
      </w:r>
      <w:r>
        <w:t xml:space="preserve"> </w:t>
      </w:r>
      <w:r>
        <w:t xml:space="preserve">episodes: WADI 11 / 5, HAI 84 / 19, SWaT 18 / 1. The detector has the highest mean</w:t>
      </w:r>
      <w:r>
        <w:t xml:space="preserve"> </w:t>
      </w:r>
      <w:r>
        <w:t xml:space="preserve">AUROC on all three datasets; the difference is statistically supported only on HAI (episode-block bootstrap), a</w:t>
      </w:r>
      <w:r>
        <w:t xml:space="preserve"> </w:t>
      </w:r>
      <w:r>
        <w:t xml:space="preserve">numerical lead on WADI (five episodes), and a single-episode result on SWaT.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17"/>
        <w:gridCol w:w="1780"/>
        <w:gridCol w:w="1780"/>
        <w:gridCol w:w="1781"/>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0.283</w:t>
            </w:r>
          </w:p>
        </w:tc>
        <w:tc>
          <w:tcPr>
            <w:vAlign w:val="center"/>
          </w:tcPr>
          <w:p>
            <w:pPr>
              <w:pStyle w:val="Compact"/>
              <w:suppressAutoHyphens/>
              <w:jc w:val="center"/>
            </w:pPr>
            <w:r>
              <w:rPr>
                <w:sz w:val="18"/>
                <w:szCs w:val="18"/>
              </w:rPr>
              <w:t xml:space="preserve">0.349</w:t>
            </w:r>
          </w:p>
        </w:tc>
        <w:tc>
          <w:tcPr>
            <w:vAlign w:val="center"/>
          </w:tcPr>
          <w:p>
            <w:pPr>
              <w:pStyle w:val="Compact"/>
              <w:suppressAutoHyphens/>
              <w:jc w:val="center"/>
            </w:pPr>
            <w:r>
              <w:rPr>
                <w:sz w:val="18"/>
                <w:szCs w:val="18"/>
              </w:rPr>
              <w:t xml:space="preserve">0.880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0.599±0.013</w:t>
            </w:r>
          </w:p>
        </w:tc>
        <w:tc>
          <w:tcPr>
            <w:vAlign w:val="center"/>
          </w:tcPr>
          <w:p>
            <w:pPr>
              <w:pStyle w:val="Compact"/>
              <w:suppressAutoHyphens/>
              <w:jc w:val="center"/>
            </w:pPr>
            <w:r>
              <w:rPr>
                <w:sz w:val="18"/>
                <w:szCs w:val="18"/>
              </w:rPr>
              <w:t xml:space="preserve">0.635±0.012</w:t>
            </w:r>
          </w:p>
        </w:tc>
        <w:tc>
          <w:tcPr>
            <w:vAlign w:val="center"/>
          </w:tcPr>
          <w:p>
            <w:pPr>
              <w:pStyle w:val="Compact"/>
              <w:suppressAutoHyphens/>
              <w:jc w:val="center"/>
            </w:pPr>
            <w:r>
              <w:rPr>
                <w:sz w:val="18"/>
                <w:szCs w:val="18"/>
              </w:rPr>
              <w:t xml:space="preserve">0.789±0.011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0.336±0.007</w:t>
            </w:r>
          </w:p>
        </w:tc>
        <w:tc>
          <w:tcPr>
            <w:vAlign w:val="center"/>
          </w:tcPr>
          <w:p>
            <w:pPr>
              <w:pStyle w:val="Compact"/>
              <w:suppressAutoHyphens/>
              <w:jc w:val="center"/>
            </w:pPr>
            <w:r>
              <w:rPr>
                <w:sz w:val="18"/>
                <w:szCs w:val="18"/>
              </w:rPr>
              <w:t xml:space="preserve">0.730±0.003</w:t>
            </w:r>
          </w:p>
        </w:tc>
        <w:tc>
          <w:tcPr>
            <w:vAlign w:val="center"/>
          </w:tcPr>
          <w:p>
            <w:pPr>
              <w:pStyle w:val="Compact"/>
              <w:suppressAutoHyphens/>
              <w:jc w:val="center"/>
            </w:pPr>
            <w:r>
              <w:rPr>
                <w:sz w:val="18"/>
                <w:szCs w:val="18"/>
              </w:rPr>
              <w:t xml:space="preserve">0.890±0.010</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0.251</w:t>
            </w:r>
          </w:p>
        </w:tc>
        <w:tc>
          <w:tcPr>
            <w:vAlign w:val="center"/>
          </w:tcPr>
          <w:p>
            <w:pPr>
              <w:pStyle w:val="Compact"/>
              <w:suppressAutoHyphens/>
              <w:jc w:val="center"/>
            </w:pPr>
            <w:r>
              <w:rPr>
                <w:sz w:val="18"/>
                <w:szCs w:val="18"/>
              </w:rPr>
              <w:t xml:space="preserve">0.465</w:t>
            </w:r>
          </w:p>
        </w:tc>
        <w:tc>
          <w:tcPr>
            <w:vAlign w:val="center"/>
          </w:tcPr>
          <w:p>
            <w:pPr>
              <w:pStyle w:val="Compact"/>
              <w:suppressAutoHyphens/>
              <w:jc w:val="center"/>
            </w:pPr>
            <w:r>
              <w:rPr>
                <w:sz w:val="18"/>
                <w:szCs w:val="18"/>
              </w:rPr>
              <w:t xml:space="preserve">0.914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0.257</w:t>
            </w:r>
          </w:p>
        </w:tc>
        <w:tc>
          <w:tcPr>
            <w:vAlign w:val="center"/>
          </w:tcPr>
          <w:p>
            <w:pPr>
              <w:pStyle w:val="Compact"/>
              <w:suppressAutoHyphens/>
              <w:jc w:val="center"/>
            </w:pPr>
            <w:r>
              <w:rPr>
                <w:sz w:val="18"/>
                <w:szCs w:val="18"/>
              </w:rPr>
              <w:t xml:space="preserve">0.471</w:t>
            </w:r>
          </w:p>
        </w:tc>
        <w:tc>
          <w:tcPr>
            <w:vAlign w:val="center"/>
          </w:tcPr>
          <w:p>
            <w:pPr>
              <w:pStyle w:val="Compact"/>
              <w:suppressAutoHyphens/>
              <w:jc w:val="center"/>
            </w:pPr>
            <w:r>
              <w:rPr>
                <w:sz w:val="18"/>
                <w:szCs w:val="18"/>
              </w:rPr>
              <w:t xml:space="preserve">0.785</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0.276</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VaDE-hard+resid (ours)</w:t>
            </w:r>
          </w:p>
        </w:tc>
        <w:tc>
          <w:tcPr>
            <w:vAlign w:val="center"/>
          </w:tcPr>
          <w:p>
            <w:pPr>
              <w:pStyle w:val="Compact"/>
              <w:suppressAutoHyphens/>
              <w:jc w:val="center"/>
            </w:pPr>
            <w:r>
              <w:rPr>
                <w:sz w:val="18"/>
                <w:szCs w:val="18"/>
              </w:rPr>
              <w:t xml:space="preserve">0.601±0.027</w:t>
            </w:r>
          </w:p>
        </w:tc>
        <w:tc>
          <w:tcPr>
            <w:vAlign w:val="center"/>
          </w:tcPr>
          <w:p>
            <w:pPr>
              <w:pStyle w:val="Compact"/>
              <w:suppressAutoHyphens/>
              <w:jc w:val="center"/>
            </w:pPr>
            <w:r>
              <w:rPr>
                <w:sz w:val="18"/>
                <w:szCs w:val="18"/>
              </w:rPr>
              <w:t xml:space="preserve">0.806±0.019</w:t>
            </w:r>
          </w:p>
        </w:tc>
        <w:tc>
          <w:tcPr>
            <w:vAlign w:val="center"/>
          </w:tcPr>
          <w:p>
            <w:pPr>
              <w:pStyle w:val="Compact"/>
              <w:suppressAutoHyphens/>
              <w:jc w:val="center"/>
            </w:pPr>
            <w:r>
              <w:rPr>
                <w:sz w:val="18"/>
                <w:szCs w:val="18"/>
              </w:rPr>
              <w:t xml:space="preserve">0.921±0.012</w:t>
            </w:r>
          </w:p>
        </w:tc>
      </w:tr>
    </w:tbl>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they fall to 0.497 and 0.445</w:t>
      </w:r>
      <w:r>
        <w:t xml:space="preserve"> </w:t>
      </w:r>
      <w:r>
        <w:t xml:space="preserve">on HAI and to 0.303 and 0.333 on WADI, near or below chance and far below our 0.690–0.811, even while they</w:t>
      </w:r>
      <w:r>
        <w:t xml:space="preserve"> </w:t>
      </w:r>
      <w:r>
        <w:t xml:space="preserve">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8"/>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whiskers show ±1 SD over seeds for the learned detectors). The detector is strongest on HAI by a statistically significant margin (paired 95% CI [0.015, 0.089] over the AutoEncoder) and ties the top baseline on WADI (0.690 vs Isolation Forest 0.677) and SWaT.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is strongest on the</w:t>
      </w:r>
      <w:r>
        <w:rPr>
          <w:b/>
          <w:bCs/>
        </w:rPr>
        <w:t xml:space="preserve"> </w:t>
      </w:r>
      <w:r>
        <w:rPr>
          <w:b/>
          <w:bCs/>
        </w:rPr>
        <w:t xml:space="preserve">difficult subset over five seeds</w:t>
      </w:r>
      <w:r>
        <w:t xml:space="preserve">. The clearest demonstration is HAI, whose difficult faults genuinely</w:t>
      </w:r>
      <w:r>
        <w:t xml:space="preserve"> </w:t>
      </w:r>
      <w:r>
        <w:t xml:space="preserve">break joint structure: the detector reaches 0.811, a statistically significant margin over the next-best baseline</w:t>
      </w:r>
      <w:r>
        <w:t xml:space="preserve"> </w:t>
      </w:r>
      <w:r>
        <w:t xml:space="preserve">(paired episode-bootstrap 95% CI [0.015, 0.089]), while the deep detectors USAD and TranAD fall near chance</w:t>
      </w:r>
      <w:r>
        <w:t xml:space="preserve"> </w:t>
      </w:r>
      <w:r>
        <w:t xml:space="preserve">(0.45–0.50); on WADI and SWaT it ties the strongest baseline at the top of the difficult column.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the base score omits reconstruction</w:t>
      </w:r>
      <w:r>
        <w:t xml:space="preserve"> </w:t>
      </w:r>
      <w:r>
        <w:t xml:space="preserve">and scores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 reconstruction is added back only through the optional,</w:t>
      </w:r>
      <w:r>
        <w:t xml:space="preserve"> </w:t>
      </w:r>
      <w:r>
        <w:t xml:space="preserve">auto-gated residual head where it demonstrably helps (§4.3 iv).</w:t>
      </w:r>
    </w:p>
    <w:p>
      <w:pPr>
        <w:pStyle w:val="MDPI41tablecaption"/>
        <w:ind w:left="2608"/>
      </w:pPr>
      <w:r>
        <w:rPr>
          <w:b/>
          <w:bCs/>
        </w:rPr>
        <w:t xml:space="preserve">Table 5.</w:t>
      </w:r>
      <w:r>
        <w:t xml:space="preserve"> </w:t>
      </w:r>
      <w:r>
        <w:t xml:space="preserve">Difficult-subset AUROC by score head, five-seed mean±standard deviation</w:t>
      </w:r>
      <w:r>
        <w:t xml:space="preserve"> </w:t>
      </w:r>
      <w:r>
        <w:t xml:space="preserve">on all three datasets (an independent five-seed run; the final row reproduces the Table 3 headline within seed</w:t>
      </w:r>
      <w:r>
        <w:t xml:space="preserve"> </w:t>
      </w:r>
      <w:r>
        <w:t xml:space="preserve">variation).</w:t>
      </w:r>
      <w:r>
        <w:t xml:space="preserve"> </w:t>
      </w:r>
      <w:r>
        <w:rPr>
          <w:i/>
          <w:iCs/>
        </w:rPr>
        <w:t xml:space="preserve">recon</w:t>
      </w:r>
      <w:r>
        <w:t xml:space="preserve"> </w:t>
      </w:r>
      <w:r>
        <w:t xml:space="preserve">is the whitened reconstruction residual (the term the base score omits);</w:t>
      </w:r>
      <w:r>
        <w:t xml:space="preserve"> </w:t>
      </w:r>
      <w:r>
        <w:rPr>
          <w:i/>
          <w:iCs/>
        </w:rPr>
        <w:t xml:space="preserve">base</w:t>
      </w:r>
      <w:r>
        <w:t xml:space="preserve"> </w:t>
      </w:r>
      <w:r>
        <w:t xml:space="preserve">is density+nearest;</w:t>
      </w:r>
      <w:r>
        <w:t xml:space="preserve"> </w:t>
      </w:r>
      <w:r>
        <w:rPr>
          <w:i/>
          <w:iCs/>
        </w:rPr>
        <w:t xml:space="preserve">base+resid</w:t>
      </w:r>
      <w:r>
        <w:t xml:space="preserve"> </w:t>
      </w:r>
      <w:r>
        <w:t xml:space="preserve">adds the auto-gated residual head;</w:t>
      </w:r>
      <w:r>
        <w:t xml:space="preserve"> </w:t>
      </w:r>
      <w:r>
        <w:rPr>
          <w:i/>
          <w:iCs/>
        </w:rPr>
        <w:t xml:space="preserve">LatAD</w:t>
      </w:r>
      <w:r>
        <w:t xml:space="preserve"> </w:t>
      </w:r>
      <w:r>
        <w:t xml:space="preserve">is the reported model</w:t>
      </w:r>
      <w:r>
        <w:t xml:space="preserve"> </w:t>
      </w:r>
      <w:r>
        <w:t xml:space="preserve">(base+resid+basin, auto-gated).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2"/>
        <w:gridCol w:w="1611"/>
        <w:gridCol w:w="1611"/>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reconstruction residual (dropped term)</w:t>
            </w:r>
          </w:p>
        </w:tc>
        <w:tc>
          <w:tcPr>
            <w:vAlign w:val="center"/>
          </w:tcPr>
          <w:p>
            <w:pPr>
              <w:pStyle w:val="Compact"/>
              <w:suppressAutoHyphens/>
              <w:jc w:val="center"/>
            </w:pPr>
            <w:r>
              <w:rPr>
                <w:sz w:val="18"/>
                <w:szCs w:val="18"/>
              </w:rPr>
              <w:t xml:space="preserve">0.475±0.004</w:t>
            </w:r>
          </w:p>
        </w:tc>
        <w:tc>
          <w:tcPr>
            <w:vAlign w:val="center"/>
          </w:tcPr>
          <w:p>
            <w:pPr>
              <w:pStyle w:val="Compact"/>
              <w:suppressAutoHyphens/>
              <w:jc w:val="center"/>
            </w:pPr>
            <w:r>
              <w:rPr>
                <w:sz w:val="18"/>
                <w:szCs w:val="18"/>
              </w:rPr>
              <w:t xml:space="preserve">0.695±0.004</w:t>
            </w:r>
          </w:p>
        </w:tc>
        <w:tc>
          <w:tcPr>
            <w:vAlign w:val="center"/>
          </w:tcPr>
          <w:p>
            <w:pPr>
              <w:pStyle w:val="Compact"/>
              <w:suppressAutoHyphens/>
              <w:jc w:val="center"/>
            </w:pPr>
            <w:r>
              <w:rPr>
                <w:sz w:val="18"/>
                <w:szCs w:val="18"/>
              </w:rPr>
              <w:t xml:space="preserve">0.965±0.002</w:t>
            </w:r>
          </w:p>
        </w:tc>
      </w:tr>
      <w:tr>
        <w:tc>
          <w:tcPr>
            <w:vAlign w:val="center"/>
          </w:tcPr>
          <w:p>
            <w:pPr>
              <w:pStyle w:val="Compact"/>
              <w:suppressAutoHyphens/>
              <w:jc w:val="center"/>
            </w:pPr>
            <w:r>
              <w:rPr>
                <w:sz w:val="18"/>
                <w:szCs w:val="18"/>
              </w:rPr>
              <w:t xml:space="preserve">latent density</w:t>
            </w:r>
          </w:p>
        </w:tc>
        <w:tc>
          <w:tcPr>
            <w:vAlign w:val="center"/>
          </w:tcPr>
          <w:p>
            <w:pPr>
              <w:pStyle w:val="Compact"/>
              <w:suppressAutoHyphens/>
              <w:jc w:val="center"/>
            </w:pPr>
            <w:r>
              <w:rPr>
                <w:sz w:val="18"/>
                <w:szCs w:val="18"/>
              </w:rPr>
              <w:t xml:space="preserve">0.694±0.027</w:t>
            </w:r>
          </w:p>
        </w:tc>
        <w:tc>
          <w:tcPr>
            <w:vAlign w:val="center"/>
          </w:tcPr>
          <w:p>
            <w:pPr>
              <w:pStyle w:val="Compact"/>
              <w:suppressAutoHyphens/>
              <w:jc w:val="center"/>
            </w:pPr>
            <w:r>
              <w:rPr>
                <w:sz w:val="18"/>
                <w:szCs w:val="18"/>
              </w:rPr>
              <w:t xml:space="preserve">0.802±0.011</w:t>
            </w:r>
          </w:p>
        </w:tc>
        <w:tc>
          <w:tcPr>
            <w:vAlign w:val="center"/>
          </w:tcPr>
          <w:p>
            <w:pPr>
              <w:pStyle w:val="Compact"/>
              <w:suppressAutoHyphens/>
              <w:jc w:val="center"/>
            </w:pPr>
            <w:r>
              <w:rPr>
                <w:sz w:val="18"/>
                <w:szCs w:val="18"/>
              </w:rPr>
              <w:t xml:space="preserve">0.952±0.008</w:t>
            </w:r>
          </w:p>
        </w:tc>
      </w:tr>
      <w:tr>
        <w:tc>
          <w:tcPr>
            <w:vAlign w:val="center"/>
          </w:tcPr>
          <w:p>
            <w:pPr>
              <w:pStyle w:val="Compact"/>
              <w:suppressAutoHyphens/>
              <w:jc w:val="center"/>
            </w:pPr>
            <w:r>
              <w:rPr>
                <w:sz w:val="18"/>
                <w:szCs w:val="18"/>
              </w:rPr>
              <w:t xml:space="preserve">nearest-component NLL</w:t>
            </w:r>
          </w:p>
        </w:tc>
        <w:tc>
          <w:tcPr>
            <w:vAlign w:val="center"/>
          </w:tcPr>
          <w:p>
            <w:pPr>
              <w:pStyle w:val="Compact"/>
              <w:suppressAutoHyphens/>
              <w:jc w:val="center"/>
            </w:pPr>
            <w:r>
              <w:rPr>
                <w:sz w:val="18"/>
                <w:szCs w:val="18"/>
              </w:rPr>
              <w:t xml:space="preserve">0.665±0.033</w:t>
            </w:r>
          </w:p>
        </w:tc>
        <w:tc>
          <w:tcPr>
            <w:vAlign w:val="center"/>
          </w:tcPr>
          <w:p>
            <w:pPr>
              <w:pStyle w:val="Compact"/>
              <w:suppressAutoHyphens/>
              <w:jc w:val="center"/>
            </w:pPr>
            <w:r>
              <w:rPr>
                <w:sz w:val="18"/>
                <w:szCs w:val="18"/>
              </w:rPr>
              <w:t xml:space="preserve">0.797±0.008</w:t>
            </w:r>
          </w:p>
        </w:tc>
        <w:tc>
          <w:tcPr>
            <w:vAlign w:val="center"/>
          </w:tcPr>
          <w:p>
            <w:pPr>
              <w:pStyle w:val="Compact"/>
              <w:suppressAutoHyphens/>
              <w:jc w:val="center"/>
            </w:pPr>
            <w:r>
              <w:rPr>
                <w:sz w:val="18"/>
                <w:szCs w:val="18"/>
              </w:rPr>
              <w:t xml:space="preserve">0.922±0.010</w:t>
            </w:r>
          </w:p>
        </w:tc>
      </w:tr>
      <w:tr>
        <w:tc>
          <w:tcPr>
            <w:vAlign w:val="center"/>
          </w:tcPr>
          <w:p>
            <w:pPr>
              <w:pStyle w:val="Compact"/>
              <w:suppressAutoHyphens/>
              <w:jc w:val="center"/>
            </w:pPr>
            <w:r>
              <w:rPr>
                <w:sz w:val="18"/>
                <w:szCs w:val="18"/>
              </w:rPr>
              <w:t xml:space="preserve">base (density + nearest)</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0.801±0.010</w:t>
            </w:r>
          </w:p>
        </w:tc>
        <w:tc>
          <w:tcPr>
            <w:vAlign w:val="center"/>
          </w:tcPr>
          <w:p>
            <w:pPr>
              <w:pStyle w:val="Compact"/>
              <w:suppressAutoHyphens/>
              <w:jc w:val="center"/>
            </w:pPr>
            <w:r>
              <w:rPr>
                <w:sz w:val="18"/>
                <w:szCs w:val="18"/>
              </w:rPr>
              <w:t xml:space="preserve">0.947±0.007</w:t>
            </w:r>
          </w:p>
        </w:tc>
      </w:tr>
      <w:tr>
        <w:tc>
          <w:tcPr>
            <w:vAlign w:val="center"/>
          </w:tcPr>
          <w:p>
            <w:pPr>
              <w:pStyle w:val="Compact"/>
              <w:suppressAutoHyphens/>
              <w:jc w:val="center"/>
            </w:pPr>
            <w:r>
              <w:rPr>
                <w:sz w:val="18"/>
                <w:szCs w:val="18"/>
              </w:rPr>
              <w:t xml:space="preserve">base + resid (auto)</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r>
        <w:tc>
          <w:tcPr>
            <w:vAlign w:val="center"/>
          </w:tcPr>
          <w:p>
            <w:pPr>
              <w:pStyle w:val="Compact"/>
              <w:suppressAutoHyphens/>
              <w:jc w:val="center"/>
            </w:pPr>
            <w:r>
              <w:rPr>
                <w:b/>
                <w:bCs/>
                <w:sz w:val="18"/>
                <w:szCs w:val="18"/>
              </w:rPr>
              <w:t xml:space="preserve">LatAD (reported)</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bl>
    <w:p>
      <w:pPr>
        <w:pStyle w:val="MDPI31text"/>
        <w:ind w:left="2608"/>
      </w:pPr>
      <w:r>
        <w:t xml:space="preserve">Table 5 decomposes the score into its heads across five seeds and all three datasets. On WADI the reconstruction</w:t>
      </w:r>
      <w:r>
        <w:t xml:space="preserve"> </w:t>
      </w:r>
      <w:r>
        <w:t xml:space="preserve">residual alone is near chance (0.475) while the latent density carries the signal (0.694); on HAI reconstruction is</w:t>
      </w:r>
      <w:r>
        <w:t xml:space="preserve"> </w:t>
      </w:r>
      <w:r>
        <w:t xml:space="preserve">informative but the weakest head (0.695) and the density head dominates (0.802). The residual head, where the gate</w:t>
      </w:r>
      <w:r>
        <w:t xml:space="preserve"> </w:t>
      </w:r>
      <w:r>
        <w:t xml:space="preserve">turns it on, lifts the base score exactly where reconstruction is informative (HAI 0.801→0.820, SWaT</w:t>
      </w:r>
      <w:r>
        <w:t xml:space="preserve"> </w:t>
      </w:r>
      <w:r>
        <w:t xml:space="preserve">0.947→0.960) and stays off on WADI. On SWaT reconstruction is in fact the strongest single head (0.965),</w:t>
      </w:r>
      <w:r>
        <w:t xml:space="preserve"> </w:t>
      </w:r>
      <w:r>
        <w:t xml:space="preserve">consistent with SWaT's difficult faults being large deviations that reconstruction catches, which is why the gate</w:t>
      </w:r>
      <w:r>
        <w:t xml:space="preserve"> </w:t>
      </w:r>
      <w:r>
        <w:t xml:space="preserve">keeps the residual head on there and why SWaT is a ceiling rather than a joint-structure test. The decomposition</w:t>
      </w:r>
      <w:r>
        <w:t xml:space="preserve"> </w:t>
      </w:r>
      <w:r>
        <w:t xml:space="preserve">supports the mechanism at the head level: the latent density is what carries the joint-structure benchmarks, and</w:t>
      </w:r>
      <w:r>
        <w:t xml:space="preserve"> </w:t>
      </w:r>
      <w:r>
        <w:t xml:space="preserve">reconstruction contributes only where it provably generalises.</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active on HAI and SWaT) and a</w:t>
      </w:r>
      <w:r>
        <w:t xml:space="preserve"> </w:t>
      </w:r>
      <w:r>
        <w:t xml:space="preserve">basin-agreement head (gated by the ambiguous-normal ratio; a no-op on all three benchmarks here). The single</w:t>
      </w:r>
      <w:r>
        <w:t xml:space="preserve"> </w:t>
      </w:r>
      <w:r>
        <w:t xml:space="preserve">configuration VaDE-hard+resid(auto) then adapts itself: the residual head activates on HAI and SWaT, where the</w:t>
      </w:r>
      <w:r>
        <w:t xml:space="preserve"> </w:t>
      </w:r>
      <w:r>
        <w:t xml:space="preserve">fault leaves a whitened-residual signal, and stays off on WADI, whose difficult faults are pure low-density</w:t>
      </w:r>
      <w:r>
        <w:t xml:space="preserve"> </w:t>
      </w:r>
      <w:r>
        <w:t xml:space="preserve">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demoted from the default score to an optional, auto-gated</w:t>
      </w:r>
      <w:r>
        <w:t xml:space="preserve"> </w:t>
      </w:r>
      <w:r>
        <w:t xml:space="preserve">residual head. Under a deliberately fair, raw-metric, difficulty-stratified protocol on three real CPS attack</w:t>
      </w:r>
      <w:r>
        <w:t xml:space="preserve"> </w:t>
      </w:r>
      <w:r>
        <w:t xml:space="preserve">benchmarks, this detector attains the best overall AUROC on every dataset and is strongest on the difficult subset</w:t>
      </w:r>
      <w:r>
        <w:t xml:space="preserve"> </w:t>
      </w:r>
      <w:r>
        <w:t xml:space="preserve">over five seeds, most decisively and significantly on HAI (a paired episode-bootstrap 95% CI of [0.015, 0.089]</w:t>
      </w:r>
      <w:r>
        <w:t xml:space="preserve"> </w:t>
      </w:r>
      <w:r>
        <w:t xml:space="preserve">over the next-best baseline), where the difficult faults break joint structure and the reconstruction-based</w:t>
      </w:r>
      <w:r>
        <w:t xml:space="preserve"> </w:t>
      </w:r>
      <w:r>
        <w:t xml:space="preserve">detectors collapse; on WADI and SWaT it ties the strongest baseline. On a stricter double-hard subset that keeps</w:t>
      </w:r>
      <w:r>
        <w:t xml:space="preserve"> </w:t>
      </w:r>
      <w:r>
        <w:t xml:space="preserve">only anomalies separated by neither a univariate nor a linear cross-channel rule, the detector has the highest</w:t>
      </w:r>
      <w:r>
        <w:t xml:space="preserve"> </w:t>
      </w:r>
      <w:r>
        <w:t xml:space="preserve">mean AUROC on all three datasets, with statistically supported superiority on HAI and numerical leads on the</w:t>
      </w:r>
      <w:r>
        <w:t xml:space="preserve"> </w:t>
      </w:r>
      <w:r>
        <w:t xml:space="preserve">smaller WADI and single-episode SWaT subsets.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what delivers the difficult-subset advantage.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9">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10">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11">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12">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13">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14">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15">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24">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5">
        <w:r>
          <w:rPr>
            <w:rStyle w:val="Hyperlink"/>
          </w:rPr>
          <w:t xml:space="preserve">arXiv:2203.05167</w:t>
        </w:r>
      </w:hyperlink>
      <w:r>
        <w:t xml:space="preserve">.</w:t>
      </w:r>
      <w:bookmarkEnd w:id="54"/>
    </w:p>
    <w:p>
      <w:pPr>
        <w:pStyle w:val="MDPI81references"/>
        <w:numPr>
          <w:ilvl w:val="0"/>
          <w:numId w:val="0"/>
        </w:numPr>
        <w:ind w:left="180" w:hanging="180"/>
      </w:pPr>
      <w:bookmarkStart w:id="56" w:name="r-pate"/>
      <w:r>
        <w:t xml:space="preserve">Ghorbani, R.; Reinders, M.J.T.; Tax, D.M.J. PATE: Proximity-aware time series anomaly evaluation. In Proceedings of the 30th ACM SIGKDD Conference on Knowledge Discovery and Data Mining (KDD), Barcelona, Spain, 25–29 August 2024; pp. 872–883.</w:t>
      </w:r>
      <w:r>
        <w:t xml:space="preserve"> </w:t>
      </w:r>
      <w:hyperlink r:id="rId26">
        <w:r>
          <w:rPr>
            <w:rStyle w:val="Hyperlink"/>
          </w:rPr>
          <w:t xml:space="preserve">https://doi.org/10.1145/3637528.3671971</w:t>
        </w:r>
      </w:hyperlink>
      <w:r>
        <w:t xml:space="preserve">.</w:t>
      </w:r>
      <w:bookmarkEnd w:id="56"/>
    </w:p>
    <w:p>
      <w:pPr>
        <w:pStyle w:val="MDPI81references"/>
        <w:numPr>
          <w:ilvl w:val="0"/>
          <w:numId w:val="0"/>
        </w:numPr>
        <w:ind w:left="180" w:hanging="180"/>
      </w:pPr>
      <w:bookmarkStart w:id="58"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7">
        <w:r>
          <w:rPr>
            <w:rStyle w:val="Hyperlink"/>
          </w:rPr>
          <w:t xml:space="preserve">https://arxiv.org/abs/2606.02670</w:t>
        </w:r>
      </w:hyperlink>
      <w:r>
        <w:t xml:space="preserve">.</w:t>
      </w:r>
      <w:bookmarkEnd w:id="58"/>
    </w:p>
    <w:p>
      <w:pPr>
        <w:pStyle w:val="MDPI81references"/>
        <w:numPr>
          <w:ilvl w:val="0"/>
          <w:numId w:val="0"/>
        </w:numPr>
        <w:ind w:left="180" w:hanging="180"/>
      </w:pPr>
      <w:bookmarkStart w:id="60" w:name="r-tab"/>
      <w:r>
        <w:t xml:space="preserve">Qiu, X.; Li, Z.; Wu, X.; Hu, J.; Guo, C.; Yang, B.; Jensen, C.S. TAB: Unified benchmarking of time series anomaly detection methods.</w:t>
      </w:r>
      <w:r>
        <w:t xml:space="preserve"> </w:t>
      </w:r>
      <w:r>
        <w:rPr>
          <w:i/>
          <w:iCs/>
        </w:rPr>
        <w:t xml:space="preserve">Proc. VLDB Endow.</w:t>
      </w:r>
      <w:r>
        <w:t xml:space="preserve"> </w:t>
      </w:r>
      <w:r>
        <w:rPr>
          <w:b/>
          <w:bCs/>
        </w:rPr>
        <w:t xml:space="preserve">2025</w:t>
      </w:r>
      <w:r>
        <w:t xml:space="preserve">.</w:t>
      </w:r>
      <w:r>
        <w:t xml:space="preserve"> </w:t>
      </w:r>
      <w:hyperlink r:id="rId28">
        <w:r>
          <w:rPr>
            <w:rStyle w:val="Hyperlink"/>
          </w:rPr>
          <w:t xml:space="preserve">arXiv:2506.18046</w:t>
        </w:r>
      </w:hyperlink>
      <w:r>
        <w:t xml:space="preserve">.</w:t>
      </w:r>
      <w:bookmarkEnd w:id="60"/>
    </w:p>
    <w:p>
      <w:pPr>
        <w:pStyle w:val="MDPI81references"/>
        <w:numPr>
          <w:ilvl w:val="0"/>
          <w:numId w:val="0"/>
        </w:numPr>
        <w:ind w:left="180" w:hanging="180"/>
      </w:pPr>
      <w:bookmarkStart w:id="62"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29">
        <w:r>
          <w:rPr>
            <w:rStyle w:val="Hyperlink"/>
          </w:rPr>
          <w:t xml:space="preserve">https://arxiv.org/abs/2501.13864</w:t>
        </w:r>
      </w:hyperlink>
      <w:r>
        <w:t xml:space="preserve">.</w:t>
      </w:r>
      <w:bookmarkEnd w:id="62"/>
    </w:p>
    <w:p>
      <w:pPr>
        <w:pStyle w:val="MDPI81references"/>
        <w:numPr>
          <w:ilvl w:val="0"/>
          <w:numId w:val="0"/>
        </w:numPr>
        <w:ind w:left="180" w:hanging="180"/>
      </w:pPr>
      <w:bookmarkStart w:id="64"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0">
        <w:r>
          <w:rPr>
            <w:rStyle w:val="Hyperlink"/>
          </w:rPr>
          <w:t xml:space="preserve">arXiv:1904.02639</w:t>
        </w:r>
      </w:hyperlink>
      <w:r>
        <w:t xml:space="preserve">.</w:t>
      </w:r>
      <w:bookmarkEnd w:id="64"/>
    </w:p>
    <w:p>
      <w:pPr>
        <w:pStyle w:val="MDPI81references"/>
        <w:numPr>
          <w:ilvl w:val="0"/>
          <w:numId w:val="0"/>
        </w:numPr>
        <w:ind w:left="180" w:hanging="180"/>
      </w:pPr>
      <w:bookmarkStart w:id="66"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1">
        <w:r>
          <w:rPr>
            <w:rStyle w:val="Hyperlink"/>
          </w:rPr>
          <w:t xml:space="preserve">arXiv:2405.02678</w:t>
        </w:r>
      </w:hyperlink>
      <w:r>
        <w:t xml:space="preserve">.</w:t>
      </w:r>
      <w:bookmarkEnd w:id="66"/>
    </w:p>
    <w:p>
      <w:pPr>
        <w:pStyle w:val="MDPI81references"/>
        <w:numPr>
          <w:ilvl w:val="0"/>
          <w:numId w:val="0"/>
        </w:numPr>
        <w:ind w:left="180" w:hanging="180"/>
      </w:pPr>
      <w:bookmarkStart w:id="68"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2">
        <w:r>
          <w:rPr>
            <w:rStyle w:val="Hyperlink"/>
          </w:rPr>
          <w:t xml:space="preserve">https://openreview.net/forum?id=iMmsCI0JsS</w:t>
        </w:r>
      </w:hyperlink>
      <w:r>
        <w:t xml:space="preserve">.</w:t>
      </w:r>
      <w:bookmarkEnd w:id="68"/>
    </w:p>
    <w:p>
      <w:pPr>
        <w:pStyle w:val="MDPI81references"/>
        <w:numPr>
          <w:ilvl w:val="0"/>
          <w:numId w:val="0"/>
        </w:numPr>
        <w:ind w:left="180" w:hanging="180"/>
      </w:pPr>
      <w:bookmarkStart w:id="70"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33">
        <w:r>
          <w:rPr>
            <w:rStyle w:val="Hyperlink"/>
          </w:rPr>
          <w:t xml:space="preserve">https://doi.org/10.24963/ijcai.2017/273</w:t>
        </w:r>
      </w:hyperlink>
      <w:r>
        <w:t xml:space="preserve">.</w:t>
      </w:r>
      <w:bookmarkEnd w:id="70"/>
    </w:p>
    <w:p>
      <w:pPr>
        <w:pStyle w:val="MDPI81references"/>
        <w:numPr>
          <w:ilvl w:val="0"/>
          <w:numId w:val="0"/>
        </w:numPr>
        <w:ind w:left="180" w:hanging="180"/>
      </w:pPr>
      <w:bookmarkStart w:id="72"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34">
        <w:r>
          <w:rPr>
            <w:rStyle w:val="Hyperlink"/>
          </w:rPr>
          <w:t xml:space="preserve">https://openreview.net/forum?id=BJJLHbb0-</w:t>
        </w:r>
      </w:hyperlink>
      <w:r>
        <w:t xml:space="preserve">.</w:t>
      </w:r>
      <w:bookmarkEnd w:id="72"/>
    </w:p>
    <w:p>
      <w:pPr>
        <w:pStyle w:val="MDPI81references"/>
        <w:numPr>
          <w:ilvl w:val="0"/>
          <w:numId w:val="0"/>
        </w:numPr>
        <w:ind w:left="180" w:hanging="180"/>
      </w:pPr>
      <w:bookmarkStart w:id="74"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5">
        <w:r>
          <w:rPr>
            <w:rStyle w:val="Hyperlink"/>
          </w:rPr>
          <w:t xml:space="preserve">https://doi.org/10.1016/S0047-259X(03)00096-4</w:t>
        </w:r>
      </w:hyperlink>
      <w:r>
        <w:t xml:space="preserve">.</w:t>
      </w:r>
      <w:bookmarkEnd w:id="74"/>
    </w:p>
    <w:p>
      <w:pPr>
        <w:pStyle w:val="MDPI81references"/>
        <w:numPr>
          <w:ilvl w:val="0"/>
          <w:numId w:val="0"/>
        </w:numPr>
        <w:ind w:left="180" w:hanging="180"/>
      </w:pPr>
      <w:bookmarkStart w:id="76" w:name="r-if"/>
      <w:r>
        <w:t xml:space="preserve">Liu, F.T.; Ting, K.M.; Zhou, Z.-H. Isolation forest. In Proceedings of the 2008 Eighth IEEE International Conference on Data Mining (ICDM), Pisa, Italy, 15–19 December 2008; pp. 413–422.</w:t>
      </w:r>
      <w:r>
        <w:t xml:space="preserve"> </w:t>
      </w:r>
      <w:hyperlink r:id="rId36">
        <w:r>
          <w:rPr>
            <w:rStyle w:val="Hyperlink"/>
          </w:rPr>
          <w:t xml:space="preserve">https://doi.org/10.1109/ICDM.2008.17</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37">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38">
        <w:r>
          <w:rPr>
            <w:rStyle w:val="Hyperlink"/>
          </w:rPr>
          <w:t xml:space="preserve">https://doi.org/10.1145/3394486.3403392</w:t>
        </w:r>
      </w:hyperlink>
      <w:r>
        <w:t xml:space="preserve">.</w:t>
      </w:r>
      <w:bookmarkEnd w:id="80"/>
    </w:p>
    <w:p>
      <w:pPr>
        <w:pStyle w:val="MDPI81references"/>
        <w:numPr>
          <w:ilvl w:val="0"/>
          <w:numId w:val="0"/>
        </w:numPr>
        <w:ind w:left="180" w:hanging="180"/>
      </w:pPr>
      <w:bookmarkStart w:id="82"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39">
        <w:r>
          <w:rPr>
            <w:rStyle w:val="Hyperlink"/>
          </w:rPr>
          <w:t xml:space="preserve">https://doi.org/10.14778/3514061.3514067</w:t>
        </w:r>
      </w:hyperlink>
      <w:r>
        <w:t xml:space="preserve">.</w:t>
      </w:r>
      <w:bookmarkEnd w:id="82"/>
    </w:p>
    <w:p>
      <w:pPr>
        <w:pStyle w:val="MDPI81references"/>
        <w:numPr>
          <w:ilvl w:val="0"/>
          <w:numId w:val="0"/>
        </w:numPr>
        <w:ind w:left="180" w:hanging="180"/>
      </w:pPr>
      <w:bookmarkStart w:id="84"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40">
        <w:r>
          <w:rPr>
            <w:rStyle w:val="Hyperlink"/>
          </w:rPr>
          <w:t xml:space="preserve">https://doi.org/10.1609/aaai.v35i5.16523</w:t>
        </w:r>
      </w:hyperlink>
      <w:r>
        <w:t xml:space="preserve">.</w:t>
      </w:r>
      <w:bookmarkEnd w:id="84"/>
    </w:p>
    <w:p>
      <w:pPr>
        <w:pStyle w:val="MDPI81references"/>
        <w:numPr>
          <w:ilvl w:val="0"/>
          <w:numId w:val="0"/>
        </w:numPr>
        <w:ind w:left="180" w:hanging="180"/>
      </w:pPr>
      <w:bookmarkStart w:id="86" w:name="r-sensitivehue"/>
      <w: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t xml:space="preserve"> </w:t>
      </w:r>
      <w:hyperlink r:id="rId41">
        <w:r>
          <w:rPr>
            <w:rStyle w:val="Hyperlink"/>
          </w:rPr>
          <w:t xml:space="preserve">https://doi.org/10.1145/3637528.3671919</w:t>
        </w:r>
      </w:hyperlink>
      <w:r>
        <w:t xml:space="preserve">.</w:t>
      </w:r>
      <w:bookmarkEnd w:id="86"/>
    </w:p>
    <w:p>
      <w:pPr>
        <w:pStyle w:val="MDPI81references"/>
        <w:numPr>
          <w:ilvl w:val="0"/>
          <w:numId w:val="0"/>
        </w:numPr>
        <w:ind w:left="180" w:hanging="180"/>
      </w:pPr>
      <w:bookmarkStart w:id="88" w:name="r-catch"/>
      <w:r>
        <w:t xml:space="preserve">Wu, X.; Qiu, X.; Li, Z.; Hu, Y.; Guo, C.; Xu, X.; Yang, B. CATCH: Channel-aware multivariate time series anomaly detection via frequency patching. In Proceedings of the International Conference on Learning Representations (ICLR), Singapore, 24–28 April 2025.</w:t>
      </w:r>
      <w:r>
        <w:t xml:space="preserve"> </w:t>
      </w:r>
      <w:hyperlink r:id="rId42">
        <w:r>
          <w:rPr>
            <w:rStyle w:val="Hyperlink"/>
          </w:rPr>
          <w:t xml:space="preserve">arXiv:2410.12261</w:t>
        </w:r>
      </w:hyperlink>
      <w:r>
        <w:t xml:space="preserve">.</w:t>
      </w:r>
      <w:bookmarkEnd w:id="88"/>
    </w:p>
    <w:p>
      <w:pPr>
        <w:pStyle w:val="MDPI81references"/>
        <w:numPr>
          <w:ilvl w:val="0"/>
          <w:numId w:val="0"/>
        </w:numPr>
        <w:ind w:left="180" w:hanging="180"/>
      </w:pPr>
      <w:bookmarkStart w:id="90"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3">
        <w:r>
          <w:rPr>
            <w:rStyle w:val="Hyperlink"/>
          </w:rPr>
          <w:t xml:space="preserve">https://doi.org/10.1109/ICCAD57653.2023.10152303</w:t>
        </w:r>
      </w:hyperlink>
      <w:r>
        <w:t xml:space="preserve">.</w:t>
      </w:r>
      <w:bookmarkEnd w:id="90"/>
    </w:p>
    <w:p>
      <w:pPr>
        <w:pStyle w:val="MDPI81references"/>
        <w:numPr>
          <w:ilvl w:val="0"/>
          <w:numId w:val="0"/>
        </w:numPr>
        <w:ind w:left="180" w:hanging="180"/>
      </w:pPr>
      <w:bookmarkStart w:id="92"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4">
        <w:r>
          <w:rPr>
            <w:rStyle w:val="Hyperlink"/>
          </w:rPr>
          <w:t xml:space="preserve">https://doi.org/10.36001/phmconf.2023.v15i1.3502</w:t>
        </w:r>
      </w:hyperlink>
      <w:r>
        <w:t xml:space="preserve">.</w:t>
      </w:r>
      <w:bookmarkEnd w:id="92"/>
    </w:p>
    <w:p>
      <w:pPr>
        <w:pStyle w:val="MDPI81references"/>
        <w:numPr>
          <w:ilvl w:val="0"/>
          <w:numId w:val="0"/>
        </w:numPr>
        <w:ind w:left="180" w:hanging="180"/>
      </w:pPr>
      <w:bookmarkStart w:id="94"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5">
        <w:r>
          <w:rPr>
            <w:rStyle w:val="Hyperlink"/>
          </w:rPr>
          <w:t xml:space="preserve">https://doi.org/10.36001/phme.2022.v7i1.3322</w:t>
        </w:r>
      </w:hyperlink>
      <w:r>
        <w:t xml:space="preserve">.</w:t>
      </w:r>
      <w:bookmarkEnd w:id="94"/>
    </w:p>
    <w:p>
      <w:pPr>
        <w:pStyle w:val="MDPI81references"/>
        <w:numPr>
          <w:ilvl w:val="0"/>
          <w:numId w:val="0"/>
        </w:numPr>
        <w:ind w:left="180" w:hanging="180"/>
      </w:pPr>
      <w:bookmarkStart w:id="96"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46">
        <w:r>
          <w:rPr>
            <w:rStyle w:val="Hyperlink"/>
          </w:rPr>
          <w:t xml:space="preserve">https://doi.org/10.1016/j.ifacol.2022.04.199</w:t>
        </w:r>
      </w:hyperlink>
      <w:r>
        <w:t xml:space="preserve">.</w:t>
      </w:r>
      <w:bookmarkEnd w:id="96"/>
    </w:p>
    <w:p>
      <w:pPr>
        <w:pStyle w:val="MDPI81references"/>
        <w:numPr>
          <w:ilvl w:val="0"/>
          <w:numId w:val="0"/>
        </w:numPr>
        <w:ind w:left="180" w:hanging="180"/>
      </w:pPr>
      <w:bookmarkStart w:id="98"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47">
        <w:r>
          <w:rPr>
            <w:rStyle w:val="Hyperlink"/>
          </w:rPr>
          <w:t xml:space="preserve">https://doi.org/10.1145/3055366.3055375</w:t>
        </w:r>
      </w:hyperlink>
      <w:r>
        <w:t xml:space="preserve">.</w:t>
      </w:r>
      <w:bookmarkEnd w:id="98"/>
    </w:p>
    <w:p>
      <w:pPr>
        <w:pStyle w:val="MDPI81references"/>
        <w:numPr>
          <w:ilvl w:val="0"/>
          <w:numId w:val="0"/>
        </w:numPr>
        <w:ind w:left="180" w:hanging="180"/>
      </w:pPr>
      <w:bookmarkStart w:id="100"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48">
        <w:r>
          <w:rPr>
            <w:rStyle w:val="Hyperlink"/>
          </w:rPr>
          <w:t xml:space="preserve">https://doi.org/10.1109/CySWater.2016.7469060</w:t>
        </w:r>
      </w:hyperlink>
      <w:r>
        <w:t xml:space="preserve">.</w:t>
      </w:r>
      <w:bookmarkEnd w:id="100"/>
    </w:p>
    <w:p>
      <w:pPr>
        <w:pStyle w:val="MDPI81references"/>
        <w:numPr>
          <w:ilvl w:val="0"/>
          <w:numId w:val="0"/>
        </w:numPr>
        <w:ind w:left="180" w:hanging="180"/>
      </w:pPr>
      <w:bookmarkStart w:id="102" w:name="r-hai"/>
      <w:r>
        <w:t xml:space="preserve">Shin, H.-K.; Lee, W.; Yun, J.-H.; Kim, H. HAI 1.0: HIL-based augmented ICS security dataset. In Proceedings of the 13th USENIX Workshop on Cyber Security Experimentation and Test (CSET), Virtual, 10 August 2020.</w:t>
      </w:r>
      <w:r>
        <w:t xml:space="preserve"> </w:t>
      </w:r>
      <w:hyperlink r:id="rId49">
        <w:r>
          <w:rPr>
            <w:rStyle w:val="Hyperlink"/>
          </w:rPr>
          <w:t xml:space="preserve">https://www.usenix.org/conference/cset20/presentation/shin</w:t>
        </w:r>
      </w:hyperlink>
      <w:r>
        <w:t xml:space="preserve">.</w:t>
      </w:r>
      <w:bookmarkEnd w:id="102"/>
    </w:p>
    <w:sectPr w:rsidR="007E326C" w:rsidRPr="00174B5F" w:rsidSect="004B4808">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1FFC5" w14:textId="77777777" w:rsidR="001B1844" w:rsidRPr="00BF5F39" w:rsidRDefault="001B1844">
      <w:pPr>
        <w:spacing w:line="240" w:lineRule="auto"/>
      </w:pPr>
      <w:r w:rsidRPr="00BF5F39">
        <w:separator/>
      </w:r>
    </w:p>
  </w:endnote>
  <w:endnote w:type="continuationSeparator" w:id="0">
    <w:p w14:paraId="55D78B27" w14:textId="77777777" w:rsidR="001B1844" w:rsidRPr="00BF5F39" w:rsidRDefault="001B1844">
      <w:pPr>
        <w:spacing w:line="240" w:lineRule="auto"/>
      </w:pPr>
      <w:r w:rsidRPr="00BF5F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3902" w14:textId="77777777" w:rsidR="00C31189" w:rsidRDefault="00C311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850B" w14:textId="77777777" w:rsidR="004A6017" w:rsidRPr="004A6017" w:rsidRDefault="004A6017" w:rsidP="004A6017">
    <w:pPr>
      <w:pStyle w:val="Footer"/>
      <w:spacing w:line="240" w:lineRule="auto"/>
      <w:jc w:val="right"/>
    </w:pPr>
    <w:r w:rsidRPr="00C31189">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3B20" w14:textId="77777777" w:rsidR="004B61B8" w:rsidRPr="00BF5F39" w:rsidRDefault="004B61B8" w:rsidP="008054CD">
    <w:pPr>
      <w:pBdr>
        <w:top w:val="single" w:sz="4" w:space="0" w:color="000000"/>
      </w:pBdr>
      <w:tabs>
        <w:tab w:val="right" w:pos="8844"/>
      </w:tabs>
      <w:adjustRightInd w:val="0"/>
      <w:snapToGrid w:val="0"/>
      <w:spacing w:before="480" w:line="100" w:lineRule="exact"/>
      <w:jc w:val="left"/>
      <w:rPr>
        <w:i/>
        <w:sz w:val="16"/>
        <w:szCs w:val="16"/>
      </w:rPr>
    </w:pPr>
  </w:p>
  <w:p w14:paraId="186D42B3" w14:textId="77777777" w:rsidR="0067215B" w:rsidRPr="00B61263" w:rsidRDefault="00E05BB2" w:rsidP="004C3213">
    <w:pPr>
      <w:tabs>
        <w:tab w:val="right" w:pos="10466"/>
      </w:tabs>
      <w:adjustRightInd w:val="0"/>
      <w:snapToGrid w:val="0"/>
      <w:spacing w:line="240" w:lineRule="auto"/>
      <w:rPr>
        <w:sz w:val="16"/>
        <w:szCs w:val="16"/>
        <w:lang w:val="it-IT"/>
      </w:rPr>
    </w:pPr>
    <w:r w:rsidRPr="00B61263">
      <w:rPr>
        <w:i/>
        <w:sz w:val="16"/>
        <w:szCs w:val="16"/>
        <w:lang w:val="it-IT"/>
      </w:rPr>
      <w:t>AI</w:t>
    </w:r>
    <w:r w:rsidR="00FC648A" w:rsidRPr="00B61263">
      <w:rPr>
        <w:sz w:val="16"/>
        <w:szCs w:val="16"/>
        <w:lang w:val="it-IT"/>
      </w:rPr>
      <w:t xml:space="preserve"> </w:t>
    </w:r>
    <w:r w:rsidR="004A6017" w:rsidRPr="00B61263">
      <w:rPr>
        <w:b/>
        <w:bCs/>
        <w:iCs/>
        <w:sz w:val="16"/>
        <w:szCs w:val="16"/>
        <w:lang w:val="it-IT"/>
      </w:rPr>
      <w:t>2026</w:t>
    </w:r>
    <w:r w:rsidR="0041236F" w:rsidRPr="00B61263">
      <w:rPr>
        <w:bCs/>
        <w:iCs/>
        <w:sz w:val="16"/>
        <w:szCs w:val="16"/>
        <w:lang w:val="it-IT"/>
      </w:rPr>
      <w:t>,</w:t>
    </w:r>
    <w:r w:rsidR="004B4808" w:rsidRPr="00B61263">
      <w:rPr>
        <w:bCs/>
        <w:i/>
        <w:iCs/>
        <w:sz w:val="16"/>
        <w:szCs w:val="16"/>
        <w:lang w:val="it-IT"/>
      </w:rPr>
      <w:t xml:space="preserve"> </w:t>
    </w:r>
    <w:r w:rsidR="004A6017" w:rsidRPr="00B61263">
      <w:rPr>
        <w:bCs/>
        <w:i/>
        <w:iCs/>
        <w:sz w:val="16"/>
        <w:szCs w:val="16"/>
        <w:lang w:val="it-IT"/>
      </w:rPr>
      <w:t>7</w:t>
    </w:r>
    <w:r w:rsidR="0041236F" w:rsidRPr="00B61263">
      <w:rPr>
        <w:bCs/>
        <w:iCs/>
        <w:sz w:val="16"/>
        <w:szCs w:val="16"/>
        <w:lang w:val="it-IT"/>
      </w:rPr>
      <w:t xml:space="preserve">, </w:t>
    </w:r>
    <w:bookmarkStart w:id="16" w:name="OLE_LINK6"/>
    <w:bookmarkStart w:id="17" w:name="OLE_LINK7"/>
    <w:r w:rsidR="004B4808" w:rsidRPr="00B61263">
      <w:rPr>
        <w:bCs/>
        <w:iCs/>
        <w:sz w:val="16"/>
        <w:szCs w:val="16"/>
        <w:lang w:val="it-IT"/>
      </w:rPr>
      <w:t>x</w:t>
    </w:r>
    <w:r w:rsidR="004C3213" w:rsidRPr="00B61263">
      <w:rPr>
        <w:sz w:val="16"/>
        <w:szCs w:val="16"/>
        <w:lang w:val="it-IT"/>
      </w:rPr>
      <w:tab/>
    </w:r>
    <w:bookmarkEnd w:id="16"/>
    <w:bookmarkEnd w:id="17"/>
    <w:r w:rsidR="004A6017" w:rsidRPr="00B61263">
      <w:rPr>
        <w:sz w:val="16"/>
        <w:szCs w:val="16"/>
        <w:lang w:val="it-IT"/>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AA317" w14:textId="77777777" w:rsidR="001B1844" w:rsidRPr="00BF5F39" w:rsidRDefault="001B1844">
      <w:pPr>
        <w:spacing w:line="240" w:lineRule="auto"/>
      </w:pPr>
      <w:r w:rsidRPr="00BF5F39">
        <w:separator/>
      </w:r>
    </w:p>
  </w:footnote>
  <w:footnote w:type="continuationSeparator" w:id="0">
    <w:p w14:paraId="368FEBF4" w14:textId="77777777" w:rsidR="001B1844" w:rsidRPr="00BF5F39" w:rsidRDefault="001B1844">
      <w:pPr>
        <w:spacing w:line="240" w:lineRule="auto"/>
      </w:pPr>
      <w:r w:rsidRPr="00BF5F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2AB2E" w14:textId="77777777" w:rsidR="0067215B" w:rsidRPr="00BF5F39" w:rsidRDefault="0067215B" w:rsidP="0067215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71038" w14:textId="77777777" w:rsidR="004B61B8" w:rsidRPr="00BF5F39" w:rsidRDefault="00E05BB2" w:rsidP="004C3213">
    <w:pPr>
      <w:tabs>
        <w:tab w:val="right" w:pos="10466"/>
      </w:tabs>
      <w:adjustRightInd w:val="0"/>
      <w:snapToGrid w:val="0"/>
      <w:spacing w:line="240" w:lineRule="auto"/>
      <w:rPr>
        <w:sz w:val="16"/>
      </w:rPr>
    </w:pPr>
    <w:r w:rsidRPr="00BF5F39">
      <w:rPr>
        <w:i/>
        <w:sz w:val="16"/>
        <w:szCs w:val="16"/>
      </w:rPr>
      <w:t>AI</w:t>
    </w:r>
    <w:r w:rsidR="0067215B" w:rsidRPr="00BF5F39">
      <w:rPr>
        <w:i/>
        <w:sz w:val="16"/>
      </w:rPr>
      <w:t xml:space="preserve"> </w:t>
    </w:r>
    <w:r w:rsidR="004A6017">
      <w:rPr>
        <w:b/>
        <w:sz w:val="16"/>
      </w:rPr>
      <w:t>2026</w:t>
    </w:r>
    <w:r w:rsidR="0041236F" w:rsidRPr="00BF5F39">
      <w:rPr>
        <w:sz w:val="16"/>
      </w:rPr>
      <w:t>,</w:t>
    </w:r>
    <w:r w:rsidR="004B4808" w:rsidRPr="00BF5F39">
      <w:rPr>
        <w:i/>
        <w:sz w:val="16"/>
      </w:rPr>
      <w:t xml:space="preserve"> </w:t>
    </w:r>
    <w:r w:rsidR="004A6017">
      <w:rPr>
        <w:i/>
        <w:sz w:val="16"/>
      </w:rPr>
      <w:t>7</w:t>
    </w:r>
    <w:r w:rsidR="00FC648A" w:rsidRPr="00BF5F39">
      <w:rPr>
        <w:sz w:val="16"/>
      </w:rPr>
      <w:t>,</w:t>
    </w:r>
    <w:r w:rsidR="004B4808" w:rsidRPr="00BF5F39">
      <w:rPr>
        <w:sz w:val="16"/>
      </w:rPr>
      <w:t xml:space="preserve"> x</w:t>
    </w:r>
    <w:r w:rsidR="00690722" w:rsidRPr="00BF5F39">
      <w:rPr>
        <w:sz w:val="16"/>
      </w:rPr>
      <w:t xml:space="preserve"> </w:t>
    </w:r>
    <w:r w:rsidR="004B4808" w:rsidRPr="00BF5F39">
      <w:rPr>
        <w:sz w:val="16"/>
      </w:rPr>
      <w:t>FOR PEER REVIEW</w:t>
    </w:r>
    <w:r w:rsidR="004B4808" w:rsidRPr="00BF5F39">
      <w:rPr>
        <w:sz w:val="16"/>
      </w:rPr>
      <w:ptab w:relativeTo="margin" w:alignment="right" w:leader="none"/>
    </w:r>
    <w:r w:rsidR="004B4808" w:rsidRPr="00BF5F39">
      <w:rPr>
        <w:sz w:val="16"/>
      </w:rPr>
      <w:fldChar w:fldCharType="begin"/>
    </w:r>
    <w:r w:rsidR="004B4808" w:rsidRPr="00BF5F39">
      <w:rPr>
        <w:sz w:val="16"/>
      </w:rPr>
      <w:instrText xml:space="preserve"> PAGE   \* MERGEFORMAT </w:instrText>
    </w:r>
    <w:r w:rsidR="004B4808" w:rsidRPr="00BF5F39">
      <w:rPr>
        <w:sz w:val="16"/>
      </w:rPr>
      <w:fldChar w:fldCharType="separate"/>
    </w:r>
    <w:r w:rsidR="004B4808" w:rsidRPr="00BF5F39">
      <w:rPr>
        <w:sz w:val="16"/>
      </w:rPr>
      <w:t>2</w:t>
    </w:r>
    <w:r w:rsidR="004B4808" w:rsidRPr="00BF5F39">
      <w:rPr>
        <w:sz w:val="16"/>
      </w:rPr>
      <w:fldChar w:fldCharType="end"/>
    </w:r>
    <w:r w:rsidR="004B4808" w:rsidRPr="00BF5F39">
      <w:rPr>
        <w:sz w:val="16"/>
      </w:rPr>
      <w:t xml:space="preserve"> of </w:t>
    </w:r>
    <w:r w:rsidR="004B4808" w:rsidRPr="00BF5F39">
      <w:rPr>
        <w:sz w:val="16"/>
      </w:rPr>
      <w:fldChar w:fldCharType="begin"/>
    </w:r>
    <w:r w:rsidR="004B4808" w:rsidRPr="00BF5F39">
      <w:rPr>
        <w:sz w:val="16"/>
      </w:rPr>
      <w:instrText xml:space="preserve"> NUMPAGES   \* MERGEFORMAT </w:instrText>
    </w:r>
    <w:r w:rsidR="004B4808" w:rsidRPr="00BF5F39">
      <w:rPr>
        <w:sz w:val="16"/>
      </w:rPr>
      <w:fldChar w:fldCharType="separate"/>
    </w:r>
    <w:r w:rsidR="004B4808" w:rsidRPr="00BF5F39">
      <w:rPr>
        <w:sz w:val="16"/>
      </w:rPr>
      <w:t>7</w:t>
    </w:r>
    <w:r w:rsidR="004B4808" w:rsidRPr="00BF5F39">
      <w:rPr>
        <w:sz w:val="16"/>
      </w:rPr>
      <w:fldChar w:fldCharType="end"/>
    </w:r>
  </w:p>
  <w:p w14:paraId="20F5E905" w14:textId="77777777" w:rsidR="0067215B" w:rsidRPr="00BF5F39" w:rsidRDefault="0067215B" w:rsidP="008054C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61B8" w:rsidRPr="00BF5F39" w14:paraId="21B09E3B" w14:textId="77777777" w:rsidTr="00170173">
      <w:trPr>
        <w:trHeight w:val="686"/>
      </w:trPr>
      <w:tc>
        <w:tcPr>
          <w:tcW w:w="3679" w:type="dxa"/>
          <w:vAlign w:val="center"/>
        </w:tcPr>
        <w:p w14:paraId="29974E60" w14:textId="77777777" w:rsidR="004B61B8" w:rsidRPr="00BF5F39" w:rsidRDefault="00CD309F" w:rsidP="004C3213">
          <w:pPr>
            <w:pStyle w:val="Header"/>
            <w:pBdr>
              <w:bottom w:val="none" w:sz="0" w:space="0" w:color="auto"/>
            </w:pBdr>
            <w:jc w:val="left"/>
            <w:rPr>
              <w:rFonts w:eastAsia="DengXian"/>
              <w:b/>
              <w:bCs/>
            </w:rPr>
          </w:pPr>
          <w:r w:rsidRPr="00BF5F39">
            <w:rPr>
              <w:rFonts w:eastAsia="DengXian"/>
              <w:b/>
              <w:bCs/>
              <w:noProof/>
            </w:rPr>
            <w:drawing>
              <wp:inline distT="0" distB="0" distL="0" distR="0" wp14:anchorId="0E0F939A" wp14:editId="34A0641E">
                <wp:extent cx="821408" cy="432000"/>
                <wp:effectExtent l="0" t="0" r="0" b="6350"/>
                <wp:docPr id="10331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9031" name=""/>
                        <pic:cNvPicPr/>
                      </pic:nvPicPr>
                      <pic:blipFill>
                        <a:blip r:embed="rId1"/>
                        <a:stretch>
                          <a:fillRect/>
                        </a:stretch>
                      </pic:blipFill>
                      <pic:spPr>
                        <a:xfrm>
                          <a:off x="0" y="0"/>
                          <a:ext cx="821408" cy="432000"/>
                        </a:xfrm>
                        <a:prstGeom prst="rect">
                          <a:avLst/>
                        </a:prstGeom>
                      </pic:spPr>
                    </pic:pic>
                  </a:graphicData>
                </a:graphic>
              </wp:inline>
            </w:drawing>
          </w:r>
        </w:p>
      </w:tc>
      <w:tc>
        <w:tcPr>
          <w:tcW w:w="4535" w:type="dxa"/>
          <w:vAlign w:val="center"/>
        </w:tcPr>
        <w:p w14:paraId="2CA68E25" w14:textId="77777777" w:rsidR="004B61B8" w:rsidRPr="00BF5F39" w:rsidRDefault="004B61B8" w:rsidP="004C3213">
          <w:pPr>
            <w:pStyle w:val="Header"/>
            <w:pBdr>
              <w:bottom w:val="none" w:sz="0" w:space="0" w:color="auto"/>
            </w:pBdr>
            <w:rPr>
              <w:rFonts w:eastAsia="DengXian"/>
              <w:b/>
              <w:bCs/>
            </w:rPr>
          </w:pPr>
        </w:p>
      </w:tc>
      <w:tc>
        <w:tcPr>
          <w:tcW w:w="2273" w:type="dxa"/>
          <w:vAlign w:val="center"/>
        </w:tcPr>
        <w:p w14:paraId="0CA7F00B" w14:textId="77777777" w:rsidR="004B61B8" w:rsidRPr="00BF5F39" w:rsidRDefault="00170173" w:rsidP="00170173">
          <w:pPr>
            <w:pStyle w:val="Header"/>
            <w:pBdr>
              <w:bottom w:val="none" w:sz="0" w:space="0" w:color="auto"/>
            </w:pBdr>
            <w:jc w:val="right"/>
            <w:rPr>
              <w:rFonts w:eastAsia="DengXian"/>
              <w:b/>
              <w:bCs/>
            </w:rPr>
          </w:pPr>
          <w:r w:rsidRPr="00BF5F39">
            <w:rPr>
              <w:rFonts w:eastAsia="DengXian"/>
              <w:b/>
              <w:bCs/>
              <w:noProof/>
            </w:rPr>
            <w:drawing>
              <wp:inline distT="0" distB="0" distL="0" distR="0" wp14:anchorId="05DC0250" wp14:editId="0567BA35">
                <wp:extent cx="540000" cy="360000"/>
                <wp:effectExtent l="0" t="0" r="0" b="2540"/>
                <wp:docPr id="358920941" name="Picture 1"/>
                <wp:cNvGraphicFramePr/>
                <a:graphic xmlns:a="http://schemas.openxmlformats.org/drawingml/2006/main">
                  <a:graphicData uri="http://schemas.openxmlformats.org/drawingml/2006/picture">
                    <pic:pic xmlns:pic="http://schemas.openxmlformats.org/drawingml/2006/picture">
                      <pic:nvPicPr>
                        <pic:cNvPr id="358920941" name=""/>
                        <pic:cNvPicPr/>
                      </pic:nvPicPr>
                      <pic:blipFill>
                        <a:blip r:embed="rId2"/>
                        <a:stretch>
                          <a:fillRect/>
                        </a:stretch>
                      </pic:blipFill>
                      <pic:spPr>
                        <a:xfrm>
                          <a:off x="0" y="0"/>
                          <a:ext cx="540000" cy="360000"/>
                        </a:xfrm>
                        <a:prstGeom prst="rect">
                          <a:avLst/>
                        </a:prstGeom>
                      </pic:spPr>
                    </pic:pic>
                  </a:graphicData>
                </a:graphic>
              </wp:inline>
            </w:drawing>
          </w:r>
        </w:p>
      </w:tc>
    </w:tr>
  </w:tbl>
  <w:p w14:paraId="0FB2F4CF" w14:textId="77777777" w:rsidR="0067215B" w:rsidRPr="00BF5F39" w:rsidRDefault="0067215B" w:rsidP="004B4808">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CFE44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8B468F5"/>
    <w:multiLevelType w:val="hybridMultilevel"/>
    <w:tmpl w:val="C81A4C24"/>
    <w:lvl w:ilvl="0" w:tplc="F20428A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30F555F"/>
    <w:multiLevelType w:val="hybridMultilevel"/>
    <w:tmpl w:val="E27C7240"/>
    <w:lvl w:ilvl="0" w:tplc="5CEE7B68">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E737F1"/>
    <w:multiLevelType w:val="hybridMultilevel"/>
    <w:tmpl w:val="5A34D26A"/>
    <w:lvl w:ilvl="0" w:tplc="75E67D4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E5242"/>
    <w:multiLevelType w:val="hybridMultilevel"/>
    <w:tmpl w:val="8012B1C4"/>
    <w:lvl w:ilvl="0" w:tplc="13C0F86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3377222">
    <w:abstractNumId w:val="4"/>
  </w:num>
  <w:num w:numId="2" w16cid:durableId="964432981">
    <w:abstractNumId w:val="6"/>
  </w:num>
  <w:num w:numId="3" w16cid:durableId="1716079798">
    <w:abstractNumId w:val="3"/>
  </w:num>
  <w:num w:numId="4" w16cid:durableId="500969567">
    <w:abstractNumId w:val="5"/>
  </w:num>
  <w:num w:numId="5" w16cid:durableId="823357956">
    <w:abstractNumId w:val="9"/>
  </w:num>
  <w:num w:numId="6" w16cid:durableId="1737628721">
    <w:abstractNumId w:val="2"/>
  </w:num>
  <w:num w:numId="7" w16cid:durableId="792141845">
    <w:abstractNumId w:val="9"/>
  </w:num>
  <w:num w:numId="8" w16cid:durableId="2071879956">
    <w:abstractNumId w:val="2"/>
  </w:num>
  <w:num w:numId="9" w16cid:durableId="1085030395">
    <w:abstractNumId w:val="9"/>
  </w:num>
  <w:num w:numId="10" w16cid:durableId="778646594">
    <w:abstractNumId w:val="2"/>
  </w:num>
  <w:num w:numId="11" w16cid:durableId="1911503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342652">
    <w:abstractNumId w:val="11"/>
  </w:num>
  <w:num w:numId="13" w16cid:durableId="2003655984">
    <w:abstractNumId w:val="9"/>
  </w:num>
  <w:num w:numId="14" w16cid:durableId="109788721">
    <w:abstractNumId w:val="2"/>
  </w:num>
  <w:num w:numId="15" w16cid:durableId="337007409">
    <w:abstractNumId w:val="1"/>
  </w:num>
  <w:num w:numId="16" w16cid:durableId="1133984604">
    <w:abstractNumId w:val="8"/>
  </w:num>
  <w:num w:numId="17" w16cid:durableId="725877451">
    <w:abstractNumId w:val="1"/>
  </w:num>
  <w:num w:numId="18" w16cid:durableId="1122262491">
    <w:abstractNumId w:val="9"/>
  </w:num>
  <w:num w:numId="19" w16cid:durableId="498236943">
    <w:abstractNumId w:val="2"/>
  </w:num>
  <w:num w:numId="20" w16cid:durableId="193858186">
    <w:abstractNumId w:val="1"/>
  </w:num>
  <w:num w:numId="21" w16cid:durableId="1641961409">
    <w:abstractNumId w:val="7"/>
  </w:num>
  <w:num w:numId="22" w16cid:durableId="1481918066">
    <w:abstractNumId w:val="10"/>
  </w:num>
  <w:num w:numId="23" w16cid:durableId="1887596170">
    <w:abstractNumId w:val="12"/>
  </w:num>
  <w:num w:numId="24" w16cid:durableId="104544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263"/>
    <w:rsid w:val="000016E5"/>
    <w:rsid w:val="00016DAD"/>
    <w:rsid w:val="00022715"/>
    <w:rsid w:val="000349FC"/>
    <w:rsid w:val="00040518"/>
    <w:rsid w:val="00066CC2"/>
    <w:rsid w:val="0008027E"/>
    <w:rsid w:val="00087275"/>
    <w:rsid w:val="000A0C21"/>
    <w:rsid w:val="000A686E"/>
    <w:rsid w:val="000B29B6"/>
    <w:rsid w:val="000B774B"/>
    <w:rsid w:val="000C15CB"/>
    <w:rsid w:val="000C6C74"/>
    <w:rsid w:val="000D139F"/>
    <w:rsid w:val="00105956"/>
    <w:rsid w:val="00110B4A"/>
    <w:rsid w:val="00114495"/>
    <w:rsid w:val="0012423C"/>
    <w:rsid w:val="001353A3"/>
    <w:rsid w:val="0014648E"/>
    <w:rsid w:val="0014775B"/>
    <w:rsid w:val="00155456"/>
    <w:rsid w:val="00170173"/>
    <w:rsid w:val="00170698"/>
    <w:rsid w:val="00174B5F"/>
    <w:rsid w:val="001876F0"/>
    <w:rsid w:val="001907D7"/>
    <w:rsid w:val="001A4AD9"/>
    <w:rsid w:val="001A7E5A"/>
    <w:rsid w:val="001B1844"/>
    <w:rsid w:val="001B4C6D"/>
    <w:rsid w:val="001C755D"/>
    <w:rsid w:val="001D2B5D"/>
    <w:rsid w:val="001E18D0"/>
    <w:rsid w:val="001E2AEB"/>
    <w:rsid w:val="001E6A7A"/>
    <w:rsid w:val="001E7130"/>
    <w:rsid w:val="001F1C19"/>
    <w:rsid w:val="001F5246"/>
    <w:rsid w:val="00200BF3"/>
    <w:rsid w:val="002175B4"/>
    <w:rsid w:val="0022262B"/>
    <w:rsid w:val="002254A8"/>
    <w:rsid w:val="00226DE8"/>
    <w:rsid w:val="002274A9"/>
    <w:rsid w:val="00233E02"/>
    <w:rsid w:val="00237F15"/>
    <w:rsid w:val="00262DCA"/>
    <w:rsid w:val="00264AD2"/>
    <w:rsid w:val="002650E7"/>
    <w:rsid w:val="002722EE"/>
    <w:rsid w:val="00292E3F"/>
    <w:rsid w:val="002938C4"/>
    <w:rsid w:val="00295161"/>
    <w:rsid w:val="002A1E5F"/>
    <w:rsid w:val="002C47E1"/>
    <w:rsid w:val="002C72D1"/>
    <w:rsid w:val="002D5114"/>
    <w:rsid w:val="002E73EB"/>
    <w:rsid w:val="002F1946"/>
    <w:rsid w:val="002F498F"/>
    <w:rsid w:val="002F4D23"/>
    <w:rsid w:val="002F5314"/>
    <w:rsid w:val="002F7223"/>
    <w:rsid w:val="003151CD"/>
    <w:rsid w:val="0031744E"/>
    <w:rsid w:val="0032225F"/>
    <w:rsid w:val="00326141"/>
    <w:rsid w:val="00334B29"/>
    <w:rsid w:val="003350E5"/>
    <w:rsid w:val="00342D06"/>
    <w:rsid w:val="0034440C"/>
    <w:rsid w:val="00344827"/>
    <w:rsid w:val="00345623"/>
    <w:rsid w:val="0034584D"/>
    <w:rsid w:val="00361842"/>
    <w:rsid w:val="0036255D"/>
    <w:rsid w:val="0036535E"/>
    <w:rsid w:val="00372136"/>
    <w:rsid w:val="0037588B"/>
    <w:rsid w:val="0038257B"/>
    <w:rsid w:val="00390E07"/>
    <w:rsid w:val="003A5D62"/>
    <w:rsid w:val="003D1B18"/>
    <w:rsid w:val="003D6C24"/>
    <w:rsid w:val="003D733A"/>
    <w:rsid w:val="003E64A5"/>
    <w:rsid w:val="003F12D2"/>
    <w:rsid w:val="003F36C1"/>
    <w:rsid w:val="003F4D0E"/>
    <w:rsid w:val="003F4DB2"/>
    <w:rsid w:val="00401D30"/>
    <w:rsid w:val="00410F35"/>
    <w:rsid w:val="0041236F"/>
    <w:rsid w:val="00421245"/>
    <w:rsid w:val="004254F0"/>
    <w:rsid w:val="0043710F"/>
    <w:rsid w:val="00440D01"/>
    <w:rsid w:val="00447A55"/>
    <w:rsid w:val="0045200E"/>
    <w:rsid w:val="00454A4A"/>
    <w:rsid w:val="00455EE1"/>
    <w:rsid w:val="0045614B"/>
    <w:rsid w:val="00466018"/>
    <w:rsid w:val="004757AE"/>
    <w:rsid w:val="00487A66"/>
    <w:rsid w:val="00493033"/>
    <w:rsid w:val="004A1AD8"/>
    <w:rsid w:val="004A3F77"/>
    <w:rsid w:val="004A6017"/>
    <w:rsid w:val="004B4808"/>
    <w:rsid w:val="004B49A6"/>
    <w:rsid w:val="004B61B8"/>
    <w:rsid w:val="004C0CC6"/>
    <w:rsid w:val="004C207F"/>
    <w:rsid w:val="004C3213"/>
    <w:rsid w:val="004C48DB"/>
    <w:rsid w:val="004D5BEC"/>
    <w:rsid w:val="004D79C7"/>
    <w:rsid w:val="004E0616"/>
    <w:rsid w:val="004E405C"/>
    <w:rsid w:val="004F188B"/>
    <w:rsid w:val="00507625"/>
    <w:rsid w:val="00511C92"/>
    <w:rsid w:val="00522C87"/>
    <w:rsid w:val="00536B95"/>
    <w:rsid w:val="00545B32"/>
    <w:rsid w:val="005614F2"/>
    <w:rsid w:val="00565B8D"/>
    <w:rsid w:val="00570E21"/>
    <w:rsid w:val="0058093C"/>
    <w:rsid w:val="00581130"/>
    <w:rsid w:val="00596FBD"/>
    <w:rsid w:val="005A0D40"/>
    <w:rsid w:val="005A317A"/>
    <w:rsid w:val="005B5B27"/>
    <w:rsid w:val="005D4019"/>
    <w:rsid w:val="005D7AE5"/>
    <w:rsid w:val="006073AC"/>
    <w:rsid w:val="006213DF"/>
    <w:rsid w:val="006224DB"/>
    <w:rsid w:val="00623A78"/>
    <w:rsid w:val="006259B4"/>
    <w:rsid w:val="00630EB5"/>
    <w:rsid w:val="00641894"/>
    <w:rsid w:val="006444A7"/>
    <w:rsid w:val="00661717"/>
    <w:rsid w:val="00662EBE"/>
    <w:rsid w:val="0067215B"/>
    <w:rsid w:val="00673CC9"/>
    <w:rsid w:val="00687C78"/>
    <w:rsid w:val="00690722"/>
    <w:rsid w:val="00691E4C"/>
    <w:rsid w:val="00692393"/>
    <w:rsid w:val="006A0C80"/>
    <w:rsid w:val="006B761A"/>
    <w:rsid w:val="006D6039"/>
    <w:rsid w:val="006E2622"/>
    <w:rsid w:val="006E668C"/>
    <w:rsid w:val="006F16F0"/>
    <w:rsid w:val="00701882"/>
    <w:rsid w:val="007065E6"/>
    <w:rsid w:val="00721050"/>
    <w:rsid w:val="00722EE0"/>
    <w:rsid w:val="00732758"/>
    <w:rsid w:val="00734C80"/>
    <w:rsid w:val="00770A76"/>
    <w:rsid w:val="007744EC"/>
    <w:rsid w:val="0078256A"/>
    <w:rsid w:val="0079387E"/>
    <w:rsid w:val="007A3613"/>
    <w:rsid w:val="007A4A78"/>
    <w:rsid w:val="007A50CD"/>
    <w:rsid w:val="007B3D68"/>
    <w:rsid w:val="007E326C"/>
    <w:rsid w:val="007E751C"/>
    <w:rsid w:val="007F4FDC"/>
    <w:rsid w:val="008054CD"/>
    <w:rsid w:val="00817168"/>
    <w:rsid w:val="00821966"/>
    <w:rsid w:val="00822A6B"/>
    <w:rsid w:val="00825D19"/>
    <w:rsid w:val="00832F6A"/>
    <w:rsid w:val="00835B39"/>
    <w:rsid w:val="00835BD7"/>
    <w:rsid w:val="00843627"/>
    <w:rsid w:val="00865AC6"/>
    <w:rsid w:val="00873216"/>
    <w:rsid w:val="00881B67"/>
    <w:rsid w:val="00884B37"/>
    <w:rsid w:val="008B011A"/>
    <w:rsid w:val="008B1066"/>
    <w:rsid w:val="008B384B"/>
    <w:rsid w:val="008C1E2B"/>
    <w:rsid w:val="008E0CDE"/>
    <w:rsid w:val="008E1FE6"/>
    <w:rsid w:val="008F4315"/>
    <w:rsid w:val="008F7962"/>
    <w:rsid w:val="009039D6"/>
    <w:rsid w:val="00906867"/>
    <w:rsid w:val="00914E4B"/>
    <w:rsid w:val="009334AD"/>
    <w:rsid w:val="00942CF1"/>
    <w:rsid w:val="009452B7"/>
    <w:rsid w:val="0095779C"/>
    <w:rsid w:val="009901D8"/>
    <w:rsid w:val="009929E4"/>
    <w:rsid w:val="00993B2E"/>
    <w:rsid w:val="00994B56"/>
    <w:rsid w:val="00997416"/>
    <w:rsid w:val="00997D0F"/>
    <w:rsid w:val="009A1FDB"/>
    <w:rsid w:val="009B23C9"/>
    <w:rsid w:val="009B4565"/>
    <w:rsid w:val="009B69CF"/>
    <w:rsid w:val="009D416B"/>
    <w:rsid w:val="009F70E6"/>
    <w:rsid w:val="00A02BF7"/>
    <w:rsid w:val="00A0521F"/>
    <w:rsid w:val="00A07C38"/>
    <w:rsid w:val="00A20793"/>
    <w:rsid w:val="00A328C3"/>
    <w:rsid w:val="00A33FB2"/>
    <w:rsid w:val="00A35CF5"/>
    <w:rsid w:val="00A37A7A"/>
    <w:rsid w:val="00A50BB0"/>
    <w:rsid w:val="00A705BE"/>
    <w:rsid w:val="00A87281"/>
    <w:rsid w:val="00A96C16"/>
    <w:rsid w:val="00AB0729"/>
    <w:rsid w:val="00AB4A14"/>
    <w:rsid w:val="00AB7579"/>
    <w:rsid w:val="00AC3309"/>
    <w:rsid w:val="00AE4EA6"/>
    <w:rsid w:val="00B12237"/>
    <w:rsid w:val="00B1331D"/>
    <w:rsid w:val="00B2070A"/>
    <w:rsid w:val="00B35CDC"/>
    <w:rsid w:val="00B61263"/>
    <w:rsid w:val="00B67A82"/>
    <w:rsid w:val="00B763B5"/>
    <w:rsid w:val="00B86946"/>
    <w:rsid w:val="00B90FA9"/>
    <w:rsid w:val="00B91FA6"/>
    <w:rsid w:val="00BC1D5B"/>
    <w:rsid w:val="00BF5F39"/>
    <w:rsid w:val="00BF6A2A"/>
    <w:rsid w:val="00BF6B09"/>
    <w:rsid w:val="00C02026"/>
    <w:rsid w:val="00C10DD7"/>
    <w:rsid w:val="00C1271D"/>
    <w:rsid w:val="00C13B6F"/>
    <w:rsid w:val="00C31189"/>
    <w:rsid w:val="00C42D40"/>
    <w:rsid w:val="00C51C26"/>
    <w:rsid w:val="00C537C7"/>
    <w:rsid w:val="00C56C95"/>
    <w:rsid w:val="00C64034"/>
    <w:rsid w:val="00C760BA"/>
    <w:rsid w:val="00C80385"/>
    <w:rsid w:val="00C946C2"/>
    <w:rsid w:val="00CA271A"/>
    <w:rsid w:val="00CB640A"/>
    <w:rsid w:val="00CC20AE"/>
    <w:rsid w:val="00CC3714"/>
    <w:rsid w:val="00CC42E7"/>
    <w:rsid w:val="00CC5F55"/>
    <w:rsid w:val="00CC7D3A"/>
    <w:rsid w:val="00CD0789"/>
    <w:rsid w:val="00CD309F"/>
    <w:rsid w:val="00CE60E1"/>
    <w:rsid w:val="00CE6473"/>
    <w:rsid w:val="00D064AC"/>
    <w:rsid w:val="00D06FE4"/>
    <w:rsid w:val="00D11046"/>
    <w:rsid w:val="00D12EB8"/>
    <w:rsid w:val="00D14BC0"/>
    <w:rsid w:val="00D16B2E"/>
    <w:rsid w:val="00D2458F"/>
    <w:rsid w:val="00D32270"/>
    <w:rsid w:val="00D453B1"/>
    <w:rsid w:val="00D4733C"/>
    <w:rsid w:val="00D54A8F"/>
    <w:rsid w:val="00D648D7"/>
    <w:rsid w:val="00D756C4"/>
    <w:rsid w:val="00DA1BD3"/>
    <w:rsid w:val="00DC7316"/>
    <w:rsid w:val="00DE56DB"/>
    <w:rsid w:val="00E03E70"/>
    <w:rsid w:val="00E05BB2"/>
    <w:rsid w:val="00E07942"/>
    <w:rsid w:val="00E25B97"/>
    <w:rsid w:val="00E31148"/>
    <w:rsid w:val="00E45125"/>
    <w:rsid w:val="00E545BD"/>
    <w:rsid w:val="00E8445F"/>
    <w:rsid w:val="00E951B3"/>
    <w:rsid w:val="00E96A25"/>
    <w:rsid w:val="00EB399A"/>
    <w:rsid w:val="00EB4B25"/>
    <w:rsid w:val="00EC2AA7"/>
    <w:rsid w:val="00ED2749"/>
    <w:rsid w:val="00ED5717"/>
    <w:rsid w:val="00ED7898"/>
    <w:rsid w:val="00EE7BA7"/>
    <w:rsid w:val="00EF2209"/>
    <w:rsid w:val="00F050BE"/>
    <w:rsid w:val="00F05444"/>
    <w:rsid w:val="00F15C65"/>
    <w:rsid w:val="00F206BD"/>
    <w:rsid w:val="00F3246A"/>
    <w:rsid w:val="00F32671"/>
    <w:rsid w:val="00F34FEE"/>
    <w:rsid w:val="00F36103"/>
    <w:rsid w:val="00F41301"/>
    <w:rsid w:val="00F41B69"/>
    <w:rsid w:val="00F44800"/>
    <w:rsid w:val="00F52244"/>
    <w:rsid w:val="00F561A2"/>
    <w:rsid w:val="00F634B8"/>
    <w:rsid w:val="00F650C6"/>
    <w:rsid w:val="00F70178"/>
    <w:rsid w:val="00F7430B"/>
    <w:rsid w:val="00F76FAE"/>
    <w:rsid w:val="00FB14D9"/>
    <w:rsid w:val="00FC185A"/>
    <w:rsid w:val="00FC5041"/>
    <w:rsid w:val="00FC546E"/>
    <w:rsid w:val="00FC648A"/>
    <w:rsid w:val="00FE33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4F798"/>
  <w15:chartTrackingRefBased/>
  <w15:docId w15:val="{4A3C5113-E2CC-4FC1-B151-9D3D6DC35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26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E326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E326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E326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E326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E326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E326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E326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Header">
    <w:name w:val="header"/>
    <w:basedOn w:val="Normal"/>
    <w:link w:val="HeaderChar"/>
    <w:uiPriority w:val="99"/>
    <w:rsid w:val="007E326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E326C"/>
    <w:rPr>
      <w:rFonts w:ascii="Palatino Linotype" w:hAnsi="Palatino Linotype"/>
      <w:noProof/>
      <w:color w:val="000000"/>
      <w:szCs w:val="18"/>
    </w:rPr>
  </w:style>
  <w:style w:type="paragraph" w:customStyle="1" w:styleId="MDPI32textnoindent">
    <w:name w:val="MDPI_3.2_text_no_indent"/>
    <w:basedOn w:val="MDPI31text"/>
    <w:qFormat/>
    <w:rsid w:val="007E326C"/>
    <w:pPr>
      <w:ind w:firstLine="0"/>
    </w:pPr>
  </w:style>
  <w:style w:type="paragraph" w:customStyle="1" w:styleId="MDPI31text">
    <w:name w:val="MDPI_3.1_text"/>
    <w:qFormat/>
    <w:rsid w:val="0037588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E326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E326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E326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292E3F"/>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92E3F"/>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E326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E326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E326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E326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E326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E326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E326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E326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E326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B106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E326C"/>
    <w:rPr>
      <w:rFonts w:cs="Tahoma"/>
      <w:szCs w:val="18"/>
    </w:rPr>
  </w:style>
  <w:style w:type="character" w:customStyle="1" w:styleId="BalloonTextChar">
    <w:name w:val="Balloon Text Char"/>
    <w:link w:val="BalloonText"/>
    <w:uiPriority w:val="99"/>
    <w:rsid w:val="007E326C"/>
    <w:rPr>
      <w:rFonts w:ascii="Palatino Linotype" w:hAnsi="Palatino Linotype" w:cs="Tahoma"/>
      <w:noProof/>
      <w:color w:val="000000"/>
      <w:szCs w:val="18"/>
    </w:rPr>
  </w:style>
  <w:style w:type="character" w:styleId="LineNumber">
    <w:name w:val="line number"/>
    <w:uiPriority w:val="99"/>
    <w:rsid w:val="009B4565"/>
    <w:rPr>
      <w:rFonts w:ascii="Palatino Linotype" w:hAnsi="Palatino Linotype"/>
      <w:sz w:val="16"/>
    </w:rPr>
  </w:style>
  <w:style w:type="table" w:customStyle="1" w:styleId="MDPI41threelinetable">
    <w:name w:val="MDPI_4.1_three_line_table"/>
    <w:basedOn w:val="TableNormal"/>
    <w:uiPriority w:val="99"/>
    <w:rsid w:val="007E326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rsid w:val="00B91FA6"/>
    <w:rPr>
      <w:color w:val="605E5C"/>
      <w:shd w:val="clear" w:color="auto" w:fill="E1DFDD"/>
    </w:rPr>
  </w:style>
  <w:style w:type="paragraph" w:styleId="Footer">
    <w:name w:val="footer"/>
    <w:basedOn w:val="Normal"/>
    <w:link w:val="FooterChar"/>
    <w:uiPriority w:val="99"/>
    <w:rsid w:val="007E326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E326C"/>
    <w:rPr>
      <w:rFonts w:ascii="Palatino Linotype" w:hAnsi="Palatino Linotype"/>
      <w:noProof/>
      <w:color w:val="000000"/>
      <w:szCs w:val="18"/>
    </w:rPr>
  </w:style>
  <w:style w:type="table" w:styleId="TableGrid">
    <w:name w:val="Table Grid"/>
    <w:basedOn w:val="TableNormal"/>
    <w:uiPriority w:val="59"/>
    <w:rsid w:val="007E326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E326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E326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E326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E326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E326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35CF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E326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E326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13D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E326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E326C"/>
  </w:style>
  <w:style w:type="paragraph" w:styleId="Bibliography">
    <w:name w:val="Bibliography"/>
    <w:basedOn w:val="Normal"/>
    <w:next w:val="Normal"/>
    <w:uiPriority w:val="37"/>
    <w:semiHidden/>
    <w:unhideWhenUsed/>
    <w:rsid w:val="007E326C"/>
  </w:style>
  <w:style w:type="paragraph" w:styleId="BodyText">
    <w:name w:val="Body Text"/>
    <w:link w:val="BodyTextChar"/>
    <w:uiPriority w:val="99"/>
    <w:rsid w:val="007E326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uiPriority w:val="99"/>
    <w:rsid w:val="007E326C"/>
    <w:rPr>
      <w:rFonts w:ascii="Palatino Linotype" w:hAnsi="Palatino Linotype"/>
      <w:color w:val="000000"/>
      <w:sz w:val="24"/>
      <w:lang w:eastAsia="de-DE"/>
    </w:rPr>
  </w:style>
  <w:style w:type="character" w:styleId="CommentReference">
    <w:name w:val="annotation reference"/>
    <w:rsid w:val="007E326C"/>
    <w:rPr>
      <w:sz w:val="21"/>
      <w:szCs w:val="21"/>
    </w:rPr>
  </w:style>
  <w:style w:type="paragraph" w:styleId="CommentText">
    <w:name w:val="annotation text"/>
    <w:basedOn w:val="Normal"/>
    <w:link w:val="CommentTextChar"/>
    <w:rsid w:val="007E326C"/>
  </w:style>
  <w:style w:type="character" w:customStyle="1" w:styleId="CommentTextChar">
    <w:name w:val="Comment Text Char"/>
    <w:link w:val="CommentText"/>
    <w:rsid w:val="007E326C"/>
    <w:rPr>
      <w:rFonts w:ascii="Palatino Linotype" w:hAnsi="Palatino Linotype"/>
      <w:noProof/>
      <w:color w:val="000000"/>
    </w:rPr>
  </w:style>
  <w:style w:type="paragraph" w:styleId="CommentSubject">
    <w:name w:val="annotation subject"/>
    <w:basedOn w:val="CommentText"/>
    <w:next w:val="CommentText"/>
    <w:link w:val="CommentSubjectChar"/>
    <w:rsid w:val="007E326C"/>
    <w:rPr>
      <w:b/>
      <w:bCs/>
    </w:rPr>
  </w:style>
  <w:style w:type="character" w:customStyle="1" w:styleId="CommentSubjectChar">
    <w:name w:val="Comment Subject Char"/>
    <w:link w:val="CommentSubject"/>
    <w:rsid w:val="007E326C"/>
    <w:rPr>
      <w:rFonts w:ascii="Palatino Linotype" w:hAnsi="Palatino Linotype"/>
      <w:b/>
      <w:bCs/>
      <w:noProof/>
      <w:color w:val="000000"/>
    </w:rPr>
  </w:style>
  <w:style w:type="character" w:styleId="EndnoteReference">
    <w:name w:val="endnote reference"/>
    <w:rsid w:val="007E326C"/>
    <w:rPr>
      <w:vertAlign w:val="superscript"/>
    </w:rPr>
  </w:style>
  <w:style w:type="paragraph" w:styleId="EndnoteText">
    <w:name w:val="endnote text"/>
    <w:basedOn w:val="Normal"/>
    <w:link w:val="EndnoteTextChar"/>
    <w:semiHidden/>
    <w:unhideWhenUsed/>
    <w:rsid w:val="007E326C"/>
    <w:pPr>
      <w:spacing w:line="240" w:lineRule="auto"/>
    </w:pPr>
  </w:style>
  <w:style w:type="character" w:customStyle="1" w:styleId="EndnoteTextChar">
    <w:name w:val="Endnote Text Char"/>
    <w:link w:val="EndnoteText"/>
    <w:semiHidden/>
    <w:rsid w:val="007E326C"/>
    <w:rPr>
      <w:rFonts w:ascii="Palatino Linotype" w:hAnsi="Palatino Linotype"/>
      <w:noProof/>
      <w:color w:val="000000"/>
    </w:rPr>
  </w:style>
  <w:style w:type="character" w:styleId="FollowedHyperlink">
    <w:name w:val="FollowedHyperlink"/>
    <w:rsid w:val="007E326C"/>
    <w:rPr>
      <w:color w:val="954F72"/>
      <w:u w:val="single"/>
    </w:rPr>
  </w:style>
  <w:style w:type="paragraph" w:styleId="FootnoteText">
    <w:name w:val="footnote text"/>
    <w:basedOn w:val="Normal"/>
    <w:link w:val="FootnoteTextChar"/>
    <w:semiHidden/>
    <w:unhideWhenUsed/>
    <w:rsid w:val="007E326C"/>
    <w:pPr>
      <w:spacing w:line="240" w:lineRule="auto"/>
    </w:pPr>
  </w:style>
  <w:style w:type="character" w:customStyle="1" w:styleId="FootnoteTextChar">
    <w:name w:val="Footnote Text Char"/>
    <w:link w:val="FootnoteText"/>
    <w:semiHidden/>
    <w:rsid w:val="007E326C"/>
    <w:rPr>
      <w:rFonts w:ascii="Palatino Linotype" w:hAnsi="Palatino Linotype"/>
      <w:noProof/>
      <w:color w:val="000000"/>
    </w:rPr>
  </w:style>
  <w:style w:type="paragraph" w:styleId="NormalWeb">
    <w:name w:val="Normal (Web)"/>
    <w:basedOn w:val="Normal"/>
    <w:uiPriority w:val="99"/>
    <w:rsid w:val="007E326C"/>
    <w:rPr>
      <w:szCs w:val="24"/>
    </w:rPr>
  </w:style>
  <w:style w:type="paragraph" w:customStyle="1" w:styleId="MsoFootnoteText0">
    <w:name w:val="MsoFootnoteText"/>
    <w:basedOn w:val="NormalWeb"/>
    <w:qFormat/>
    <w:rsid w:val="007E326C"/>
    <w:rPr>
      <w:rFonts w:ascii="Times New Roman" w:hAnsi="Times New Roman"/>
    </w:rPr>
  </w:style>
  <w:style w:type="character" w:styleId="PageNumber">
    <w:name w:val="page number"/>
    <w:rsid w:val="007E326C"/>
  </w:style>
  <w:style w:type="character" w:styleId="PlaceholderText">
    <w:name w:val="Placeholder Text"/>
    <w:uiPriority w:val="99"/>
    <w:semiHidden/>
    <w:rsid w:val="007E326C"/>
    <w:rPr>
      <w:color w:val="808080"/>
    </w:rPr>
  </w:style>
  <w:style w:type="paragraph" w:customStyle="1" w:styleId="MDPI71footnotes">
    <w:name w:val="MDPI_7.1_footnotes"/>
    <w:qFormat/>
    <w:rsid w:val="00114495"/>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756C4"/>
    <w:rPr>
      <w:b/>
      <w:bCs/>
    </w:rPr>
  </w:style>
  <w:style w:type="paragraph" w:customStyle="1" w:styleId="FirstParagraph">
    <w:name w:val="First Paragraph"/>
    <w:basedOn w:val="BodyText"/>
    <w:rsid w:val="00D453B1"/>
    <w:pPr>
      <w:spacing w:after="0" w:line="276" w:lineRule="auto"/>
    </w:pPr>
    <w:rPr>
      <w:rFonts w:ascii="Times New Roman" w:eastAsiaTheme="minorEastAsia" w:hAnsi="Times New Roman" w:cstheme="minorBidi"/>
      <w:color w:val="auto"/>
      <w:sz w:val="22"/>
      <w:szCs w:val="22"/>
      <w:lang w:val="en" w:eastAsia="en-US"/>
    </w:rPr>
  </w:style>
  <w:style w:type="paragraph" w:customStyle="1" w:styleId="Compact">
    <w:name w:val="Compact"/>
    <w:basedOn w:val="BodyText"/>
    <w:rsid w:val="00721050"/>
    <w:pPr>
      <w:spacing w:after="40" w:line="252" w:lineRule="auto"/>
      <w:ind w:left="317" w:hanging="259"/>
    </w:pPr>
    <w:rPr>
      <w:rFonts w:ascii="Times New Roman" w:eastAsiaTheme="minorEastAsia" w:hAnsi="Times New Roman" w:cstheme="minorBidi"/>
      <w:color w:val="auto"/>
      <w:sz w:val="22"/>
      <w:szCs w:val="22"/>
      <w:lang w:val="e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creativecommons.org/licenses/by/4.0/"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hyperlink" Target="https://doi.org/10.1145/1541880.1541882" TargetMode="External"/><Relationship Id="rId10" Type="http://schemas.openxmlformats.org/officeDocument/2006/relationships/hyperlink" Target="https://doi.org/10.1109/JPROC.2021.3052449" TargetMode="External"/><Relationship Id="rId11" Type="http://schemas.openxmlformats.org/officeDocument/2006/relationships/hyperlink" Target="https://doi.org/10.1609/aaai.v36i7.20680" TargetMode="External"/><Relationship Id="rId12" Type="http://schemas.openxmlformats.org/officeDocument/2006/relationships/hyperlink" Target="https://doi.org/10.1109/TNNLS.2021.3105827" TargetMode="External"/><Relationship Id="rId13" Type="http://schemas.openxmlformats.org/officeDocument/2006/relationships/hyperlink" Target="https://doi.org/10.1109/TKDE.2021.3112126" TargetMode="External"/><Relationship Id="rId14" Type="http://schemas.openxmlformats.org/officeDocument/2006/relationships/hyperlink" Target="https://doi.org/10.1145/3439950" TargetMode="External"/><Relationship Id="rId15" Type="http://schemas.openxmlformats.org/officeDocument/2006/relationships/hyperlink" Target="https://doi.org/10.1145/3444690" TargetMode="External"/><Relationship Id="rId24" Type="http://schemas.openxmlformats.org/officeDocument/2006/relationships/hyperlink" Target="https://doi.org/10.1177/1550147718794615" TargetMode="External"/><Relationship Id="rId25" Type="http://schemas.openxmlformats.org/officeDocument/2006/relationships/hyperlink" Target="https://arxiv.org/abs/2203.05167" TargetMode="External"/><Relationship Id="rId26" Type="http://schemas.openxmlformats.org/officeDocument/2006/relationships/hyperlink" Target="https://doi.org/10.1145/3637528.3671971" TargetMode="External"/><Relationship Id="rId27" Type="http://schemas.openxmlformats.org/officeDocument/2006/relationships/hyperlink" Target="https://arxiv.org/abs/2606.02670" TargetMode="External"/><Relationship Id="rId28" Type="http://schemas.openxmlformats.org/officeDocument/2006/relationships/hyperlink" Target="https://arxiv.org/abs/2506.18046" TargetMode="External"/><Relationship Id="rId29" Type="http://schemas.openxmlformats.org/officeDocument/2006/relationships/hyperlink" Target="https://arxiv.org/abs/2501.13864" TargetMode="External"/><Relationship Id="rId30" Type="http://schemas.openxmlformats.org/officeDocument/2006/relationships/hyperlink" Target="https://arxiv.org/abs/1904.02639" TargetMode="External"/><Relationship Id="rId31" Type="http://schemas.openxmlformats.org/officeDocument/2006/relationships/hyperlink" Target="https://arxiv.org/abs/2405.02678" TargetMode="External"/><Relationship Id="rId32" Type="http://schemas.openxmlformats.org/officeDocument/2006/relationships/hyperlink" Target="https://openreview.net/forum?id=iMmsCI0JsS" TargetMode="External"/><Relationship Id="rId33" Type="http://schemas.openxmlformats.org/officeDocument/2006/relationships/hyperlink" Target="https://doi.org/10.24963/ijcai.2017/273" TargetMode="External"/><Relationship Id="rId34" Type="http://schemas.openxmlformats.org/officeDocument/2006/relationships/hyperlink" Target="https://openreview.net/forum?id=BJJLHbb0-" TargetMode="External"/><Relationship Id="rId35" Type="http://schemas.openxmlformats.org/officeDocument/2006/relationships/hyperlink" Target="https://doi.org/10.1016/S0047-259X(03)00096-4" TargetMode="External"/><Relationship Id="rId36" Type="http://schemas.openxmlformats.org/officeDocument/2006/relationships/hyperlink" Target="https://doi.org/10.1109/ICDM.2008.17" TargetMode="External"/><Relationship Id="rId37" Type="http://schemas.openxmlformats.org/officeDocument/2006/relationships/hyperlink" Target="https://doi.org/10.1145/2689746.2689747" TargetMode="External"/><Relationship Id="rId38" Type="http://schemas.openxmlformats.org/officeDocument/2006/relationships/hyperlink" Target="https://doi.org/10.1145/3394486.3403392" TargetMode="External"/><Relationship Id="rId39" Type="http://schemas.openxmlformats.org/officeDocument/2006/relationships/hyperlink" Target="https://doi.org/10.14778/3514061.3514067" TargetMode="External"/><Relationship Id="rId40" Type="http://schemas.openxmlformats.org/officeDocument/2006/relationships/hyperlink" Target="https://doi.org/10.1609/aaai.v35i5.16523" TargetMode="External"/><Relationship Id="rId41" Type="http://schemas.openxmlformats.org/officeDocument/2006/relationships/hyperlink" Target="https://doi.org/10.1145/3637528.3671919" TargetMode="External"/><Relationship Id="rId42" Type="http://schemas.openxmlformats.org/officeDocument/2006/relationships/hyperlink" Target="https://arxiv.org/abs/2410.12261" TargetMode="External"/><Relationship Id="rId43" Type="http://schemas.openxmlformats.org/officeDocument/2006/relationships/hyperlink" Target="https://doi.org/10.1109/ICCAD57653.2023.10152303" TargetMode="External"/><Relationship Id="rId44" Type="http://schemas.openxmlformats.org/officeDocument/2006/relationships/hyperlink" Target="https://doi.org/10.36001/phmconf.2023.v15i1.3502" TargetMode="External"/><Relationship Id="rId45" Type="http://schemas.openxmlformats.org/officeDocument/2006/relationships/hyperlink" Target="https://doi.org/10.36001/phme.2022.v7i1.3322" TargetMode="External"/><Relationship Id="rId46" Type="http://schemas.openxmlformats.org/officeDocument/2006/relationships/hyperlink" Target="https://doi.org/10.1016/j.ifacol.2022.04.199" TargetMode="External"/><Relationship Id="rId47" Type="http://schemas.openxmlformats.org/officeDocument/2006/relationships/hyperlink" Target="https://doi.org/10.1145/3055366.3055375" TargetMode="External"/><Relationship Id="rId48" Type="http://schemas.openxmlformats.org/officeDocument/2006/relationships/hyperlink" Target="https://doi.org/10.1109/CySWater.2016.7469060" TargetMode="External"/><Relationship Id="rId49" Type="http://schemas.openxmlformats.org/officeDocument/2006/relationships/hyperlink" Target="https://www.usenix.org/conference/cset20/presentation/shin"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persteiny\Downloads\a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ai-template.dot</Template>
  <TotalTime>24</TotalTime>
  <Pages>20</Pages>
  <Words>8993</Words>
  <Characters>51265</Characters>
  <Application>Microsoft Office Word</Application>
  <DocSecurity>0</DocSecurity>
  <Lines>427</Lines>
  <Paragraphs>120</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Type of the Paper (Article</vt:lpstr>
      <vt:lpstr>1. Introduction</vt:lpstr>
      <vt:lpstr>2. Related Work</vt:lpstr>
      <vt:lpstr>    2.1. Opportunistic and Repurposed Urban Sensing</vt:lpstr>
      <vt:lpstr>    2.2. License Plate Recognition and Its Assumptions</vt:lpstr>
      <vt:lpstr>    2.3. Deep Learning Image Restoration</vt:lpstr>
      <vt:lpstr>    2.4. Low-Discrepancy Sampling for Benchmark Design</vt:lpstr>
      <vt:lpstr>3. Results</vt:lpstr>
      <vt:lpstr>    3.1. Subsection</vt:lpstr>
      <vt:lpstr>        3.1.1. Subsubsection</vt:lpstr>
      <vt:lpstr>    3.2. Figures, Tables and Schemes</vt:lpstr>
      <vt:lpstr>    3.3. Formatting of Mathematical Components</vt:lpstr>
      <vt:lpstr>4. Discussion</vt:lpstr>
      <vt:lpstr>5. Conclusions</vt:lpstr>
      <vt:lpstr>6. Patents</vt:lpstr>
      <vt:lpstr>Abbreviations</vt:lpstr>
      <vt:lpstr>Appendix A</vt:lpstr>
      <vt:lpstr>    Appendix A.1</vt:lpstr>
      <vt:lpstr>Appendix B</vt:lpstr>
      <vt:lpstr>References</vt:lpstr>
    </vt:vector>
  </TitlesOfParts>
  <Company/>
  <LinksUpToDate>false</LinksUpToDate>
  <CharactersWithSpaces>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Yehudit Aperstein</dc:creator>
  <cp:keywords/>
  <dc:description/>
  <cp:lastModifiedBy>Yehudit Aperstein</cp:lastModifiedBy>
  <cp:revision>5</cp:revision>
  <dcterms:created xsi:type="dcterms:W3CDTF">2026-04-26T14:11:00Z</dcterms:created>
  <dcterms:modified xsi:type="dcterms:W3CDTF">2026-04-26T15:12:00Z</dcterms:modified>
</cp:coreProperties>
</file>