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82f8a503c88a86fef885ebbff7266bf4401a396"/>
    <w:p>
      <w:pPr>
        <w:pStyle w:val="Title"/>
        <w:spacing w:before="0" w:after="160"/>
        <w:jc w:val="center"/>
        <w:keepNext/>
        <w:keepLines/>
        <w:widowControl w:val="1"/>
      </w:pPr>
      <w:r>
        <w:t xml:space="preserve">Modeling Normal Is All You Need: Joint Latent Clustering for Anomaly Detection in Multimodal Cyber-Physical Systems</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rPr>
        <w:t xml:space="preserve"> </w:t>
      </w:r>
      <w:r>
        <w:rPr>
          <w:rFonts w:ascii="Times New Roman" w:hAnsi="Times New Roman"/>
          <w:b w:val="0"/>
          <w:i/>
          <w:sz w:val="20"/>
          <w:vertAlign w:val="superscript"/>
        </w:rPr>
        <w:t xml:space="preserve">1,</w:t>
      </w:r>
      <w:hyperlink w:anchor="correspondence">
        <w:r>
          <w:rPr>
            <w:rStyle w:val="Hyperlink"/>
            <w:vertAlign w:val="superscript"/>
          </w:rPr>
          <w:t xml:space="preserve">*</w:t>
        </w:r>
      </w:hyperlink>
      <w:r>
        <w:rPr>
          <w:rFonts w:ascii="Times New Roman" w:hAnsi="Times New Roman"/>
          <w:b w:val="0"/>
          <w:i/>
          <w:sz w:val="20"/>
        </w:rPr>
        <w:t xml:space="preserve"> </w:t>
      </w:r>
      <w:r>
        <w:rPr>
          <w:rFonts w:ascii="Times New Roman" w:hAnsi="Times New Roman"/>
          <w:b w:val="0"/>
          <w:i/>
          <w:sz w:val="20"/>
        </w:rPr>
        <w:t xml:space="preserve">and Yehudit Aperstein</w:t>
      </w:r>
      <w:r>
        <w:rPr>
          <w:rFonts w:ascii="Times New Roman" w:hAnsi="Times New Roman"/>
          <w:b w:val="0"/>
          <w:i/>
          <w:sz w:val="20"/>
        </w:rPr>
        <w:t xml:space="preserve"> </w:t>
      </w:r>
      <w:r>
        <w:rPr>
          <w:rFonts w:ascii="Times New Roman" w:hAnsi="Times New Roman"/>
          <w:b w:val="0"/>
          <w:i/>
          <w:sz w:val="20"/>
          <w:vertAlign w:val="superscript"/>
        </w:rPr>
        <w:t xml:space="preserve">2</w:t>
      </w:r>
    </w:p>
    <w:p>
      <w:pPr>
        <w:pStyle w:val="BodyText"/>
        <w:jc w:val="both"/>
        <w:keepNext w:val="0"/>
        <w:keepLines w:val="0"/>
        <w:widowControl w:val="1"/>
      </w:pPr>
      <w:r>
        <w:rPr>
          <w:vertAlign w:val="superscript"/>
        </w:rPr>
        <w:t xml:space="preserve">1</w:t>
      </w:r>
      <w:r>
        <w:t xml:space="preserve"> </w:t>
      </w:r>
      <w:r>
        <w:t xml:space="preserve">School of Computer Science, Faculty of Sciences, Holon Institute of Technology (HIT), 52 Golomb St., Holon 5810201, Israel; alexanderap@hit.ac.il</w:t>
      </w:r>
    </w:p>
    <w:p>
      <w:pPr>
        <w:pStyle w:val="BodyText"/>
        <w:jc w:val="both"/>
        <w:keepNext w:val="0"/>
        <w:keepLines w:val="0"/>
        <w:widowControl w:val="1"/>
      </w:pPr>
      <w:r>
        <w:rPr>
          <w:vertAlign w:val="superscript"/>
        </w:rPr>
        <w:t xml:space="preserve">2</w:t>
      </w:r>
      <w:r>
        <w:t xml:space="preserve"> </w:t>
      </w:r>
      <w:r>
        <w:t xml:space="preserve">Intelligent Systems, Afeka Academic College of Engineering, 218 Bnei Efraim St., Tel Aviv 6910717, Israel; apersteiny@afeka.ac.il</w:t>
      </w:r>
    </w:p>
    <w:p>
      <w:pPr>
        <w:pStyle w:val="BodyText"/>
        <w:jc w:val="both"/>
        <w:keepNext w:val="0"/>
        <w:keepLines w:val="0"/>
        <w:widowControl w:val="1"/>
      </w:pPr>
      <w:r>
        <w:rPr>
          <w:vertAlign w:val="superscript"/>
        </w:rPr>
        <w:t xml:space="preserve">*</w:t>
      </w:r>
      <w:r>
        <w:t xml:space="preserve"> </w:t>
      </w:r>
      <w:r>
        <w:t xml:space="preserve">Correspondence: alexanderap@hit.ac.il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Faults on a networked cyber-physical system (CPS), the sensing-and-actuation core of an industrial Internet-of-Things (IoT) deployment, are too rare and unrepresentative to characterise or to select a model on, so detection must instead</w:t>
      </w:r>
      <w:r>
        <w:t xml:space="preserve"> </w:t>
      </w:r>
      <w:r>
        <w:rPr>
          <w:i/>
          <w:iCs/>
        </w:rPr>
        <w:t xml:space="preserve">model normal</w:t>
      </w:r>
      <w:r>
        <w:t xml:space="preserve"> </w:t>
      </w:r>
      <w:r>
        <w:t xml:space="preserve">behaviour; the standard point-adjusted evaluation, however, rewards detectors that never do. CPS normal behaviour is the union of many imbalanced, curved, thin-fringed operating regimes rather than a single blob, a structure we state as ten assumptions (A1–A10) abbreviated</w:t>
      </w:r>
      <w:r>
        <w:t xml:space="preserve"> </w:t>
      </w:r>
      <w:r>
        <w:rPr>
          <w:i/>
          <w:iCs/>
        </w:rPr>
        <w:t xml:space="preserve">Massive, Implicit, Imbalanced Multimodality</w:t>
      </w:r>
      <w:r>
        <w:t xml:space="preserve"> </w:t>
      </w:r>
      <w:r>
        <w:t xml:space="preserve">(MIIM). We model the normal law with a jointly learned latent plus explicit Gaussian-mixture mode clustering, scored in the latent rather than by a global density or a reconstruction residual, and evaluate under a fair protocol: raw point-wise metrics, a trivial-detector difficulty split, prevalence-matched F1, and train-normal-only calibration. On three real CPS datasets (WADI, HAI, SKAB) the detector</w:t>
      </w:r>
      <w:r>
        <w:t xml:space="preserve"> </w:t>
      </w:r>
      <w:r>
        <w:rPr>
          <w:b/>
          <w:bCs/>
        </w:rPr>
        <w:t xml:space="preserve">wins both the combined and the difficult column on all three</w:t>
      </w:r>
      <w:r>
        <w:t xml:space="preserve">, reaching difficult-subset AUROC 0.831 on HAI, 0.726 on WADI and 0.610 on SKAB. The margin is largest on the two multimodal datasets the assumptions target and slimmest on the near-unimodal one, and it holds against three deep detectors (USAD, TranAD, GDN) re-scored with the same raw metrics. The contributions are the MIIM assumption set, the difficulty-stratified protocol, and a latent-only score that drops reconstruction because a flexible decoder rebuilds the hard faults faithfully.</w:t>
      </w:r>
    </w:p>
    <w:bookmarkEnd w:id="9"/>
    <w:p>
      <w:pPr>
        <w:pStyle w:val="Keywords"/>
        <w:jc w:val="both"/>
        <w:keepNext w:val="0"/>
        <w:keepLines w:val="0"/>
        <w:widowControl w:val="1"/>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BodyText"/>
        <w:jc w:val="both"/>
        <w:keepNext w:val="0"/>
        <w:keepLines w:val="0"/>
        <w:widowControl w:val="1"/>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BodyText"/>
        <w:jc w:val="both"/>
        <w:keepNext w:val="0"/>
        <w:keepLines w:val="0"/>
        <w:widowControl w:val="1"/>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BodyText"/>
        <w:jc w:val="both"/>
        <w:keepNext w:val="0"/>
        <w:keepLines w:val="0"/>
        <w:widowControl w:val="1"/>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BodyText"/>
        <w:jc w:val="both"/>
        <w:keepNext w:val="0"/>
        <w:keepLines w:val="0"/>
        <w:widowControl w:val="1"/>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BodyText"/>
        <w:jc w:val="both"/>
        <w:keepNext w:val="0"/>
        <w:keepLines w:val="0"/>
        <w:widowControl w:val="1"/>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bookmarkEnd w:id="10"/>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bookmarkStart w:id="11" w:name="Xd79ac398892bc84acd5a01a98e1c3327df498f0"/>
    <w:p>
      <w:pPr>
        <w:pStyle w:val="Heading3"/>
        <w:keepNext/>
        <w:keepLines/>
        <w:widowControl w:val="1"/>
      </w:pPr>
      <w:r>
        <w:t xml:space="preserve">2.1  The illusion of progress in time-series anomaly-detection evaluation</w:t>
      </w:r>
    </w:p>
    <w:p>
      <w:pPr>
        <w:pStyle w:val="FirstParagraph"/>
        <w:jc w:val="both"/>
        <w:keepNext w:val="0"/>
        <w:keepLines w:val="0"/>
        <w:widowControl w:val="1"/>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BodyText"/>
        <w:jc w:val="both"/>
        <w:keepNext w:val="0"/>
        <w:keepLines w:val="0"/>
        <w:widowControl w:val="1"/>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BodyText"/>
        <w:jc w:val="both"/>
        <w:keepNext w:val="0"/>
        <w:keepLines w:val="0"/>
        <w:widowControl w:val="1"/>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bookmarkEnd w:id="11"/>
    <w:bookmarkStart w:id="12" w:name="X301c8971cc47a3655bb4e21bc8bb65a2caac9d3"/>
    <w:p>
      <w:pPr>
        <w:pStyle w:val="Heading3"/>
        <w:keepNext/>
        <w:keepLines/>
        <w:widowControl w:val="1"/>
      </w:pPr>
      <w:r>
        <w:t xml:space="preserve">2.2  Latent and clustering models for anomaly detection</w:t>
      </w:r>
    </w:p>
    <w:p>
      <w:pPr>
        <w:pStyle w:val="FirstParagraph"/>
        <w:jc w:val="both"/>
        <w:keepNext w:val="0"/>
        <w:keepLines w:val="0"/>
        <w:widowControl w:val="1"/>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bookmarkEnd w:id="12"/>
    <w:bookmarkStart w:id="13" w:name="deep-multivariate-cps-anomaly-detection"/>
    <w:p>
      <w:pPr>
        <w:pStyle w:val="Heading3"/>
        <w:keepNext/>
        <w:keepLines/>
        <w:widowControl w:val="1"/>
      </w:pPr>
      <w:r>
        <w:t xml:space="preserve">2.3  Deep multivariate CPS anomaly detection</w:t>
      </w:r>
    </w:p>
    <w:p>
      <w:pPr>
        <w:pStyle w:val="FirstParagraph"/>
        <w:jc w:val="both"/>
        <w:keepNext w:val="0"/>
        <w:keepLines w:val="0"/>
        <w:widowControl w:val="1"/>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bookmarkEnd w:id="13"/>
    <w:bookmarkStart w:id="14" w:name="benchmark-datasets"/>
    <w:p>
      <w:pPr>
        <w:pStyle w:val="Heading3"/>
        <w:keepNext/>
        <w:keepLines/>
        <w:widowControl w:val="1"/>
      </w:pPr>
      <w:r>
        <w:t xml:space="preserve">2.4  Benchmark datasets</w:t>
      </w:r>
    </w:p>
    <w:p>
      <w:pPr>
        <w:pStyle w:val="FirstParagraph"/>
        <w:jc w:val="both"/>
        <w:keepNext w:val="0"/>
        <w:keepLines w:val="0"/>
        <w:widowControl w:val="1"/>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bookmarkEnd w:id="14"/>
    <w:bookmarkEnd w:id="15"/>
    <w:bookmarkStart w:id="16" w:name="Xfdcce8d466a3f0d09792019706ab8acf076f115"/>
    <w:p>
      <w:pPr>
        <w:pStyle w:val="Heading2"/>
        <w:keepNext/>
        <w:keepLines/>
        <w:widowControl w:val="1"/>
      </w:pPr>
      <w:r>
        <w:t xml:space="preserve">3  The MIIM assumptions about CPS normal data</w:t>
      </w:r>
    </w:p>
    <w:p>
      <w:pPr>
        <w:pStyle w:val="FirstParagraph"/>
        <w:jc w:val="both"/>
        <w:keepNext w:val="0"/>
        <w:keepLines w:val="0"/>
        <w:widowControl w:val="1"/>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TableCaption"/>
        <w:spacing w:before="280" w:after="60" w:line="240" w:lineRule="auto"/>
        <w:jc w:val="center"/>
        <w:keepNext/>
        <w:keepLines/>
        <w:widowControl w:val="1"/>
      </w:pPr>
      <w:r>
        <w:rPr>
          <w:b/>
          <w:i/>
        </w:rPr>
        <w:t>Table 1.</w:t>
      </w:r>
      <w:r>
        <w:rPr>
          <w:b w:val="0"/>
          <w:i/>
        </w:rPr>
        <w:t xml:space="preserve"> </w:t>
      </w:r>
      <w:r>
        <w:rPr>
          <w:b w:val="0"/>
          <w:i/>
        </w:rPr>
        <w:t>The ten CPS normal-data assumptions, their physical origin, and the detector design choice each motivates. A1–A8 shape the instantaneous window; A9–A10 shape the trajectory.</w:t>
      </w:r>
    </w:p>
    <w:tbl>
      <w:tblPr>
        <w:tblStyle w:val="Table"/>
        <w:tblW w:type="pct" w:w="5000"/>
        <w:jc w:val="center"/>
        <w:tblLook w:firstRow="1" w:lastRow="0" w:firstColumn="0" w:lastColumn="0" w:noHBand="0" w:noVBand="0" w:val="0020"/>
        <w:tblCaption w:val="Table 1. The ten CPS normal-data assumptions, their physical origin, and the detector design choice each motivates. A1–A8 shape the instantaneous window; A9–A10 shape the trajecto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Assumption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CPS rationale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Motivates (design choice)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Regime mixture</w:t>
            </w:r>
            <w:r>
              <w:rPr>
                <w:rFonts w:ascii="Times New Roman" w:hAnsi="Times New Roman"/>
                <w:sz w:val="19"/>
              </w:rPr>
              <w:t xml:space="preserve"> </w:t>
            </w:r>
            <w:r>
              <w:rPr>
                <w:rFonts w:ascii="Times New Roman" w:hAnsi="Times New Roman"/>
                <w:sz w:val="19"/>
              </w:rPr>
              <w:t xml:space="preserve">(multimodality)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plant or vehicle cycles through discrete operating regimes (idle, cruise, load steps); normal is their union, not one blob.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Model normal as an explicit mixture, not a global density: the latent GMM prior of VaDE.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Mode explosion</w:t>
            </w:r>
            <w:r>
              <w:rPr>
                <w:rFonts w:ascii="Times New Roman" w:hAnsi="Times New Roman"/>
                <w:sz w:val="19"/>
              </w:rPr>
              <w:t xml:space="preserve"> </w:t>
            </w:r>
            <w:r>
              <w:rPr>
                <w:rFonts w:ascii="Times New Roman" w:hAnsi="Times New Roman"/>
                <w:sz w:val="19"/>
              </w:rPr>
              <w:t xml:space="preserve">(exponential mode growth)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CPS is built from many interacting subsystems; each added element multiplies reachable regimes, so mode count grows with complexity.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 a high number of components</w:t>
            </w:r>
            <w:r>
              <w:rPr>
                <w:rFonts w:ascii="Times New Roman" w:hAnsi="Times New Roman"/>
                <w:sz w:val="19"/>
              </w:rPr>
              <w:t xml:space="preserve"> </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(and a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density head) rather than a handful.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Hard envelopes</w:t>
            </w:r>
            <w:r>
              <w:rPr>
                <w:rFonts w:ascii="Times New Roman" w:hAnsi="Times New Roman"/>
                <w:sz w:val="19"/>
              </w:rPr>
              <w:t xml:space="preserve"> </w:t>
            </w:r>
            <w:r>
              <w:rPr>
                <w:rFonts w:ascii="Times New Roman" w:hAnsi="Times New Roman"/>
                <w:sz w:val="19"/>
              </w:rPr>
              <w:t xml:space="preserve">(bounded modes; thin between-mode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Controllers hold each regime within setpoint/actuator bands; the space between regimes is passed through, rarely dwelt in, leaving thin anomalous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between-mode point must score anomalous even when every channel is in range: the basin-agreement head (v).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Thin fringes</w:t>
            </w:r>
            <w:r>
              <w:rPr>
                <w:rFonts w:ascii="Times New Roman" w:hAnsi="Times New Roman"/>
                <w:sz w:val="19"/>
              </w:rPr>
              <w:t xml:space="preserve"> </w:t>
            </w:r>
            <w:r>
              <w:rPr>
                <w:rFonts w:ascii="Times New Roman" w:hAnsi="Times New Roman"/>
                <w:sz w:val="19"/>
              </w:rPr>
              <w:t xml:space="preserve">(intra-mode sparsity)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a mode the system dwells near a typical operating point and reaches the edges only occasionally; each mode holds legitimate low-density regions near its boundary.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 inside a mode is non-Gaussian → a parametric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mixture density head, not one Gaussian per mode.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Few levers</w:t>
            </w:r>
            <w:r>
              <w:rPr>
                <w:rFonts w:ascii="Times New Roman" w:hAnsi="Times New Roman"/>
                <w:sz w:val="19"/>
              </w:rPr>
              <w:t xml:space="preserve"> </w:t>
            </w:r>
            <w:r>
              <w:rPr>
                <w:rFonts w:ascii="Times New Roman" w:hAnsi="Times New Roman"/>
                <w:sz w:val="19"/>
              </w:rPr>
              <w:t xml:space="preserve">(low intrinsic dimension)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independent control variables are far fewer than the observed channels; the rest follow deterministically or probabilistically.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low-dimensional learned latent (dim 6–16 across datasets) suffices; faults appear as departures within that latent.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Heavy tail</w:t>
            </w:r>
            <w:r>
              <w:rPr>
                <w:rFonts w:ascii="Times New Roman" w:hAnsi="Times New Roman"/>
                <w:sz w:val="19"/>
              </w:rPr>
              <w:t xml:space="preserve"> </w:t>
            </w:r>
            <w:r>
              <w:rPr>
                <w:rFonts w:ascii="Times New Roman" w:hAnsi="Times New Roman"/>
                <w:sz w:val="19"/>
              </w:rPr>
              <w:t xml:space="preserve">(Zipf imbalance)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Machines spend most of the record in a few steady regimes; startup, shutdown and rare manoeuvres occupy little of it, so an infrequent-but-normal point is easily mistaken for a 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 against the</w:t>
            </w:r>
            <w:r>
              <w:rPr>
                <w:rFonts w:ascii="Times New Roman" w:hAnsi="Times New Roman"/>
                <w:sz w:val="19"/>
              </w:rPr>
              <w:t xml:space="preserve"> </w:t>
            </w:r>
            <w:r>
              <w:rPr>
                <w:rFonts w:ascii="Times New Roman" w:hAnsi="Times New Roman"/>
                <w:i/>
                <w:iCs/>
                <w:sz w:val="19"/>
              </w:rPr>
              <w:t xml:space="preserve">nearest</w:t>
            </w:r>
            <w:r>
              <w:rPr>
                <w:rFonts w:ascii="Times New Roman" w:hAnsi="Times New Roman"/>
                <w:sz w:val="19"/>
              </w:rPr>
              <w:t xml:space="preserve"> </w:t>
            </w:r>
            <w:r>
              <w:rPr>
                <w:rFonts w:ascii="Times New Roman" w:hAnsi="Times New Roman"/>
                <w:sz w:val="19"/>
              </w:rPr>
              <w:t xml:space="preserve">component, never the π-weighted mixture, so a rare-but-valid mode is not penalised (iii).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Hidden regimes</w:t>
            </w:r>
            <w:r>
              <w:rPr>
                <w:rFonts w:ascii="Times New Roman" w:hAnsi="Times New Roman"/>
                <w:sz w:val="19"/>
              </w:rPr>
              <w:t xml:space="preserve"> </w:t>
            </w:r>
            <w:r>
              <w:rPr>
                <w:rFonts w:ascii="Times New Roman" w:hAnsi="Times New Roman"/>
                <w:sz w:val="19"/>
              </w:rPr>
              <w:t xml:space="preserve">(latent, implicit modes)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True regimes are an emergent artifact of coupling and are not logged; modes must be discovered approximately from raw streams.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Discover modes jointly with the representation (VaDE), unsupervised; never use mode labels.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Mixed signals</w:t>
            </w:r>
            <w:r>
              <w:rPr>
                <w:rFonts w:ascii="Times New Roman" w:hAnsi="Times New Roman"/>
                <w:sz w:val="19"/>
              </w:rPr>
              <w:t xml:space="preserve"> </w:t>
            </w:r>
            <w:r>
              <w:rPr>
                <w:rFonts w:ascii="Times New Roman" w:hAnsi="Times New Roman"/>
                <w:sz w:val="19"/>
              </w:rPr>
              <w:t xml:space="preserve">(heterogeneous, typed channels)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bus carries sensors, actuators, discrete states and setpoints, each with its own range, resolution and correlated noise.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Per-feature standardisation on train-normal; a whitened (Mahalanobis) residual that respects per-channel scale and cross-channel correlation (iv).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Many clocks</w:t>
            </w:r>
            <w:r>
              <w:rPr>
                <w:rFonts w:ascii="Times New Roman" w:hAnsi="Times New Roman"/>
                <w:sz w:val="19"/>
              </w:rPr>
              <w:t xml:space="preserve"> </w:t>
            </w:r>
            <w:r>
              <w:rPr>
                <w:rFonts w:ascii="Times New Roman" w:hAnsi="Times New Roman"/>
                <w:sz w:val="19"/>
              </w:rPr>
              <w:t xml:space="preserve">(multiscale dynamics)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Physical inertia sets per-channel time constants (thermal slow, electrical fast); only some regime→regime transitions are legal, each with a characteristic dwell.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Fixed-length windows with per-channel statistics as features; motivates (but, empirically, does not require) explicit temporal features.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Path dependence</w:t>
            </w:r>
            <w:r>
              <w:rPr>
                <w:rFonts w:ascii="Times New Roman" w:hAnsi="Times New Roman"/>
                <w:sz w:val="19"/>
              </w:rPr>
              <w:t xml:space="preserve"> </w:t>
            </w:r>
            <w:r>
              <w:rPr>
                <w:rFonts w:ascii="Times New Roman" w:hAnsi="Times New Roman"/>
                <w:sz w:val="19"/>
              </w:rPr>
              <w:t xml:space="preserve">(history-conditioned normality)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 fault is defined relative to operational history: the same instantaneous state can be normal or faulty depending on how the system arrived there.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In principle a trajectory branch; on these snapshot-detectable public benchmarks it is inert (see §7), so the reported model is window-only.</w:t>
            </w:r>
          </w:p>
        </w:tc>
      </w:tr>
    </w:tbl>
    <w:p>
      <w:pPr>
        <w:pStyle w:val="BodyText"/>
        <w:spacing w:before="240"/>
        <w:jc w:val="both"/>
        <w:keepNext w:val="0"/>
        <w:keepLines w:val="0"/>
        <w:widowControl w:val="1"/>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bookmarkEnd w:id="16"/>
    <w:bookmarkStart w:id="24" w:name="method"/>
    <w:p>
      <w:pPr>
        <w:pStyle w:val="Heading2"/>
        <w:keepNext/>
        <w:keepLines/>
        <w:widowControl w:val="1"/>
      </w:pPr>
      <w:r>
        <w:t xml:space="preserve">4  Method</w:t>
      </w:r>
    </w:p>
    <w:p>
      <w:pPr>
        <w:pStyle w:val="FirstParagraph"/>
        <w:jc w:val="both"/>
        <w:keepNext w:val="0"/>
        <w:keepLines w:val="0"/>
        <w:widowControl w:val="1"/>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BodyText"/>
        <w:jc w:val="both"/>
        <w:keepNext w:val="0"/>
        <w:keepLines w:val="0"/>
        <w:widowControl w:val="1"/>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bookmarkStart w:id="17" w:name="Xdfe4fc768c349fce82ac84ed863f0c04923ca8d"/>
    <w:p>
      <w:pPr>
        <w:pStyle w:val="Heading3"/>
        <w:keepNext/>
        <w:keepLines/>
        <w:widowControl w:val="1"/>
      </w:pPr>
      <w:r>
        <w:t xml:space="preserve">4.1  Representation: Variational Deep Embedding (VaDE)</w:t>
      </w:r>
    </w:p>
    <w:p>
      <w:pPr>
        <w:pStyle w:val="FirstParagraph"/>
        <w:jc w:val="both"/>
        <w:keepNext w:val="0"/>
        <w:keepLines w:val="0"/>
        <w:widowControl w:val="1"/>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BodyText"/>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BodyText"/>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FirstParagraph"/>
        <w:jc w:val="both"/>
        <w:keepNext w:val="0"/>
        <w:keepLines w:val="0"/>
        <w:widowControl w:val="1"/>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bookmarkEnd w:id="17"/>
    <w:bookmarkStart w:id="18" w:name="scoring-why-we-drop-reconstruction"/>
    <w:p>
      <w:pPr>
        <w:pStyle w:val="Heading3"/>
        <w:keepNext/>
        <w:keepLines/>
        <w:widowControl w:val="1"/>
      </w:pPr>
      <w:r>
        <w:t xml:space="preserve">4.2  Scoring: why we drop reconstruction</w:t>
      </w:r>
    </w:p>
    <w:p>
      <w:pPr>
        <w:pStyle w:val="FirstParagraph"/>
        <w:jc w:val="both"/>
        <w:keepNext w:val="0"/>
        <w:keepLines w:val="0"/>
        <w:widowControl w:val="1"/>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TableCaption"/>
        <w:spacing w:before="280" w:after="60" w:line="240" w:lineRule="auto"/>
        <w:jc w:val="center"/>
        <w:keepNext/>
        <w:keepLines/>
        <w:widowControl w:val="1"/>
      </w:pPr>
      <w:r>
        <w:rPr>
          <w:b/>
          <w:i/>
        </w:rPr>
        <w:t>Table 2.</w:t>
      </w:r>
      <w:r>
        <w:rPr>
          <w:b w:val="0"/>
          <w:i/>
        </w:rPr>
        <w:t xml:space="preserve"> </w:t>
      </w:r>
      <w:r>
        <w:rPr>
          <w:b w:val="0"/>
          <w:i/>
        </w:rPr>
        <w:t>Difficult-subset AUROC of the two natural score terms. The reconstruction residual is at or below chance on the correlation-break faults, and when summed it drags the joint score down; the latent likelihood carries the signal but a single diagonal Gaussian per mode is coarse.</w:t>
      </w:r>
    </w:p>
    <w:tbl>
      <w:tblPr>
        <w:tblStyle w:val="Table"/>
        <w:tblW w:type="pct" w:w="5000"/>
        <w:jc w:val="center"/>
        <w:tblLook w:firstRow="1" w:lastRow="0" w:firstColumn="0" w:lastColumn="0" w:noHBand="0" w:noVBand="0" w:val="0020"/>
        <w:tblCaption w:val="Table 2. Difficult-subset AUROC of the two natural score terms. The reconstruction residual is at or below chance on the correlation-break faults, and when summed it drags the joint score down; the latent likelihood carries the signal but a single diagonal Gaussian per mode is coar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Score term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WADI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HAI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reconstruction residual</w:t>
            </w:r>
            <w:r>
              <w:rPr>
                <w:rFonts w:ascii="Times New Roman" w:hAnsi="Times New Roman"/>
                <w:sz w:val="19"/>
              </w:rPr>
              <w:t xml:space="preserve"> </w:t>
            </w:r>
            <m:oMath>
              <m:f>
                <m:fPr>
                  <m:type m:val="bar"/>
                </m:fPr>
                <m:num>
                  <m:r>
                    <m:t>1</m:t>
                  </m:r>
                </m:num>
                <m:den>
                  <m:r>
                    <m:t>2</m:t>
                  </m:r>
                </m:den>
              </m:f>
              <m:sSup>
                <m:e>
                  <m:r>
                    <m:t>r</m:t>
                  </m:r>
                </m:e>
                <m:sup>
                  <m:r>
                    <m:rPr>
                      <m:sty m:val="p"/>
                    </m:rPr>
                    <m:t>⊤</m:t>
                  </m:r>
                </m:sup>
              </m:sSup>
              <m:sSup>
                <m:e>
                  <m:r>
                    <m:rPr>
                      <m:sty m:val="p"/>
                    </m:rPr>
                    <m:t>Σ</m:t>
                  </m:r>
                </m:e>
                <m:sup>
                  <m:r>
                    <m:rPr>
                      <m:sty m:val="p"/>
                    </m:rPr>
                    <m:t>−</m:t>
                  </m:r>
                  <m:r>
                    <m:t>1</m:t>
                  </m:r>
                </m:sup>
              </m:sSup>
              <m:r>
                <m:t>r</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latent NLL (nearest diagonal component)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(a)+(b) joint NLL (naive VaDE score)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bl>
    <w:p>
      <w:pPr>
        <w:pStyle w:val="BodyText"/>
        <w:spacing w:before="240"/>
        <w:jc w:val="both"/>
        <w:keepNext w:val="0"/>
        <w:keepLines w:val="0"/>
        <w:widowControl w:val="1"/>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bookmarkEnd w:id="18"/>
    <w:bookmarkStart w:id="23" w:name="the-scoring-stack"/>
    <w:p>
      <w:pPr>
        <w:pStyle w:val="Heading3"/>
        <w:keepNext/>
        <w:keepLines/>
        <w:widowControl w:val="1"/>
      </w:pPr>
      <w:r>
        <w:t xml:space="preserve">4.3  The scoring stack</w:t>
      </w:r>
    </w:p>
    <w:p>
      <w:pPr>
        <w:pStyle w:val="FirstParagraph"/>
        <w:jc w:val="both"/>
        <w:keepNext w:val="0"/>
        <w:keepLines w:val="0"/>
        <w:widowControl w:val="1"/>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bookmarkStart w:id="19" w:name="X2807910815522b43fde41ba8fefa5ee5fc2d499"/>
    <w:p>
      <w:pPr>
        <w:pStyle w:val="Heading4"/>
        <w:keepNext/>
        <w:keepLines/>
        <w:widowControl w:val="1"/>
      </w:pPr>
      <w:r>
        <w:t xml:space="preserve">(i)–(ii) Latent mixture-density head (parametric KDE for non-Gaussian pockets)</w:t>
      </w:r>
    </w:p>
    <w:p>
      <w:pPr>
        <w:pStyle w:val="FirstParagraph"/>
        <w:jc w:val="both"/>
        <w:keepNext w:val="0"/>
        <w:keepLines w:val="0"/>
        <w:widowControl w:val="1"/>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BodyText"/>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bookmarkEnd w:id="19"/>
    <w:bookmarkStart w:id="20" w:name="iii-nearest-component-nll-rare-mode-safe"/>
    <w:p>
      <w:pPr>
        <w:pStyle w:val="Heading4"/>
        <w:keepNext/>
        <w:keepLines/>
        <w:widowControl w:val="1"/>
      </w:pPr>
      <w:r>
        <w:t xml:space="preserve">(iii) Nearest-component NLL (rare-mode-safe)</w:t>
      </w:r>
    </w:p>
    <w:p>
      <w:pPr>
        <w:pStyle w:val="FirstParagraph"/>
        <w:jc w:val="both"/>
        <w:keepNext w:val="0"/>
        <w:keepLines w:val="0"/>
        <w:widowControl w:val="1"/>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BodyText"/>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bookmarkEnd w:id="20"/>
    <w:bookmarkStart w:id="21" w:name="X78505e67f293a39aecd15b9a19e1c36794c124c"/>
    <w:p>
      <w:pPr>
        <w:pStyle w:val="Heading4"/>
        <w:keepNext/>
        <w:keepLines/>
        <w:widowControl w:val="1"/>
      </w:pPr>
      <w:r>
        <w:t xml:space="preserve">(iv) Optional responsibility-weighted whitened residual, auto-gated</w:t>
      </w:r>
    </w:p>
    <w:p>
      <w:pPr>
        <w:pStyle w:val="FirstParagraph"/>
        <w:jc w:val="both"/>
        <w:keepNext w:val="0"/>
        <w:keepLines w:val="0"/>
        <w:widowControl w:val="1"/>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BodyText"/>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FirstParagraph"/>
        <w:jc w:val="both"/>
        <w:keepNext w:val="0"/>
        <w:keepLines w:val="0"/>
        <w:widowControl w:val="1"/>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bookmarkEnd w:id="21"/>
    <w:bookmarkStart w:id="22" w:name="X062bb72765149a4b65822c7a87745a26c5d6484"/>
    <w:p>
      <w:pPr>
        <w:pStyle w:val="Heading4"/>
        <w:keepNext/>
        <w:keepLines/>
        <w:widowControl w:val="1"/>
      </w:pPr>
      <w:r>
        <w:t xml:space="preserve">(v) Optional basin-agreement rescue, auto-scaled</w:t>
      </w:r>
    </w:p>
    <w:p>
      <w:pPr>
        <w:pStyle w:val="FirstParagraph"/>
        <w:jc w:val="both"/>
        <w:keepNext w:val="0"/>
        <w:keepLines w:val="0"/>
        <w:widowControl w:val="1"/>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BodyText"/>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FirstParagraph"/>
        <w:jc w:val="both"/>
        <w:keepNext w:val="0"/>
        <w:keepLines w:val="0"/>
        <w:widowControl w:val="1"/>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BodyText"/>
        <w:jc w:val="both"/>
        <w:keepNext w:val="0"/>
        <w:keepLines w:val="0"/>
        <w:widowControl w:val="1"/>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bookmarkEnd w:id="22"/>
    <w:bookmarkEnd w:id="23"/>
    <w:bookmarkEnd w:id="24"/>
    <w:bookmarkStart w:id="30" w:name="experimental-methodology"/>
    <w:p>
      <w:pPr>
        <w:pStyle w:val="Heading2"/>
        <w:keepNext/>
        <w:keepLines/>
        <w:widowControl w:val="1"/>
      </w:pPr>
      <w:r>
        <w:t xml:space="preserve">5  Experimental methodology</w:t>
      </w:r>
    </w:p>
    <w:bookmarkStart w:id="25" w:name="datasets"/>
    <w:p>
      <w:pPr>
        <w:pStyle w:val="Heading3"/>
        <w:keepNext/>
        <w:keepLines/>
        <w:widowControl w:val="1"/>
      </w:pPr>
      <w:r>
        <w:t xml:space="preserve">5.1  Datasets</w:t>
      </w:r>
    </w:p>
    <w:p>
      <w:pPr>
        <w:pStyle w:val="FirstParagraph"/>
        <w:jc w:val="both"/>
        <w:keepNext w:val="0"/>
        <w:keepLines w:val="0"/>
        <w:widowControl w:val="1"/>
      </w:pPr>
      <w:r>
        <w:t xml:space="preserve">We use three real CPS datasets and no synthetic data in the results tables.</w:t>
      </w:r>
    </w:p>
    <w:p>
      <w:pPr>
        <w:pStyle w:val="Compact"/>
        <w:numPr>
          <w:ilvl w:val="0"/>
          <w:numId w:val="1001"/>
        </w:numPr>
        <w:ind w:left="360" w:hanging="259"/>
        <w:jc w:val="both"/>
        <w:keepNext w:val="0"/>
        <w:keepLines w:val="0"/>
        <w:widowControl w:val="1"/>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numPr>
          <w:ilvl w:val="0"/>
          <w:numId w:val="1001"/>
        </w:numPr>
        <w:ind w:left="360" w:hanging="259"/>
        <w:jc w:val="both"/>
        <w:keepNext w:val="0"/>
        <w:keepLines w:val="0"/>
        <w:widowControl w:val="1"/>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numPr>
          <w:ilvl w:val="0"/>
          <w:numId w:val="1001"/>
        </w:numPr>
        <w:ind w:left="360" w:hanging="259"/>
        <w:jc w:val="both"/>
        <w:keepNext w:val="0"/>
        <w:keepLines w:val="0"/>
        <w:widowControl w:val="1"/>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bookmarkEnd w:id="25"/>
    <w:bookmarkStart w:id="26" w:name="windows-and-features"/>
    <w:p>
      <w:pPr>
        <w:pStyle w:val="Heading3"/>
        <w:keepNext/>
        <w:keepLines/>
        <w:widowControl w:val="1"/>
      </w:pPr>
      <w:r>
        <w:t xml:space="preserve">5.2  Windows and features</w:t>
      </w:r>
    </w:p>
    <w:p>
      <w:pPr>
        <w:pStyle w:val="FirstParagraph"/>
        <w:jc w:val="both"/>
        <w:keepNext w:val="0"/>
        <w:keepLines w:val="0"/>
        <w:widowControl w:val="1"/>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bookmarkEnd w:id="26"/>
    <w:bookmarkStart w:id="27" w:name="difficulty-stratification"/>
    <w:p>
      <w:pPr>
        <w:pStyle w:val="Heading3"/>
        <w:keepNext/>
        <w:keepLines/>
        <w:widowControl w:val="1"/>
      </w:pPr>
      <w:r>
        <w:t xml:space="preserve">5.3  Difficulty stratification</w:t>
      </w:r>
    </w:p>
    <w:p>
      <w:pPr>
        <w:pStyle w:val="FirstParagraph"/>
        <w:jc w:val="both"/>
        <w:keepNext w:val="0"/>
        <w:keepLines w:val="0"/>
        <w:widowControl w:val="1"/>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bookmarkEnd w:id="27"/>
    <w:bookmarkStart w:id="28" w:name="comparable-metrics"/>
    <w:p>
      <w:pPr>
        <w:pStyle w:val="Heading3"/>
        <w:keepNext/>
        <w:keepLines/>
        <w:widowControl w:val="1"/>
      </w:pPr>
      <w:r>
        <w:t xml:space="preserve">5.4  Comparable metrics</w:t>
      </w:r>
    </w:p>
    <w:p>
      <w:pPr>
        <w:pStyle w:val="FirstParagraph"/>
        <w:jc w:val="both"/>
        <w:keepNext w:val="0"/>
        <w:keepLines w:val="0"/>
        <w:widowControl w:val="1"/>
      </w:pPr>
      <w:r>
        <w:t xml:space="preserve">We report three raw, point-wise metrics and are explicit about their comparability across subsets.</w:t>
      </w:r>
    </w:p>
    <w:p>
      <w:pPr>
        <w:pStyle w:val="Compact"/>
        <w:numPr>
          <w:ilvl w:val="0"/>
          <w:numId w:val="1002"/>
        </w:numPr>
        <w:ind w:left="360" w:hanging="259"/>
        <w:jc w:val="both"/>
        <w:keepNext w:val="0"/>
        <w:keepLines w:val="0"/>
        <w:widowControl w:val="1"/>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numPr>
          <w:ilvl w:val="0"/>
          <w:numId w:val="1002"/>
        </w:numPr>
        <w:ind w:left="360" w:hanging="259"/>
        <w:jc w:val="both"/>
        <w:keepNext w:val="0"/>
        <w:keepLines w:val="0"/>
        <w:widowControl w:val="1"/>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numPr>
          <w:ilvl w:val="0"/>
          <w:numId w:val="1002"/>
        </w:numPr>
        <w:ind w:left="360" w:hanging="259"/>
        <w:jc w:val="both"/>
        <w:keepNext w:val="0"/>
        <w:keepLines w:val="0"/>
        <w:widowControl w:val="1"/>
      </w:pPr>
      <w:r>
        <w:rPr>
          <w:b/>
          <w:bCs/>
        </w:rPr>
        <w:t xml:space="preserve">FPR</w:t>
      </w:r>
      <w:r>
        <w:t xml:space="preserve"> </w:t>
      </w:r>
      <w:r>
        <w:t xml:space="preserve">is reported at a fixed operating point. It shares the oracle-threshold caveat.</w:t>
      </w:r>
    </w:p>
    <w:p>
      <w:pPr>
        <w:pStyle w:val="FirstParagraph"/>
        <w:jc w:val="both"/>
        <w:keepNext w:val="0"/>
        <w:keepLines w:val="0"/>
        <w:widowControl w:val="1"/>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bookmarkEnd w:id="28"/>
    <w:bookmarkStart w:id="29" w:name="baselines-and-sota-re-computation"/>
    <w:p>
      <w:pPr>
        <w:pStyle w:val="Heading3"/>
        <w:keepNext/>
        <w:keepLines/>
        <w:widowControl w:val="1"/>
      </w:pPr>
      <w:r>
        <w:t xml:space="preserve">5.5  Baselines and SOTA re-computation</w:t>
      </w:r>
    </w:p>
    <w:p>
      <w:pPr>
        <w:pStyle w:val="FirstParagraph"/>
        <w:jc w:val="both"/>
        <w:keepNext w:val="0"/>
        <w:keepLines w:val="0"/>
        <w:widowControl w:val="1"/>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bookmarkEnd w:id="29"/>
    <w:bookmarkEnd w:id="30"/>
    <w:bookmarkStart w:id="34" w:name="results"/>
    <w:p>
      <w:pPr>
        <w:pStyle w:val="Heading2"/>
        <w:keepNext/>
        <w:keepLines/>
        <w:widowControl w:val="1"/>
      </w:pPr>
      <w:r>
        <w:t xml:space="preserve">6  Results</w:t>
      </w:r>
    </w:p>
    <w:p>
      <w:pPr>
        <w:pStyle w:val="FirstParagraph"/>
        <w:jc w:val="both"/>
        <w:keepNext w:val="0"/>
        <w:keepLines w:val="0"/>
        <w:widowControl w:val="1"/>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TableCaption"/>
        <w:spacing w:before="280" w:after="60" w:line="240" w:lineRule="auto"/>
        <w:jc w:val="center"/>
        <w:keepNext/>
        <w:keepLines/>
        <w:widowControl w:val="1"/>
      </w:pPr>
      <w:r>
        <w:rPr>
          <w:b/>
          <w:i/>
        </w:rPr>
        <w:t>Table 3.</w:t>
      </w:r>
      <w:r>
        <w:rPr>
          <w:b w:val="0"/>
          <w:i/>
        </w:rPr>
        <w:t xml:space="preserve"> </w:t>
      </w:r>
      <w:r>
        <w:rPr>
          <w:b w:val="0"/>
          <w:i/>
        </w:rPr>
        <w:t>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w:t>
      </w:r>
    </w:p>
    <w:tbl>
      <w:tblPr>
        <w:tblStyle w:val="Table"/>
        <w:tblW w:type="pct" w:w="5000"/>
        <w:jc w:val="center"/>
        <w:tblLook w:firstRow="1" w:lastRow="0" w:firstColumn="0" w:lastColumn="0" w:noHBand="0" w:noVBand="0" w:val="0020"/>
        <w:tblCaption w:val="Table 3. 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20"/>
        <w:gridCol w:w="720"/>
        <w:gridCol w:w="720"/>
        <w:gridCol w:w="720"/>
        <w:gridCol w:w="720"/>
        <w:gridCol w:w="720"/>
        <w:gridCol w:w="720"/>
        <w:gridCol w:w="720"/>
        <w:gridCol w:w="720"/>
        <w:gridCol w:w="720"/>
        <w:gridCol w:w="720"/>
      </w:tblGrid>
      <w:tr>
        <w:trPr>
          <w:tblHeader w:val="on"/>
        </w:trPr>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Method</w:t>
            </w:r>
          </w:p>
        </w:tc>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Group</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All</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Easy</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Difficult</w:t>
            </w:r>
          </w:p>
        </w:tc>
      </w:tr>
      <w:tr>
        <w:trPr>
          <w:tblHeader w:val="on"/>
        </w:trPr>
        <w:tc>
          <w:tcPr>
            <w:gridSpan w:val="1"/>
            <w:vMerge w:val="continue"/>
          </w:tcPr>
          <w:p>
            <w:pPr/>
          </w:p>
        </w:tc>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WADI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575; normal 519; anom 56 = 37 easy + 19 difficult; matched normals: all 519 / easy 343 / difficult 176)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HAI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14819; normal 14167; anom 652 = 485 easy + 167 difficult; matched normals: all 14167 / easy 10538 / difficult 3629; GDN not run on HAI)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SKAB</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631; normal 377; anom 254 = 69 easy + 185 difficult; matched normals: all 377 / easy 102 / difficult 275; GDN not run on 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r>
    </w:tbl>
    <w:p>
      <w:pPr>
        <w:pStyle w:val="BodyText"/>
        <w:spacing w:before="240"/>
        <w:jc w:val="both"/>
        <w:keepNext w:val="0"/>
        <w:keepLines w:val="0"/>
        <w:widowControl w:val="1"/>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BodyText"/>
        <w:jc w:val="both"/>
        <w:keepNext w:val="0"/>
        <w:keepLines w:val="0"/>
        <w:widowControl w:val="1"/>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BodyText"/>
        <w:jc w:val="both"/>
        <w:keepNext w:val="0"/>
        <w:keepLines w:val="0"/>
        <w:widowControl w:val="1"/>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BodyText"/>
        <w:jc w:val="both"/>
        <w:keepNext w:val="0"/>
        <w:keepLines w:val="0"/>
        <w:widowControl w:val="1"/>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BodyText"/>
        <w:jc w:val="both"/>
        <w:keepNext w:val="0"/>
        <w:keepLines w:val="0"/>
        <w:widowControl w:val="1"/>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w:pPr>
        <w:pStyle w:val="BodyText"/>
        <w:jc w:val="center"/>
        <w:keepNext/>
        <w:keepLines/>
        <w:widowControl w:val="1"/>
      </w:pPr>
      <w:r>
        <w:drawing>
          <wp:inline>
            <wp:extent cx="5943600" cy="2476500"/>
            <wp:effectExtent b="0" l="0" r="0" t="0"/>
            <wp:docPr descr="fig" title="" id="32" name="Picture"/>
            <a:graphic>
              <a:graphicData uri="http://schemas.openxmlformats.org/drawingml/2006/picture">
                <pic:pic>
                  <pic:nvPicPr>
                    <pic:cNvPr descr="figure1.png" id="33" name="Picture"/>
                    <pic:cNvPicPr>
                      <a:picLocks noChangeArrowheads="1" noChangeAspect="1"/>
                    </pic:cNvPicPr>
                  </pic:nvPicPr>
                  <pic:blipFill>
                    <a:blip r:embed="rId31"/>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Difficult-subset AUROC by method. Our detector wins the difficult column on all three datasets: WADI 0.726 and HAI 0.831 by wide margins, SKAB 0.610 narrowly (vs USAD 0.591). All three deep SOTA methods (USAD, TranAD, and, on WADI, GDN) sit well below. The margin is largest on HAI and WADI, the two multimodal datasets the MIIM assumptions target; SKAB, the near-unimodal set, is the tightest. GDN was run on WADI only.</w:t>
      </w:r>
    </w:p>
    <w:bookmarkEnd w:id="34"/>
    <w:bookmarkStart w:id="35" w:name="discussion"/>
    <w:p>
      <w:pPr>
        <w:pStyle w:val="Heading2"/>
        <w:keepNext/>
        <w:keepLines/>
        <w:widowControl w:val="1"/>
      </w:pPr>
      <w:r>
        <w:t xml:space="preserve">7  Discussion</w:t>
      </w:r>
    </w:p>
    <w:p>
      <w:pPr>
        <w:pStyle w:val="FirstParagraph"/>
        <w:jc w:val="both"/>
        <w:keepNext w:val="0"/>
        <w:keepLines w:val="0"/>
        <w:widowControl w:val="1"/>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BodyText"/>
        <w:jc w:val="both"/>
        <w:keepNext w:val="0"/>
        <w:keepLines w:val="0"/>
        <w:widowControl w:val="1"/>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BodyText"/>
        <w:jc w:val="both"/>
        <w:keepNext w:val="0"/>
        <w:keepLines w:val="0"/>
        <w:widowControl w:val="1"/>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BodyText"/>
        <w:jc w:val="both"/>
        <w:keepNext w:val="0"/>
        <w:keepLines w:val="0"/>
        <w:widowControl w:val="1"/>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BodyText"/>
        <w:jc w:val="both"/>
        <w:keepNext w:val="0"/>
        <w:keepLines w:val="0"/>
        <w:widowControl w:val="1"/>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BodyText"/>
        <w:jc w:val="both"/>
        <w:keepNext w:val="0"/>
        <w:keepLines w:val="0"/>
        <w:widowControl w:val="1"/>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BodyText"/>
        <w:jc w:val="both"/>
        <w:keepNext w:val="0"/>
        <w:keepLines w:val="0"/>
        <w:widowControl w:val="1"/>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bookmarkEnd w:id="35"/>
    <w:bookmarkStart w:id="36" w:name="conclusion"/>
    <w:p>
      <w:pPr>
        <w:pStyle w:val="Heading2"/>
        <w:keepNext/>
        <w:keepLines/>
        <w:widowControl w:val="1"/>
      </w:pPr>
      <w:r>
        <w:t xml:space="preserve">8  Conclusion</w:t>
      </w:r>
    </w:p>
    <w:p>
      <w:pPr>
        <w:pStyle w:val="FirstParagraph"/>
        <w:jc w:val="both"/>
        <w:keepNext w:val="0"/>
        <w:keepLines w:val="0"/>
        <w:widowControl w:val="1"/>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BodyText"/>
        <w:jc w:val="both"/>
        <w:keepNext w:val="0"/>
        <w:keepLines w:val="0"/>
        <w:widowControl w:val="1"/>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BodyText"/>
        <w:jc w:val="both"/>
        <w:keepNext w:val="0"/>
        <w:keepLines w:val="0"/>
        <w:widowControl w:val="1"/>
      </w:pPr>
      <w:r>
        <w:rPr>
          <w:b/>
          <w:bCs/>
        </w:rPr>
        <w:t xml:space="preserve">Funding:</w:t>
      </w:r>
      <w:r>
        <w:t xml:space="preserve"> </w:t>
      </w:r>
      <w:r>
        <w:t xml:space="preserve">This research received no external funding.</w:t>
      </w:r>
    </w:p>
    <w:p>
      <w:pPr>
        <w:pStyle w:val="BodyText"/>
        <w:jc w:val="both"/>
        <w:keepNext w:val="0"/>
        <w:keepLines w:val="0"/>
        <w:widowControl w:val="1"/>
      </w:pPr>
      <w:r>
        <w:rPr>
          <w:b/>
          <w:bCs/>
        </w:rPr>
        <w:t xml:space="preserve">Institutional Review Board Statement:</w:t>
      </w:r>
      <w:r>
        <w:t xml:space="preserve"> </w:t>
      </w:r>
      <w:r>
        <w:t xml:space="preserve">Not applicable.</w:t>
      </w:r>
    </w:p>
    <w:p>
      <w:pPr>
        <w:pStyle w:val="BodyText"/>
        <w:jc w:val="both"/>
        <w:keepNext w:val="0"/>
        <w:keepLines w:val="0"/>
        <w:widowControl w:val="1"/>
      </w:pPr>
      <w:r>
        <w:rPr>
          <w:b/>
          <w:bCs/>
        </w:rPr>
        <w:t xml:space="preserve">Informed Consent Statement:</w:t>
      </w:r>
      <w:r>
        <w:t xml:space="preserve"> </w:t>
      </w:r>
      <w:r>
        <w:t xml:space="preserve">Not applicable.</w:t>
      </w:r>
    </w:p>
    <w:p>
      <w:pPr>
        <w:pStyle w:val="BodyText"/>
        <w:jc w:val="both"/>
        <w:keepNext w:val="0"/>
        <w:keepLines w:val="0"/>
        <w:widowControl w:val="1"/>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source code supporting the reported results is available from the corresponding author on reasonable request.</w:t>
      </w:r>
    </w:p>
    <w:p>
      <w:pPr>
        <w:pStyle w:val="BodyText"/>
        <w:jc w:val="both"/>
        <w:keepNext w:val="0"/>
        <w:keepLines w:val="0"/>
        <w:widowControl w:val="1"/>
      </w:pPr>
      <w:r>
        <w:rPr>
          <w:b/>
          <w:bCs/>
        </w:rPr>
        <w:t xml:space="preserve">Conflicts of Interest:</w:t>
      </w:r>
      <w:r>
        <w:t xml:space="preserve"> </w:t>
      </w:r>
      <w:r>
        <w:t xml:space="preserve">The authors declare no conflicts of interest.</w:t>
      </w:r>
    </w:p>
    <w:p>
      <w:r>
        <w:pict>
          <v:rect style="width:0;height:1.5pt" o:hralign="center" o:hrstd="t" o:hr="t"/>
        </w:pict>
      </w:r>
    </w:p>
    <w:bookmarkEnd w:id="36"/>
    <w:bookmarkStart w:id="8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37">
        <w:r>
          <w:rPr>
            <w:rStyle w:val="Hyperlink"/>
          </w:rPr>
          <w:t xml:space="preserve">https://doi.org/10.1609/aaai.v36i7.20680</w:t>
        </w:r>
      </w:hyperlink>
      <w:r>
        <w:t xml:space="preserve">.</w:t>
      </w:r>
      <w:bookmarkEnd w:id="38"/>
    </w:p>
    <w:p>
      <w:pPr>
        <w:pStyle w:val="ReferenceEntry"/>
        <w:spacing w:after="100"/>
        <w:ind w:left="475" w:hanging="475"/>
        <w:jc w:val="left"/>
        <w:keepNext w:val="0"/>
        <w:keepLines w:val="0"/>
        <w:widowControl w:val="1"/>
      </w:pPr>
      <w:r>
        <w:rPr>
          <w:rFonts w:ascii="Times New Roman" w:hAnsi="Times New Roman"/>
          <w:sz w:val="20"/>
        </w:rPr>
        <w:t xml:space="preserve">2. </w:t>
      </w: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39">
        <w:r>
          <w:rPr>
            <w:rStyle w:val="Hyperlink"/>
          </w:rPr>
          <w:t xml:space="preserve">https://doi.org/10.1109/TNNLS.2021.3105827</w:t>
        </w:r>
      </w:hyperlink>
      <w:r>
        <w:t xml:space="preserve">.</w:t>
      </w:r>
      <w:bookmarkEnd w:id="40"/>
    </w:p>
    <w:p>
      <w:pPr>
        <w:pStyle w:val="ReferenceEntry"/>
        <w:spacing w:after="100"/>
        <w:ind w:left="475" w:hanging="475"/>
        <w:jc w:val="left"/>
        <w:keepNext w:val="0"/>
        <w:keepLines w:val="0"/>
        <w:widowControl w:val="1"/>
      </w:pPr>
      <w:r>
        <w:rPr>
          <w:rFonts w:ascii="Times New Roman" w:hAnsi="Times New Roman"/>
          <w:sz w:val="20"/>
        </w:rPr>
        <w:t xml:space="preserve">3. </w:t>
      </w: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41">
        <w:r>
          <w:rPr>
            <w:rStyle w:val="Hyperlink"/>
          </w:rPr>
          <w:t xml:space="preserve">https://doi.org/10.1109/TKDE.2021.3112126</w:t>
        </w:r>
      </w:hyperlink>
      <w:r>
        <w:t xml:space="preserve">.</w:t>
      </w:r>
      <w:bookmarkEnd w:id="42"/>
    </w:p>
    <w:p>
      <w:pPr>
        <w:pStyle w:val="ReferenceEntry"/>
        <w:spacing w:after="100"/>
        <w:ind w:left="475" w:hanging="475"/>
        <w:jc w:val="left"/>
        <w:keepNext w:val="0"/>
        <w:keepLines w:val="0"/>
        <w:widowControl w:val="1"/>
      </w:pPr>
      <w:r>
        <w:rPr>
          <w:rFonts w:ascii="Times New Roman" w:hAnsi="Times New Roman"/>
          <w:sz w:val="20"/>
        </w:rPr>
        <w:t xml:space="preserve">4. </w:t>
      </w: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43">
        <w:r>
          <w:rPr>
            <w:rStyle w:val="Hyperlink"/>
          </w:rPr>
          <w:t xml:space="preserve">arXiv:2203.05167</w:t>
        </w:r>
      </w:hyperlink>
      <w:r>
        <w:t xml:space="preserve">.</w:t>
      </w:r>
      <w:bookmarkEnd w:id="44"/>
    </w:p>
    <w:p>
      <w:pPr>
        <w:pStyle w:val="ReferenceEntry"/>
        <w:spacing w:after="100"/>
        <w:ind w:left="475" w:hanging="475"/>
        <w:jc w:val="left"/>
        <w:keepNext w:val="0"/>
        <w:keepLines w:val="0"/>
        <w:widowControl w:val="1"/>
      </w:pPr>
      <w:r>
        <w:rPr>
          <w:rFonts w:ascii="Times New Roman" w:hAnsi="Times New Roman"/>
          <w:sz w:val="20"/>
        </w:rPr>
        <w:t xml:space="preserve">5. </w:t>
      </w: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45">
        <w:r>
          <w:rPr>
            <w:rStyle w:val="Hyperlink"/>
          </w:rPr>
          <w:t xml:space="preserve">https://arxiv.org/abs/2606.02670</w:t>
        </w:r>
      </w:hyperlink>
      <w:r>
        <w:t xml:space="preserve">.</w:t>
      </w:r>
      <w:bookmarkEnd w:id="46"/>
    </w:p>
    <w:p>
      <w:pPr>
        <w:pStyle w:val="ReferenceEntry"/>
        <w:spacing w:after="100"/>
        <w:ind w:left="475" w:hanging="475"/>
        <w:jc w:val="left"/>
        <w:keepNext w:val="0"/>
        <w:keepLines w:val="0"/>
        <w:widowControl w:val="1"/>
      </w:pPr>
      <w:r>
        <w:rPr>
          <w:rFonts w:ascii="Times New Roman" w:hAnsi="Times New Roman"/>
          <w:sz w:val="20"/>
        </w:rPr>
        <w:t xml:space="preserve">6. </w:t>
      </w: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47">
        <w:r>
          <w:rPr>
            <w:rStyle w:val="Hyperlink"/>
          </w:rPr>
          <w:t xml:space="preserve">https://doi.org/10.1145/3394486.3403392</w:t>
        </w:r>
      </w:hyperlink>
      <w:r>
        <w:t xml:space="preserve">.</w:t>
      </w:r>
      <w:bookmarkEnd w:id="48"/>
    </w:p>
    <w:p>
      <w:pPr>
        <w:pStyle w:val="ReferenceEntry"/>
        <w:spacing w:after="100"/>
        <w:ind w:left="475" w:hanging="475"/>
        <w:jc w:val="left"/>
        <w:keepNext w:val="0"/>
        <w:keepLines w:val="0"/>
        <w:widowControl w:val="1"/>
      </w:pPr>
      <w:r>
        <w:rPr>
          <w:rFonts w:ascii="Times New Roman" w:hAnsi="Times New Roman"/>
          <w:sz w:val="20"/>
        </w:rPr>
        <w:t xml:space="preserve">7. </w:t>
      </w: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49">
        <w:r>
          <w:rPr>
            <w:rStyle w:val="Hyperlink"/>
          </w:rPr>
          <w:t xml:space="preserve">https://doi.org/10.14778/3514061.3514067</w:t>
        </w:r>
      </w:hyperlink>
      <w:r>
        <w:t xml:space="preserve">.</w:t>
      </w:r>
      <w:bookmarkEnd w:id="50"/>
    </w:p>
    <w:p>
      <w:pPr>
        <w:pStyle w:val="ReferenceEntry"/>
        <w:spacing w:after="100"/>
        <w:ind w:left="475" w:hanging="475"/>
        <w:jc w:val="left"/>
        <w:keepNext w:val="0"/>
        <w:keepLines w:val="0"/>
        <w:widowControl w:val="1"/>
      </w:pPr>
      <w:r>
        <w:rPr>
          <w:rFonts w:ascii="Times New Roman" w:hAnsi="Times New Roman"/>
          <w:sz w:val="20"/>
        </w:rPr>
        <w:t xml:space="preserve">8. </w:t>
      </w: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51">
        <w:r>
          <w:rPr>
            <w:rStyle w:val="Hyperlink"/>
          </w:rPr>
          <w:t xml:space="preserve">https://doi.org/10.24963/ijcai.2017/273</w:t>
        </w:r>
      </w:hyperlink>
      <w:r>
        <w:t xml:space="preserve">.</w:t>
      </w:r>
      <w:bookmarkEnd w:id="52"/>
    </w:p>
    <w:p>
      <w:pPr>
        <w:pStyle w:val="ReferenceEntry"/>
        <w:spacing w:after="100"/>
        <w:ind w:left="475" w:hanging="475"/>
        <w:jc w:val="left"/>
        <w:keepNext w:val="0"/>
        <w:keepLines w:val="0"/>
        <w:widowControl w:val="1"/>
      </w:pPr>
      <w:r>
        <w:rPr>
          <w:rFonts w:ascii="Times New Roman" w:hAnsi="Times New Roman"/>
          <w:sz w:val="20"/>
        </w:rPr>
        <w:t xml:space="preserve">9. </w:t>
      </w: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53">
        <w:r>
          <w:rPr>
            <w:rStyle w:val="Hyperlink"/>
          </w:rPr>
          <w:t xml:space="preserve">https://openreview.net/forum?id=BJJLHbb0-</w:t>
        </w:r>
      </w:hyperlink>
      <w:r>
        <w:t xml:space="preserve">.</w:t>
      </w:r>
      <w:bookmarkEnd w:id="54"/>
    </w:p>
    <w:p>
      <w:pPr>
        <w:pStyle w:val="ReferenceEntry"/>
        <w:spacing w:after="100"/>
        <w:ind w:left="475" w:hanging="475"/>
        <w:jc w:val="left"/>
        <w:keepNext w:val="0"/>
        <w:keepLines w:val="0"/>
        <w:widowControl w:val="1"/>
      </w:pPr>
      <w:r>
        <w:rPr>
          <w:rFonts w:ascii="Times New Roman" w:hAnsi="Times New Roman"/>
          <w:sz w:val="20"/>
        </w:rPr>
        <w:t xml:space="preserve">10. </w:t>
      </w: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55">
        <w:r>
          <w:rPr>
            <w:rStyle w:val="Hyperlink"/>
          </w:rPr>
          <w:t xml:space="preserve">https://doi.org/10.1609/aaai.v35i5.16523</w:t>
        </w:r>
      </w:hyperlink>
      <w:r>
        <w:t xml:space="preserve">.</w:t>
      </w:r>
      <w:bookmarkEnd w:id="56"/>
    </w:p>
    <w:p>
      <w:pPr>
        <w:pStyle w:val="ReferenceEntry"/>
        <w:spacing w:after="100"/>
        <w:ind w:left="475" w:hanging="475"/>
        <w:jc w:val="left"/>
        <w:keepNext w:val="0"/>
        <w:keepLines w:val="0"/>
        <w:widowControl w:val="1"/>
      </w:pPr>
      <w:r>
        <w:rPr>
          <w:rFonts w:ascii="Times New Roman" w:hAnsi="Times New Roman"/>
          <w:sz w:val="20"/>
        </w:rPr>
        <w:t xml:space="preserve">11. </w:t>
      </w:r>
      <w:bookmarkStart w:id="58" w:name="r-if"/>
      <w:r>
        <w:t xml:space="preserve">Liu, F.T.; Ting, K.M.; Zhou, Z.-H. Isolation forest. In Proceedings of the 2008 Eighth IEEE International Conference on Data Mining (ICDM), Pisa, Italy, 15–19 December 2008; pp. 413–422.</w:t>
      </w:r>
      <w:r>
        <w:t xml:space="preserve"> </w:t>
      </w:r>
      <w:hyperlink r:id="rId57">
        <w:r>
          <w:rPr>
            <w:rStyle w:val="Hyperlink"/>
          </w:rPr>
          <w:t xml:space="preserve">https://doi.org/10.1109/ICDM.2008.17</w:t>
        </w:r>
      </w:hyperlink>
      <w:r>
        <w:t xml:space="preserve">.</w:t>
      </w:r>
      <w:bookmarkEnd w:id="58"/>
    </w:p>
    <w:p>
      <w:pPr>
        <w:pStyle w:val="ReferenceEntry"/>
        <w:spacing w:after="100"/>
        <w:ind w:left="475" w:hanging="475"/>
        <w:jc w:val="left"/>
        <w:keepNext w:val="0"/>
        <w:keepLines w:val="0"/>
        <w:widowControl w:val="1"/>
      </w:pPr>
      <w:r>
        <w:rPr>
          <w:rFonts w:ascii="Times New Roman" w:hAnsi="Times New Roman"/>
          <w:sz w:val="20"/>
        </w:rPr>
        <w:t xml:space="preserve">12. </w:t>
      </w: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59">
        <w:r>
          <w:rPr>
            <w:rStyle w:val="Hyperlink"/>
          </w:rPr>
          <w:t xml:space="preserve">https://doi.org/10.1016/S0047-259X(03)00096-4</w:t>
        </w:r>
      </w:hyperlink>
      <w:r>
        <w:t xml:space="preserve">.</w:t>
      </w:r>
      <w:bookmarkEnd w:id="60"/>
    </w:p>
    <w:p>
      <w:pPr>
        <w:pStyle w:val="ReferenceEntry"/>
        <w:spacing w:after="100"/>
        <w:ind w:left="475" w:hanging="475"/>
        <w:jc w:val="left"/>
        <w:keepNext w:val="0"/>
        <w:keepLines w:val="0"/>
        <w:widowControl w:val="1"/>
      </w:pPr>
      <w:r>
        <w:rPr>
          <w:rFonts w:ascii="Times New Roman" w:hAnsi="Times New Roman"/>
          <w:sz w:val="20"/>
        </w:rPr>
        <w:t xml:space="preserve">13. </w:t>
      </w: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61">
        <w:r>
          <w:rPr>
            <w:rStyle w:val="Hyperlink"/>
          </w:rPr>
          <w:t xml:space="preserve">https://doi.org/10.1145/3055366.3055375</w:t>
        </w:r>
      </w:hyperlink>
      <w:r>
        <w:t xml:space="preserve">.</w:t>
      </w:r>
      <w:bookmarkEnd w:id="62"/>
    </w:p>
    <w:p>
      <w:pPr>
        <w:pStyle w:val="ReferenceEntry"/>
        <w:spacing w:after="100"/>
        <w:ind w:left="475" w:hanging="475"/>
        <w:jc w:val="left"/>
        <w:keepNext w:val="0"/>
        <w:keepLines w:val="0"/>
        <w:widowControl w:val="1"/>
      </w:pPr>
      <w:r>
        <w:rPr>
          <w:rFonts w:ascii="Times New Roman" w:hAnsi="Times New Roman"/>
          <w:sz w:val="20"/>
        </w:rPr>
        <w:t xml:space="preserve">14. </w:t>
      </w: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63">
        <w:r>
          <w:rPr>
            <w:rStyle w:val="Hyperlink"/>
          </w:rPr>
          <w:t xml:space="preserve">https://www.usenix.org/conference/cset20/presentation/shin</w:t>
        </w:r>
      </w:hyperlink>
      <w:r>
        <w:t xml:space="preserve">.</w:t>
      </w:r>
      <w:bookmarkEnd w:id="64"/>
    </w:p>
    <w:p>
      <w:pPr>
        <w:pStyle w:val="ReferenceEntry"/>
        <w:spacing w:after="100"/>
        <w:ind w:left="475" w:hanging="475"/>
        <w:jc w:val="left"/>
        <w:keepNext w:val="0"/>
        <w:keepLines w:val="0"/>
        <w:widowControl w:val="1"/>
      </w:pPr>
      <w:r>
        <w:rPr>
          <w:rFonts w:ascii="Times New Roman" w:hAnsi="Times New Roman"/>
          <w:sz w:val="20"/>
        </w:rPr>
        <w:t xml:space="preserve">15. </w:t>
      </w:r>
      <w:bookmarkStart w:id="66" w:name="r-skab"/>
      <w:r>
        <w:t xml:space="preserve">Katser, I.D.; Kozitsin, V.O.</w:t>
      </w:r>
      <w:r>
        <w:t xml:space="preserve"> </w:t>
      </w:r>
      <w:r>
        <w:rPr>
          <w:i/>
          <w:iCs/>
        </w:rPr>
        <w:t xml:space="preserve">Skoltech Anomaly Benchmark (SKAB)</w:t>
      </w:r>
      <w:r>
        <w:t xml:space="preserve">; Kaggle: 2020.</w:t>
      </w:r>
      <w:r>
        <w:t xml:space="preserve"> </w:t>
      </w:r>
      <w:hyperlink r:id="rId65">
        <w:r>
          <w:rPr>
            <w:rStyle w:val="Hyperlink"/>
          </w:rPr>
          <w:t xml:space="preserve">https://doi.org/10.34740/kaggle/dsv/1693952</w:t>
        </w:r>
      </w:hyperlink>
      <w:r>
        <w:t xml:space="preserve">.</w:t>
      </w:r>
      <w:bookmarkEnd w:id="66"/>
    </w:p>
    <w:p>
      <w:pPr>
        <w:pStyle w:val="ReferenceEntry"/>
        <w:spacing w:after="100"/>
        <w:ind w:left="475" w:hanging="475"/>
        <w:jc w:val="left"/>
        <w:keepNext w:val="0"/>
        <w:keepLines w:val="0"/>
        <w:widowControl w:val="1"/>
      </w:pPr>
      <w:r>
        <w:rPr>
          <w:rFonts w:ascii="Times New Roman" w:hAnsi="Times New Roman"/>
          <w:sz w:val="20"/>
        </w:rPr>
        <w:t xml:space="preserve">16. </w:t>
      </w: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67">
        <w:r>
          <w:rPr>
            <w:rStyle w:val="Hyperlink"/>
          </w:rPr>
          <w:t xml:space="preserve">https://arxiv.org/abs/2501.13864</w:t>
        </w:r>
      </w:hyperlink>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17. </w:t>
      </w: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69">
        <w:r>
          <w:rPr>
            <w:rStyle w:val="Hyperlink"/>
          </w:rPr>
          <w:t xml:space="preserve">arXiv:1904.02639</w:t>
        </w:r>
      </w:hyperlink>
      <w:r>
        <w:t xml:space="preserve">.</w:t>
      </w:r>
      <w:bookmarkEnd w:id="70"/>
    </w:p>
    <w:p>
      <w:pPr>
        <w:pStyle w:val="ReferenceEntry"/>
        <w:spacing w:after="100"/>
        <w:ind w:left="475" w:hanging="475"/>
        <w:jc w:val="left"/>
        <w:keepNext w:val="0"/>
        <w:keepLines w:val="0"/>
        <w:widowControl w:val="1"/>
      </w:pPr>
      <w:r>
        <w:rPr>
          <w:rFonts w:ascii="Times New Roman" w:hAnsi="Times New Roman"/>
          <w:sz w:val="20"/>
        </w:rPr>
        <w:t xml:space="preserve">18. </w:t>
      </w: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71">
        <w:r>
          <w:rPr>
            <w:rStyle w:val="Hyperlink"/>
          </w:rPr>
          <w:t xml:space="preserve">arXiv:2405.02678</w:t>
        </w:r>
      </w:hyperlink>
      <w:r>
        <w:t xml:space="preserve">.</w:t>
      </w:r>
      <w:bookmarkEnd w:id="72"/>
    </w:p>
    <w:p>
      <w:pPr>
        <w:pStyle w:val="ReferenceEntry"/>
        <w:spacing w:after="100"/>
        <w:ind w:left="475" w:hanging="475"/>
        <w:jc w:val="left"/>
        <w:keepNext w:val="0"/>
        <w:keepLines w:val="0"/>
        <w:widowControl w:val="1"/>
      </w:pPr>
      <w:r>
        <w:rPr>
          <w:rFonts w:ascii="Times New Roman" w:hAnsi="Times New Roman"/>
          <w:sz w:val="20"/>
        </w:rPr>
        <w:t xml:space="preserve">19. </w:t>
      </w: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73">
        <w:r>
          <w:rPr>
            <w:rStyle w:val="Hyperlink"/>
          </w:rPr>
          <w:t xml:space="preserve">https://openreview.net/forum?id=iMmsCI0JsS</w:t>
        </w:r>
      </w:hyperlink>
      <w:r>
        <w:t xml:space="preserve">.</w:t>
      </w:r>
      <w:bookmarkEnd w:id="74"/>
    </w:p>
    <w:p>
      <w:pPr>
        <w:pStyle w:val="ReferenceEntry"/>
        <w:spacing w:after="100"/>
        <w:ind w:left="475" w:hanging="475"/>
        <w:jc w:val="left"/>
        <w:keepNext w:val="0"/>
        <w:keepLines w:val="0"/>
        <w:widowControl w:val="1"/>
      </w:pPr>
      <w:r>
        <w:rPr>
          <w:rFonts w:ascii="Times New Roman" w:hAnsi="Times New Roman"/>
          <w:sz w:val="20"/>
        </w:rPr>
        <w:t xml:space="preserve">20. </w:t>
      </w: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75">
        <w:r>
          <w:rPr>
            <w:rStyle w:val="Hyperlink"/>
          </w:rPr>
          <w:t xml:space="preserve">https://doi.org/10.1109/CySWater.2016.7469060</w:t>
        </w:r>
      </w:hyperlink>
      <w:r>
        <w:t xml:space="preserve">.</w:t>
      </w:r>
      <w:bookmarkEnd w:id="76"/>
    </w:p>
    <w:p>
      <w:pPr>
        <w:pStyle w:val="ReferenceEntry"/>
        <w:spacing w:after="100"/>
        <w:ind w:left="475" w:hanging="475"/>
        <w:jc w:val="left"/>
        <w:keepNext w:val="0"/>
        <w:keepLines w:val="0"/>
        <w:widowControl w:val="1"/>
      </w:pPr>
      <w:r>
        <w:rPr>
          <w:rFonts w:ascii="Times New Roman" w:hAnsi="Times New Roman"/>
          <w:sz w:val="20"/>
        </w:rPr>
        <w:t xml:space="preserve">21. </w:t>
      </w: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77">
        <w:r>
          <w:rPr>
            <w:rStyle w:val="Hyperlink"/>
          </w:rPr>
          <w:t xml:space="preserve">https://doi.org/10.1145/2689746.2689747</w:t>
        </w:r>
      </w:hyperlink>
      <w:r>
        <w:t xml:space="preserve">.</w:t>
      </w:r>
      <w:bookmarkEnd w:id="78"/>
    </w:p>
    <w:p>
      <w:pPr>
        <w:pStyle w:val="ReferenceEntry"/>
        <w:spacing w:after="100"/>
        <w:ind w:left="475" w:hanging="475"/>
        <w:jc w:val="left"/>
        <w:keepNext w:val="0"/>
        <w:keepLines w:val="0"/>
        <w:widowControl w:val="1"/>
      </w:pPr>
      <w:r>
        <w:rPr>
          <w:rFonts w:ascii="Times New Roman" w:hAnsi="Times New Roman"/>
          <w:sz w:val="20"/>
        </w:rPr>
        <w:t xml:space="preserve">22. </w:t>
      </w: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79">
        <w:r>
          <w:rPr>
            <w:rStyle w:val="Hyperlink"/>
          </w:rPr>
          <w:t xml:space="preserve">https://doi.org/10.1145/1541880.1541882</w:t>
        </w:r>
      </w:hyperlink>
      <w:r>
        <w:t xml:space="preserve">.</w:t>
      </w:r>
      <w:bookmarkEnd w:id="80"/>
    </w:p>
    <w:p>
      <w:pPr>
        <w:pStyle w:val="ReferenceEntry"/>
        <w:spacing w:after="100"/>
        <w:ind w:left="475" w:hanging="475"/>
        <w:jc w:val="left"/>
        <w:keepNext w:val="0"/>
        <w:keepLines w:val="0"/>
        <w:widowControl w:val="1"/>
      </w:pPr>
      <w:r>
        <w:rPr>
          <w:rFonts w:ascii="Times New Roman" w:hAnsi="Times New Roman"/>
          <w:sz w:val="20"/>
        </w:rPr>
        <w:t xml:space="preserve">23. </w:t>
      </w: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81">
        <w:r>
          <w:rPr>
            <w:rStyle w:val="Hyperlink"/>
          </w:rPr>
          <w:t xml:space="preserve">https://doi.org/10.1145/3439950</w:t>
        </w:r>
      </w:hyperlink>
      <w:r>
        <w:t xml:space="preserve">.</w:t>
      </w:r>
      <w:bookmarkEnd w:id="82"/>
    </w:p>
    <w:p>
      <w:pPr>
        <w:pStyle w:val="ReferenceEntry"/>
        <w:spacing w:after="100"/>
        <w:ind w:left="475" w:hanging="475"/>
        <w:jc w:val="left"/>
        <w:keepNext w:val="0"/>
        <w:keepLines w:val="0"/>
        <w:widowControl w:val="1"/>
      </w:pPr>
      <w:r>
        <w:rPr>
          <w:rFonts w:ascii="Times New Roman" w:hAnsi="Times New Roman"/>
          <w:sz w:val="20"/>
        </w:rPr>
        <w:t xml:space="preserve">24. </w:t>
      </w: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83">
        <w:r>
          <w:rPr>
            <w:rStyle w:val="Hyperlink"/>
          </w:rPr>
          <w:t xml:space="preserve">https://doi.org/10.1109/JPROC.2021.3052449</w:t>
        </w:r>
      </w:hyperlink>
      <w:r>
        <w:t xml:space="preserve">.</w:t>
      </w:r>
      <w:bookmarkEnd w:id="84"/>
    </w:p>
    <w:p>
      <w:pPr>
        <w:pStyle w:val="ReferenceEntry"/>
        <w:spacing w:after="100"/>
        <w:ind w:left="475" w:hanging="475"/>
        <w:jc w:val="left"/>
        <w:keepNext w:val="0"/>
        <w:keepLines w:val="0"/>
        <w:widowControl w:val="1"/>
      </w:pPr>
      <w:r>
        <w:rPr>
          <w:rFonts w:ascii="Times New Roman" w:hAnsi="Times New Roman"/>
          <w:sz w:val="20"/>
        </w:rPr>
        <w:t xml:space="preserve">25. </w:t>
      </w: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85">
        <w:r>
          <w:rPr>
            <w:rStyle w:val="Hyperlink"/>
          </w:rPr>
          <w:t xml:space="preserve">https://doi.org/10.1145/3444690</w:t>
        </w:r>
      </w:hyperlink>
      <w:r>
        <w:t xml:space="preserve">.</w:t>
      </w:r>
      <w:bookmarkEnd w:id="86"/>
    </w:p>
    <w:p>
      <w:pPr>
        <w:pStyle w:val="ReferenceEntry"/>
        <w:spacing w:after="100"/>
        <w:ind w:left="475" w:hanging="475"/>
        <w:jc w:val="left"/>
        <w:keepNext w:val="0"/>
        <w:keepLines w:val="0"/>
        <w:widowControl w:val="1"/>
      </w:pPr>
      <w:r>
        <w:rPr>
          <w:rFonts w:ascii="Times New Roman" w:hAnsi="Times New Roman"/>
          <w:sz w:val="20"/>
        </w:rPr>
        <w:t xml:space="preserve">26. </w:t>
      </w: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87">
        <w:r>
          <w:rPr>
            <w:rStyle w:val="Hyperlink"/>
          </w:rPr>
          <w:t xml:space="preserve">https://doi.org/10.1177/1550147718794615</w:t>
        </w:r>
      </w:hyperlink>
      <w:r>
        <w:t xml:space="preserve">.</w:t>
      </w:r>
      <w:bookmarkEnd w:id="88"/>
    </w:p>
    <w:bookmarkEnd w:id="89"/>
    <w:bookmarkEnd w:id="9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69" Type="http://schemas.openxmlformats.org/officeDocument/2006/relationships/hyperlink" Target="https://arxiv.org/abs/1904.02639" TargetMode="External"/><Relationship Id="rId43" Type="http://schemas.openxmlformats.org/officeDocument/2006/relationships/hyperlink" Target="https://arxiv.org/abs/2203.05167" TargetMode="External"/><Relationship Id="rId71" Type="http://schemas.openxmlformats.org/officeDocument/2006/relationships/hyperlink" Target="https://arxiv.org/abs/2405.02678" TargetMode="External"/><Relationship Id="rId67" Type="http://schemas.openxmlformats.org/officeDocument/2006/relationships/hyperlink" Target="https://arxiv.org/abs/2501.13864" TargetMode="External"/><Relationship Id="rId45" Type="http://schemas.openxmlformats.org/officeDocument/2006/relationships/hyperlink" Target="https://arxiv.org/abs/2606.02670" TargetMode="External"/><Relationship Id="rId59" Type="http://schemas.openxmlformats.org/officeDocument/2006/relationships/hyperlink" Target="https://doi.org/10.1016/S0047-259X(03)00096-4" TargetMode="External"/><Relationship Id="rId75" Type="http://schemas.openxmlformats.org/officeDocument/2006/relationships/hyperlink" Target="https://doi.org/10.1109/CySWater.2016.7469060" TargetMode="External"/><Relationship Id="rId57" Type="http://schemas.openxmlformats.org/officeDocument/2006/relationships/hyperlink" Target="https://doi.org/10.1109/ICDM.2008.17" TargetMode="External"/><Relationship Id="rId83" Type="http://schemas.openxmlformats.org/officeDocument/2006/relationships/hyperlink" Target="https://doi.org/10.1109/JPROC.2021.3052449" TargetMode="External"/><Relationship Id="rId41" Type="http://schemas.openxmlformats.org/officeDocument/2006/relationships/hyperlink" Target="https://doi.org/10.1109/TKDE.2021.3112126" TargetMode="External"/><Relationship Id="rId39" Type="http://schemas.openxmlformats.org/officeDocument/2006/relationships/hyperlink" Target="https://doi.org/10.1109/TNNLS.2021.3105827" TargetMode="External"/><Relationship Id="rId79" Type="http://schemas.openxmlformats.org/officeDocument/2006/relationships/hyperlink" Target="https://doi.org/10.1145/1541880.1541882" TargetMode="External"/><Relationship Id="rId77" Type="http://schemas.openxmlformats.org/officeDocument/2006/relationships/hyperlink" Target="https://doi.org/10.1145/2689746.2689747" TargetMode="External"/><Relationship Id="rId61" Type="http://schemas.openxmlformats.org/officeDocument/2006/relationships/hyperlink" Target="https://doi.org/10.1145/3055366.3055375" TargetMode="External"/><Relationship Id="rId47" Type="http://schemas.openxmlformats.org/officeDocument/2006/relationships/hyperlink" Target="https://doi.org/10.1145/3394486.3403392" TargetMode="External"/><Relationship Id="rId81" Type="http://schemas.openxmlformats.org/officeDocument/2006/relationships/hyperlink" Target="https://doi.org/10.1145/3439950" TargetMode="External"/><Relationship Id="rId85" Type="http://schemas.openxmlformats.org/officeDocument/2006/relationships/hyperlink" Target="https://doi.org/10.1145/3444690" TargetMode="External"/><Relationship Id="rId87" Type="http://schemas.openxmlformats.org/officeDocument/2006/relationships/hyperlink" Target="https://doi.org/10.1177/1550147718794615" TargetMode="External"/><Relationship Id="rId49" Type="http://schemas.openxmlformats.org/officeDocument/2006/relationships/hyperlink" Target="https://doi.org/10.14778/3514061.3514067" TargetMode="External"/><Relationship Id="rId55" Type="http://schemas.openxmlformats.org/officeDocument/2006/relationships/hyperlink" Target="https://doi.org/10.1609/aaai.v35i5.16523" TargetMode="External"/><Relationship Id="rId37" Type="http://schemas.openxmlformats.org/officeDocument/2006/relationships/hyperlink" Target="https://doi.org/10.1609/aaai.v36i7.20680" TargetMode="External"/><Relationship Id="rId51" Type="http://schemas.openxmlformats.org/officeDocument/2006/relationships/hyperlink" Target="https://doi.org/10.24963/ijcai.2017/273" TargetMode="External"/><Relationship Id="rId65" Type="http://schemas.openxmlformats.org/officeDocument/2006/relationships/hyperlink" Target="https://doi.org/10.34740/kaggle/dsv/1693952" TargetMode="External"/><Relationship Id="rId53" Type="http://schemas.openxmlformats.org/officeDocument/2006/relationships/hyperlink" Target="https://openreview.net/forum?id=BJJLHbb0-" TargetMode="External"/><Relationship Id="rId73" Type="http://schemas.openxmlformats.org/officeDocument/2006/relationships/hyperlink" Target="https://openreview.net/forum?id=iMmsCI0JsS" TargetMode="External"/><Relationship Id="rId63" Type="http://schemas.openxmlformats.org/officeDocument/2006/relationships/hyperlink" Target="https://www.usenix.org/conference/cset20/presentation/shi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1904.02639" TargetMode="External"/><Relationship Id="rId43" Type="http://schemas.openxmlformats.org/officeDocument/2006/relationships/hyperlink" Target="https://arxiv.org/abs/2203.05167" TargetMode="External"/><Relationship Id="rId71" Type="http://schemas.openxmlformats.org/officeDocument/2006/relationships/hyperlink" Target="https://arxiv.org/abs/2405.02678" TargetMode="External"/><Relationship Id="rId67" Type="http://schemas.openxmlformats.org/officeDocument/2006/relationships/hyperlink" Target="https://arxiv.org/abs/2501.13864" TargetMode="External"/><Relationship Id="rId45" Type="http://schemas.openxmlformats.org/officeDocument/2006/relationships/hyperlink" Target="https://arxiv.org/abs/2606.02670" TargetMode="External"/><Relationship Id="rId59" Type="http://schemas.openxmlformats.org/officeDocument/2006/relationships/hyperlink" Target="https://doi.org/10.1016/S0047-259X(03)00096-4" TargetMode="External"/><Relationship Id="rId75" Type="http://schemas.openxmlformats.org/officeDocument/2006/relationships/hyperlink" Target="https://doi.org/10.1109/CySWater.2016.7469060" TargetMode="External"/><Relationship Id="rId57" Type="http://schemas.openxmlformats.org/officeDocument/2006/relationships/hyperlink" Target="https://doi.org/10.1109/ICDM.2008.17" TargetMode="External"/><Relationship Id="rId83" Type="http://schemas.openxmlformats.org/officeDocument/2006/relationships/hyperlink" Target="https://doi.org/10.1109/JPROC.2021.3052449" TargetMode="External"/><Relationship Id="rId41" Type="http://schemas.openxmlformats.org/officeDocument/2006/relationships/hyperlink" Target="https://doi.org/10.1109/TKDE.2021.3112126" TargetMode="External"/><Relationship Id="rId39" Type="http://schemas.openxmlformats.org/officeDocument/2006/relationships/hyperlink" Target="https://doi.org/10.1109/TNNLS.2021.3105827" TargetMode="External"/><Relationship Id="rId79" Type="http://schemas.openxmlformats.org/officeDocument/2006/relationships/hyperlink" Target="https://doi.org/10.1145/1541880.1541882" TargetMode="External"/><Relationship Id="rId77" Type="http://schemas.openxmlformats.org/officeDocument/2006/relationships/hyperlink" Target="https://doi.org/10.1145/2689746.2689747" TargetMode="External"/><Relationship Id="rId61" Type="http://schemas.openxmlformats.org/officeDocument/2006/relationships/hyperlink" Target="https://doi.org/10.1145/3055366.3055375" TargetMode="External"/><Relationship Id="rId47" Type="http://schemas.openxmlformats.org/officeDocument/2006/relationships/hyperlink" Target="https://doi.org/10.1145/3394486.3403392" TargetMode="External"/><Relationship Id="rId81" Type="http://schemas.openxmlformats.org/officeDocument/2006/relationships/hyperlink" Target="https://doi.org/10.1145/3439950" TargetMode="External"/><Relationship Id="rId85" Type="http://schemas.openxmlformats.org/officeDocument/2006/relationships/hyperlink" Target="https://doi.org/10.1145/3444690" TargetMode="External"/><Relationship Id="rId87" Type="http://schemas.openxmlformats.org/officeDocument/2006/relationships/hyperlink" Target="https://doi.org/10.1177/1550147718794615" TargetMode="External"/><Relationship Id="rId49" Type="http://schemas.openxmlformats.org/officeDocument/2006/relationships/hyperlink" Target="https://doi.org/10.14778/3514061.3514067" TargetMode="External"/><Relationship Id="rId55" Type="http://schemas.openxmlformats.org/officeDocument/2006/relationships/hyperlink" Target="https://doi.org/10.1609/aaai.v35i5.16523" TargetMode="External"/><Relationship Id="rId37" Type="http://schemas.openxmlformats.org/officeDocument/2006/relationships/hyperlink" Target="https://doi.org/10.1609/aaai.v36i7.20680" TargetMode="External"/><Relationship Id="rId51" Type="http://schemas.openxmlformats.org/officeDocument/2006/relationships/hyperlink" Target="https://doi.org/10.24963/ijcai.2017/273" TargetMode="External"/><Relationship Id="rId65" Type="http://schemas.openxmlformats.org/officeDocument/2006/relationships/hyperlink" Target="https://doi.org/10.34740/kaggle/dsv/1693952" TargetMode="External"/><Relationship Id="rId53" Type="http://schemas.openxmlformats.org/officeDocument/2006/relationships/hyperlink" Target="https://openreview.net/forum?id=BJJLHbb0-" TargetMode="External"/><Relationship Id="rId73" Type="http://schemas.openxmlformats.org/officeDocument/2006/relationships/hyperlink" Target="https://openreview.net/forum?id=iMmsCI0JsS" TargetMode="External"/><Relationship Id="rId63" Type="http://schemas.openxmlformats.org/officeDocument/2006/relationships/hyperlink" Target="https://www.usenix.org/conference/cset20/presentation/sh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2026-08-06T08:07:13Z</dcterms:created>
  <dcterms:modified xsi:type="dcterms:W3CDTF">2026-08-06T08:07:13Z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