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 and the Industrial IoT</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alexanderap@hit.ac.il</w:t>
      </w:r>
    </w:p>
    <w:p w14:paraId="5C60B5A0" w14:textId="77777777" w:rsidR="00563B51" w:rsidRPr="00563B51" w:rsidRDefault="00BE70EC" w:rsidP="00563B51">
      <w:pPr>
        <w:pStyle w:val="MDPI17abstract"/>
        <w:jc w:val="left"/>
        <w:rPr>
          <w:b/>
        </w:rPr>
      </w:pPr>
      <w:r w:rsidRPr="00563B51">
        <w:rPr>
          <w:b/>
        </w:rPr>
        <w:t>Abstract</w:t>
      </w:r>
    </w:p>
    <w:p>
      <w:pPr>
        <w:pStyle w:val="MDPI18keywords"/>
        <w:ind w:left="2608"/>
      </w:pPr>
      <w:r>
        <w:t xml:space="preserve">Faults on a networked cyber-physical system (CPS), the sensing-and-actuation core of an industrial Internet-of-Things (IoT) deployment, are too rare and unrepresentative to characterise or to select a model on, so detection must instead</w:t>
      </w:r>
      <w:r>
        <w:t xml:space="preserve"> </w:t>
      </w:r>
      <w:r>
        <w:rPr>
          <w:i/>
          <w:iCs/>
        </w:rPr>
        <w:t xml:space="preserve">model normal</w:t>
      </w:r>
      <w:r>
        <w:t xml:space="preserve"> </w:t>
      </w:r>
      <w:r>
        <w:t xml:space="preserve">behaviour; the standard point-adjusted evaluation, however, rewards detectors that never do. CPS normal behaviour is the union of many imbalanced, curved, thin-fringed operating regimes rather than a single blob, a structure we state as ten assumptions (A1–A10) abbreviated</w:t>
      </w:r>
      <w:r>
        <w:t xml:space="preserve"> </w:t>
      </w:r>
      <w:r>
        <w:rPr>
          <w:i/>
          <w:iCs/>
        </w:rPr>
        <w:t xml:space="preserve">Massive, Implicit, Imbalanced Multimodality</w:t>
      </w:r>
      <w:r>
        <w:t xml:space="preserve"> </w:t>
      </w:r>
      <w:r>
        <w:t xml:space="preserve">(MIIM). We model the normal law with a jointly learned latent plus explicit Gaussian-mixture mode clustering, scored in the latent rather than by a global density or a reconstruction residual, and evaluate under a fair protocol: raw point-wise metrics, a trivial-detector difficulty split, prevalence-matched F1, and train-normal-only calibration. On three real CPS datasets (WADI, HAI, SKAB) the detector</w:t>
      </w:r>
      <w:r>
        <w:t xml:space="preserve"> </w:t>
      </w:r>
      <w:r>
        <w:rPr>
          <w:b/>
          <w:bCs/>
        </w:rPr>
        <w:t xml:space="preserve">wins both the combined and the difficult column on all three</w:t>
      </w:r>
      <w:r>
        <w:t xml:space="preserve">, reaching difficult-subset AUROC 0.831 on HAI, 0.726 on WADI and 0.610 on SKAB. The margin is largest on the two multimodal datasets the assumptions target and slimmest on the near-unimodal one, and it holds against three deep detectors (USAD, TranAD, GDN) re-scored with the same raw metrics. The contributions are the MIIM assumption set, the difficulty-stratified protocol, and a latent-only score that drops reconstruction because a flexible decoder rebuilds the hard faults faithfully.</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18keywords"/>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18keywords"/>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18keywords"/>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18keywords"/>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18keywords"/>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MDPI18keywords"/>
        <w:ind w:left="2608"/>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18keywords"/>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18keywords"/>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18keywords"/>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MDPI18keywords"/>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p>
      <w:pPr>
        <w:pStyle w:val="MDPI22heading2"/>
        <w:ind w:left="2608"/>
      </w:pPr>
      <w:r>
        <w:t xml:space="preserve">2.2  Latent and clustering models for anomaly detection</w:t>
      </w:r>
    </w:p>
    <w:p>
      <w:pPr>
        <w:pStyle w:val="MDPI18keywords"/>
        <w:ind w:left="2608"/>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18keywords"/>
        <w:ind w:left="2608"/>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p>
      <w:pPr>
        <w:pStyle w:val="MDPI22heading2"/>
        <w:ind w:left="2608"/>
      </w:pPr>
      <w:r>
        <w:t xml:space="preserve">2.4  Benchmark datasets</w:t>
      </w:r>
    </w:p>
    <w:p>
      <w:pPr>
        <w:pStyle w:val="MDPI18keywords"/>
        <w:ind w:left="2608"/>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p>
      <w:pPr>
        <w:pStyle w:val="MDPI21heading1"/>
        <w:ind w:left="2608"/>
      </w:pPr>
      <w:r>
        <w:t xml:space="preserve">3  The MIIM assumptions about CPS normal data</w:t>
      </w:r>
    </w:p>
    <w:p>
      <w:pPr>
        <w:pStyle w:val="MDPI18keywords"/>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18keywords"/>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18keywords"/>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18keywords"/>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18keywords"/>
        <w:ind w:left="2608"/>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18keywords"/>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18keywords"/>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18keywords"/>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722"/>
        <w:gridCol w:w="1084"/>
        <w:gridCol w:w="975"/>
        <w:gridCol w:w="1077"/>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SKAB</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c>
          <w:tcPr>
            <w:vAlign w:val="center"/>
          </w:tcPr>
          <w:p>
            <w:pPr>
              <w:pStyle w:val="Compact"/>
              <w:suppressAutoHyphens/>
              <w:jc w:val="center"/>
            </w:pPr>
            <w:r>
              <w:rPr>
                <w:sz w:val="18"/>
                <w:szCs w:val="18"/>
              </w:rPr>
              <w:t xml:space="preserve">0.553</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bl>
    <w:p>
      <w:pPr>
        <w:pStyle w:val="MDPI18keywords"/>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p>
      <w:pPr>
        <w:pStyle w:val="MDPI22heading2"/>
        <w:ind w:left="2608"/>
      </w:pPr>
      <w:r>
        <w:t xml:space="preserve">4.3  The scoring stack</w:t>
      </w:r>
    </w:p>
    <w:p>
      <w:pPr>
        <w:pStyle w:val="MDPI18keywords"/>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18keywords"/>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18keywords"/>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18keywords"/>
        <w:ind w:left="2608"/>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18keywords"/>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18keywords"/>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18keywords"/>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18keywords"/>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MDPI18keywords"/>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18keywords"/>
        <w:ind w:left="2608"/>
      </w:pPr>
      <w:r>
        <w:t xml:space="preserve">We use three real CPS datasets and no synthetic data in the results tables.</w:t>
      </w:r>
    </w:p>
    <w:p>
      <w:pPr>
        <w:pStyle w:val="Compact"/>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p>
      <w:pPr>
        <w:pStyle w:val="MDPI22heading2"/>
        <w:ind w:left="2608"/>
      </w:pPr>
      <w:r>
        <w:t xml:space="preserve">5.2  Windows and features</w:t>
      </w:r>
    </w:p>
    <w:p>
      <w:pPr>
        <w:pStyle w:val="MDPI18keywords"/>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p>
      <w:pPr>
        <w:pStyle w:val="MDPI22heading2"/>
        <w:ind w:left="2608"/>
      </w:pPr>
      <w:r>
        <w:t xml:space="preserve">5.3  Difficulty stratification</w:t>
      </w:r>
    </w:p>
    <w:p>
      <w:pPr>
        <w:pStyle w:val="MDPI18keywords"/>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18keywords"/>
        <w:ind w:left="2608"/>
      </w:pPr>
      <w:r>
        <w:t xml:space="preserve">We report three raw, point-wise metrics and are explicit about their comparability across subsets.</w:t>
      </w:r>
    </w:p>
    <w:p>
      <w:pPr>
        <w:pStyle w:val="Compact"/>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pPr>
      <w:r>
        <w:rPr>
          <w:b/>
          <w:bCs/>
        </w:rPr>
        <w:t xml:space="preserve">FPR</w:t>
      </w:r>
      <w:r>
        <w:t xml:space="preserve"> </w:t>
      </w:r>
      <w:r>
        <w:t xml:space="preserve">is reported at a fixed operating point. It shares the oracle-threshold caveat.</w:t>
      </w:r>
    </w:p>
    <w:p>
      <w:pPr>
        <w:pStyle w:val="MDPI18keywords"/>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p>
      <w:pPr>
        <w:pStyle w:val="MDPI22heading2"/>
        <w:ind w:left="2608"/>
      </w:pPr>
      <w:r>
        <w:t xml:space="preserve">5.5  Baselines and SOTA re-computation</w:t>
      </w:r>
    </w:p>
    <w:p>
      <w:pPr>
        <w:pStyle w:val="MDPI18keywords"/>
        <w:ind w:left="2608"/>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18keywords"/>
        <w:ind w:left="2608"/>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MDPI41tablecaption"/>
        <w:ind w:left="2608"/>
      </w:pPr>
      <w:r>
        <w:rPr>
          <w:b/>
          <w:bCs/>
        </w:rPr>
        <w:t xml:space="preserve">Table 3.</w:t>
      </w:r>
      <w:r>
        <w:t xml:space="preserve"> </w:t>
      </w:r>
      <w:r>
        <w:t xml:space="preserve">Per-dataset, per-subset results: [AUROC, F1, FPR]. F1 is prevalence-matched;</w:t>
      </w:r>
      <w:r>
        <w:t xml:space="preserve"> </w:t>
      </w:r>
      <w:r>
        <w:t xml:space="preserve">the F1/FPR threshold is a disclosed oracle; AUROC is leak-free. Higher AUROC/F1 and lower FPR are better. Bold</w:t>
      </w:r>
      <w:r>
        <w:t xml:space="preserve"> </w:t>
      </w:r>
      <w:r>
        <w:t xml:space="preserve">= best AUROC in that dataset×subset column (ties bolded jointly). “Ours” = VaDE family; the</w:t>
      </w:r>
      <w:r>
        <w:t xml:space="preserve"> </w:t>
      </w:r>
      <w:r>
        <w:t xml:space="preserve">headline model is VaDE-hard+resid(auto). The</w:t>
      </w:r>
      <w:r>
        <w:t xml:space="preserve"> </w:t>
      </w:r>
      <w:r>
        <w:rPr>
          <w:i/>
          <w:iCs/>
        </w:rPr>
        <w:t xml:space="preserve">trivial max|z|</w:t>
      </w:r>
      <w:r>
        <w:t xml:space="preserve"> </w:t>
      </w:r>
      <w:r>
        <w:t xml:space="preserve">row is the univariate range rule that</w:t>
      </w:r>
      <w:r>
        <w:t xml:space="preserve"> </w:t>
      </w:r>
      <w:r>
        <w:t xml:space="preserve">defines the difficulty split (§5.3): near-perfect on Easy (SKAB 1.000, HAI 0.966), near chance on Difficult</w:t>
      </w:r>
      <w:r>
        <w:t xml:space="preserve"> </w:t>
      </w:r>
      <w:r>
        <w:t xml:space="preserve">(0.31–0.39), which is exactly what makes the split meaningful. GDN is reported on WADI only (§5.5);</w:t>
      </w:r>
      <w:r>
        <w:t xml:space="preserve"> </w:t>
      </w:r>
      <w:r>
        <w:t xml:space="preserve">“n/a” marks a cell not run.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335"/>
        <w:gridCol w:w="771"/>
        <w:gridCol w:w="781"/>
        <w:gridCol w:w="568"/>
        <w:gridCol w:w="568"/>
        <w:gridCol w:w="781"/>
        <w:gridCol w:w="568"/>
        <w:gridCol w:w="568"/>
        <w:gridCol w:w="781"/>
        <w:gridCol w:w="568"/>
        <w:gridCol w:w="569"/>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3"/>
            <w:vAlign w:val="center"/>
          </w:tcPr>
          <w:p>
            <w:pPr>
              <w:pStyle w:val="Compact"/>
              <w:suppressAutoHyphens/>
              <w:jc w:val="center"/>
            </w:pPr>
            <w:r>
              <w:rPr>
                <w:b/>
                <w:sz w:val="17"/>
                <w:szCs w:val="17"/>
              </w:rPr>
              <w:t xml:space="preserve">All</w:t>
            </w:r>
          </w:p>
        </w:tc>
        <w:tc>
          <w:tcPr>
            <w:gridSpan w:val="3"/>
            <w:vAlign w:val="center"/>
          </w:tcPr>
          <w:p>
            <w:pPr>
              <w:pStyle w:val="Compact"/>
              <w:suppressAutoHyphens/>
              <w:jc w:val="center"/>
            </w:pPr>
            <w:r>
              <w:rPr>
                <w:b/>
                <w:sz w:val="17"/>
                <w:szCs w:val="17"/>
              </w:rPr>
              <w:t xml:space="preserve">Easy</w:t>
            </w:r>
          </w:p>
        </w:tc>
        <w:tc>
          <w:tcPr>
            <w:gridSpan w:val="3"/>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r>
      <w:tr>
        <w:tc>
          <w:tcPr>
            <w:gridSpan w:val="11"/>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(test 575; normal 519; anom 56 = 37 easy + 19 difficult; matched normals: all 519 / easy 343 / difficult 176)</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0.558</w:t>
            </w:r>
          </w:p>
        </w:tc>
        <w:tc>
          <w:tcPr>
            <w:vAlign w:val="center"/>
          </w:tcPr>
          <w:p>
            <w:pPr>
              <w:pStyle w:val="Compact"/>
              <w:suppressAutoHyphens/>
              <w:jc w:val="center"/>
            </w:pPr>
            <w:r>
              <w:rPr>
                <w:sz w:val="17"/>
                <w:szCs w:val="17"/>
              </w:rPr>
              <w:t xml:space="preserve">0.219</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0.687</w:t>
            </w:r>
          </w:p>
        </w:tc>
        <w:tc>
          <w:tcPr>
            <w:vAlign w:val="center"/>
          </w:tcPr>
          <w:p>
            <w:pPr>
              <w:pStyle w:val="Compact"/>
              <w:suppressAutoHyphens/>
              <w:jc w:val="center"/>
            </w:pPr>
            <w:r>
              <w:rPr>
                <w:sz w:val="17"/>
                <w:szCs w:val="17"/>
              </w:rPr>
              <w:t xml:space="preserve">0.287</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0.204</w:t>
            </w:r>
          </w:p>
        </w:tc>
        <w:tc>
          <w:tcPr>
            <w:vAlign w:val="center"/>
          </w:tcPr>
          <w:p>
            <w:pPr>
              <w:pStyle w:val="Compact"/>
              <w:suppressAutoHyphens/>
              <w:jc w:val="center"/>
            </w:pPr>
            <w:r>
              <w:rPr>
                <w:sz w:val="17"/>
                <w:szCs w:val="17"/>
              </w:rPr>
              <w:t xml:space="preserve">0.738</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0.730</w:t>
            </w:r>
          </w:p>
        </w:tc>
        <w:tc>
          <w:tcPr>
            <w:vAlign w:val="center"/>
          </w:tcPr>
          <w:p>
            <w:pPr>
              <w:pStyle w:val="Compact"/>
              <w:suppressAutoHyphens/>
              <w:jc w:val="center"/>
            </w:pPr>
            <w:r>
              <w:rPr>
                <w:sz w:val="17"/>
                <w:szCs w:val="17"/>
              </w:rPr>
              <w:t xml:space="preserve">0.380</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0.748</w:t>
            </w:r>
          </w:p>
        </w:tc>
        <w:tc>
          <w:tcPr>
            <w:vAlign w:val="center"/>
          </w:tcPr>
          <w:p>
            <w:pPr>
              <w:pStyle w:val="Compact"/>
              <w:suppressAutoHyphens/>
              <w:jc w:val="center"/>
            </w:pPr>
            <w:r>
              <w:rPr>
                <w:sz w:val="17"/>
                <w:szCs w:val="17"/>
              </w:rPr>
              <w:t xml:space="preserve">0.444</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0.696</w:t>
            </w:r>
          </w:p>
        </w:tc>
        <w:tc>
          <w:tcPr>
            <w:vAlign w:val="center"/>
          </w:tcPr>
          <w:p>
            <w:pPr>
              <w:pStyle w:val="Compact"/>
              <w:suppressAutoHyphens/>
              <w:jc w:val="center"/>
            </w:pPr>
            <w:r>
              <w:rPr>
                <w:sz w:val="17"/>
                <w:szCs w:val="17"/>
              </w:rPr>
              <w:t xml:space="preserve">0.292</w:t>
            </w:r>
          </w:p>
        </w:tc>
        <w:tc>
          <w:tcPr>
            <w:vAlign w:val="center"/>
          </w:tcPr>
          <w:p>
            <w:pPr>
              <w:pStyle w:val="Compact"/>
              <w:suppressAutoHyphens/>
              <w:jc w:val="center"/>
            </w:pPr>
            <w:r>
              <w:rPr>
                <w:sz w:val="17"/>
                <w:szCs w:val="17"/>
              </w:rPr>
              <w:t xml:space="preserve">0.139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0.745</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0.907</w:t>
            </w:r>
          </w:p>
        </w:tc>
        <w:tc>
          <w:tcPr>
            <w:vAlign w:val="center"/>
          </w:tcPr>
          <w:p>
            <w:pPr>
              <w:pStyle w:val="Compact"/>
              <w:suppressAutoHyphens/>
              <w:jc w:val="center"/>
            </w:pPr>
            <w:r>
              <w:rPr>
                <w:sz w:val="17"/>
                <w:szCs w:val="17"/>
              </w:rPr>
              <w:t xml:space="preserve">0.749</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0.430</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0.010</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0.686</w:t>
            </w:r>
          </w:p>
        </w:tc>
        <w:tc>
          <w:tcPr>
            <w:vAlign w:val="center"/>
          </w:tcPr>
          <w:p>
            <w:pPr>
              <w:pStyle w:val="Compact"/>
              <w:suppressAutoHyphens/>
              <w:jc w:val="center"/>
            </w:pPr>
            <w:r>
              <w:rPr>
                <w:sz w:val="17"/>
                <w:szCs w:val="17"/>
              </w:rPr>
              <w:t xml:space="preserve">0.288</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0.754</w:t>
            </w:r>
          </w:p>
        </w:tc>
        <w:tc>
          <w:tcPr>
            <w:vAlign w:val="center"/>
          </w:tcPr>
          <w:p>
            <w:pPr>
              <w:pStyle w:val="Compact"/>
              <w:suppressAutoHyphens/>
              <w:jc w:val="center"/>
            </w:pPr>
            <w:r>
              <w:rPr>
                <w:sz w:val="17"/>
                <w:szCs w:val="17"/>
              </w:rPr>
              <w:t xml:space="preserve">0.344</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0.234</w:t>
            </w:r>
          </w:p>
        </w:tc>
        <w:tc>
          <w:tcPr>
            <w:vAlign w:val="center"/>
          </w:tcPr>
          <w:p>
            <w:pPr>
              <w:pStyle w:val="Compact"/>
              <w:suppressAutoHyphens/>
              <w:jc w:val="center"/>
            </w:pPr>
            <w:r>
              <w:rPr>
                <w:sz w:val="17"/>
                <w:szCs w:val="17"/>
              </w:rPr>
              <w:t xml:space="preserve">0.304</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0.709</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0.791</w:t>
            </w:r>
          </w:p>
        </w:tc>
        <w:tc>
          <w:tcPr>
            <w:vAlign w:val="center"/>
          </w:tcPr>
          <w:p>
            <w:pPr>
              <w:pStyle w:val="Compact"/>
              <w:suppressAutoHyphens/>
              <w:jc w:val="center"/>
            </w:pPr>
            <w:r>
              <w:rPr>
                <w:sz w:val="17"/>
                <w:szCs w:val="17"/>
              </w:rPr>
              <w:t xml:space="preserve">0.359</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0.547</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0.301</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0.760</w:t>
            </w:r>
          </w:p>
        </w:tc>
        <w:tc>
          <w:tcPr>
            <w:vAlign w:val="center"/>
          </w:tcPr>
          <w:p>
            <w:pPr>
              <w:pStyle w:val="Compact"/>
              <w:suppressAutoHyphens/>
              <w:jc w:val="center"/>
            </w:pPr>
            <w:r>
              <w:rPr>
                <w:sz w:val="17"/>
                <w:szCs w:val="17"/>
              </w:rPr>
              <w:t xml:space="preserve">0.348</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0.582</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0.262</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0.787</w:t>
            </w:r>
          </w:p>
        </w:tc>
        <w:tc>
          <w:tcPr>
            <w:vAlign w:val="center"/>
          </w:tcPr>
          <w:p>
            <w:pPr>
              <w:pStyle w:val="Compact"/>
              <w:suppressAutoHyphens/>
              <w:jc w:val="center"/>
            </w:pPr>
            <w:r>
              <w:rPr>
                <w:sz w:val="17"/>
                <w:szCs w:val="17"/>
              </w:rPr>
              <w:t xml:space="preserve">0.653</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0.938</w:t>
            </w:r>
          </w:p>
        </w:tc>
        <w:tc>
          <w:tcPr>
            <w:vAlign w:val="center"/>
          </w:tcPr>
          <w:p>
            <w:pPr>
              <w:pStyle w:val="Compact"/>
              <w:suppressAutoHyphens/>
              <w:jc w:val="center"/>
            </w:pPr>
            <w:r>
              <w:rPr>
                <w:sz w:val="17"/>
                <w:szCs w:val="17"/>
              </w:rPr>
              <w:t xml:space="preserve">0.798</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0.494</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0.543</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0.697</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0.726</w:t>
            </w:r>
          </w:p>
        </w:tc>
        <w:tc>
          <w:tcPr>
            <w:vAlign w:val="center"/>
          </w:tcPr>
          <w:p>
            <w:pPr>
              <w:pStyle w:val="Compact"/>
              <w:suppressAutoHyphens/>
              <w:jc w:val="center"/>
            </w:pPr>
            <w:r>
              <w:rPr>
                <w:sz w:val="17"/>
                <w:szCs w:val="17"/>
              </w:rPr>
              <w:t xml:space="preserve">0.327</w:t>
            </w:r>
          </w:p>
        </w:tc>
        <w:tc>
          <w:tcPr>
            <w:vAlign w:val="center"/>
          </w:tcPr>
          <w:p>
            <w:pPr>
              <w:pStyle w:val="Compact"/>
              <w:suppressAutoHyphens/>
              <w:jc w:val="center"/>
            </w:pPr>
            <w:r>
              <w:rPr>
                <w:sz w:val="17"/>
                <w:szCs w:val="17"/>
              </w:rPr>
              <w:t xml:space="preserve">0.006</w:t>
            </w:r>
          </w:p>
        </w:tc>
      </w:tr>
      <w:tr>
        <w:tc>
          <w:tcPr>
            <w:gridSpan w:val="11"/>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(test 14819; normal 14167; anom 652 = 485 easy + 167 difficult; matched normals: all 14167 / easy 10538 / difficult 3629; GDN not run on HAI)</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0.627</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0.786</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0.040</w:t>
            </w:r>
          </w:p>
        </w:tc>
        <w:tc>
          <w:tcPr>
            <w:vAlign w:val="center"/>
          </w:tcPr>
          <w:p>
            <w:pPr>
              <w:pStyle w:val="Compact"/>
              <w:suppressAutoHyphens/>
              <w:jc w:val="center"/>
            </w:pPr>
            <w:r>
              <w:rPr>
                <w:sz w:val="17"/>
                <w:szCs w:val="17"/>
              </w:rPr>
              <w:t xml:space="preserve">0.001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0.854</w:t>
            </w:r>
          </w:p>
        </w:tc>
        <w:tc>
          <w:tcPr>
            <w:vAlign w:val="center"/>
          </w:tcPr>
          <w:p>
            <w:pPr>
              <w:pStyle w:val="Compact"/>
              <w:suppressAutoHyphens/>
              <w:jc w:val="center"/>
            </w:pPr>
            <w:r>
              <w:rPr>
                <w:sz w:val="17"/>
                <w:szCs w:val="17"/>
              </w:rPr>
              <w:t xml:space="preserve">0.445</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0.933</w:t>
            </w:r>
          </w:p>
        </w:tc>
        <w:tc>
          <w:tcPr>
            <w:vAlign w:val="center"/>
          </w:tcPr>
          <w:p>
            <w:pPr>
              <w:pStyle w:val="Compact"/>
              <w:suppressAutoHyphens/>
              <w:jc w:val="center"/>
            </w:pPr>
            <w:r>
              <w:rPr>
                <w:sz w:val="17"/>
                <w:szCs w:val="17"/>
              </w:rPr>
              <w:t xml:space="preserve">0.533</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0.625</w:t>
            </w:r>
          </w:p>
        </w:tc>
        <w:tc>
          <w:tcPr>
            <w:vAlign w:val="center"/>
          </w:tcPr>
          <w:p>
            <w:pPr>
              <w:pStyle w:val="Compact"/>
              <w:suppressAutoHyphens/>
              <w:jc w:val="center"/>
            </w:pPr>
            <w:r>
              <w:rPr>
                <w:sz w:val="17"/>
                <w:szCs w:val="17"/>
              </w:rPr>
              <w:t xml:space="preserve">0.129</w:t>
            </w:r>
          </w:p>
        </w:tc>
        <w:tc>
          <w:tcPr>
            <w:vAlign w:val="center"/>
          </w:tcPr>
          <w:p>
            <w:pPr>
              <w:pStyle w:val="Compact"/>
              <w:suppressAutoHyphens/>
              <w:jc w:val="center"/>
            </w:pPr>
            <w:r>
              <w:rPr>
                <w:sz w:val="17"/>
                <w:szCs w:val="17"/>
              </w:rPr>
              <w:t xml:space="preserve">0.024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0.828</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0.758</w:t>
            </w:r>
          </w:p>
        </w:tc>
        <w:tc>
          <w:tcPr>
            <w:vAlign w:val="center"/>
          </w:tcPr>
          <w:p>
            <w:pPr>
              <w:pStyle w:val="Compact"/>
              <w:suppressAutoHyphens/>
              <w:jc w:val="center"/>
            </w:pPr>
            <w:r>
              <w:rPr>
                <w:sz w:val="17"/>
                <w:szCs w:val="17"/>
              </w:rPr>
              <w:t xml:space="preserve">0.412</w:t>
            </w:r>
          </w:p>
        </w:tc>
        <w:tc>
          <w:tcPr>
            <w:vAlign w:val="center"/>
          </w:tcPr>
          <w:p>
            <w:pPr>
              <w:pStyle w:val="Compact"/>
              <w:suppressAutoHyphens/>
              <w:jc w:val="center"/>
            </w:pPr>
            <w:r>
              <w:rPr>
                <w:sz w:val="17"/>
                <w:szCs w:val="17"/>
              </w:rPr>
              <w:t xml:space="preserve">0.005</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0.845</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0.830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0.487</w:t>
            </w:r>
          </w:p>
        </w:tc>
        <w:tc>
          <w:tcPr>
            <w:vAlign w:val="center"/>
          </w:tcPr>
          <w:p>
            <w:pPr>
              <w:pStyle w:val="Compact"/>
              <w:suppressAutoHyphens/>
              <w:jc w:val="center"/>
            </w:pPr>
            <w:r>
              <w:rPr>
                <w:sz w:val="17"/>
                <w:szCs w:val="17"/>
              </w:rPr>
              <w:t xml:space="preserve">0.100</w:t>
            </w:r>
          </w:p>
        </w:tc>
        <w:tc>
          <w:tcPr>
            <w:vAlign w:val="center"/>
          </w:tcPr>
          <w:p>
            <w:pPr>
              <w:pStyle w:val="Compact"/>
              <w:suppressAutoHyphens/>
              <w:jc w:val="center"/>
            </w:pPr>
            <w:r>
              <w:rPr>
                <w:sz w:val="17"/>
                <w:szCs w:val="17"/>
              </w:rPr>
              <w:t xml:space="preserve">0.007</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0.704</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0.971</w:t>
            </w:r>
          </w:p>
        </w:tc>
        <w:tc>
          <w:tcPr>
            <w:vAlign w:val="center"/>
          </w:tcPr>
          <w:p>
            <w:pPr>
              <w:pStyle w:val="Compact"/>
              <w:suppressAutoHyphens/>
              <w:jc w:val="center"/>
            </w:pPr>
            <w:r>
              <w:rPr>
                <w:sz w:val="17"/>
                <w:szCs w:val="17"/>
              </w:rPr>
              <w:t xml:space="preserve">0.838</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0.467</w:t>
            </w:r>
          </w:p>
        </w:tc>
        <w:tc>
          <w:tcPr>
            <w:vAlign w:val="center"/>
          </w:tcPr>
          <w:p>
            <w:pPr>
              <w:pStyle w:val="Compact"/>
              <w:suppressAutoHyphens/>
              <w:jc w:val="center"/>
            </w:pPr>
            <w:r>
              <w:rPr>
                <w:sz w:val="17"/>
                <w:szCs w:val="17"/>
              </w:rPr>
              <w:t xml:space="preserve">0.105</w:t>
            </w:r>
          </w:p>
        </w:tc>
        <w:tc>
          <w:tcPr>
            <w:vAlign w:val="center"/>
          </w:tcPr>
          <w:p>
            <w:pPr>
              <w:pStyle w:val="Compact"/>
              <w:suppressAutoHyphens/>
              <w:jc w:val="center"/>
            </w:pPr>
            <w:r>
              <w:rPr>
                <w:sz w:val="17"/>
                <w:szCs w:val="17"/>
              </w:rPr>
              <w:t xml:space="preserve">0.004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0.894</w:t>
            </w:r>
          </w:p>
        </w:tc>
        <w:tc>
          <w:tcPr>
            <w:vAlign w:val="center"/>
          </w:tcPr>
          <w:p>
            <w:pPr>
              <w:pStyle w:val="Compact"/>
              <w:suppressAutoHyphens/>
              <w:jc w:val="center"/>
            </w:pPr>
            <w:r>
              <w:rPr>
                <w:sz w:val="17"/>
                <w:szCs w:val="17"/>
              </w:rPr>
              <w:t xml:space="preserve">0.757</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0.965</w:t>
            </w:r>
          </w:p>
        </w:tc>
        <w:tc>
          <w:tcPr>
            <w:vAlign w:val="center"/>
          </w:tcPr>
          <w:p>
            <w:pPr>
              <w:pStyle w:val="Compact"/>
              <w:suppressAutoHyphens/>
              <w:jc w:val="center"/>
            </w:pPr>
            <w:r>
              <w:rPr>
                <w:sz w:val="17"/>
                <w:szCs w:val="17"/>
              </w:rPr>
              <w:t xml:space="preserve">0.849</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0.688</w:t>
            </w:r>
          </w:p>
        </w:tc>
        <w:tc>
          <w:tcPr>
            <w:vAlign w:val="center"/>
          </w:tcPr>
          <w:p>
            <w:pPr>
              <w:pStyle w:val="Compact"/>
              <w:suppressAutoHyphens/>
              <w:jc w:val="center"/>
            </w:pPr>
            <w:r>
              <w:rPr>
                <w:sz w:val="17"/>
                <w:szCs w:val="17"/>
              </w:rPr>
              <w:t xml:space="preserve">0.337</w:t>
            </w:r>
          </w:p>
        </w:tc>
        <w:tc>
          <w:tcPr>
            <w:vAlign w:val="center"/>
          </w:tcPr>
          <w:p>
            <w:pPr>
              <w:pStyle w:val="Compact"/>
              <w:suppressAutoHyphens/>
              <w:jc w:val="center"/>
            </w:pPr>
            <w:r>
              <w:rPr>
                <w:sz w:val="17"/>
                <w:szCs w:val="17"/>
              </w:rPr>
              <w:t xml:space="preserve">0.002</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0.820</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0.831</w:t>
            </w:r>
          </w:p>
        </w:tc>
        <w:tc>
          <w:tcPr>
            <w:vAlign w:val="center"/>
          </w:tcPr>
          <w:p>
            <w:pPr>
              <w:pStyle w:val="Compact"/>
              <w:suppressAutoHyphens/>
              <w:jc w:val="center"/>
            </w:pPr>
            <w:r>
              <w:rPr>
                <w:sz w:val="17"/>
                <w:szCs w:val="17"/>
              </w:rPr>
              <w:t xml:space="preserve">0.443</w:t>
            </w:r>
          </w:p>
        </w:tc>
        <w:tc>
          <w:tcPr>
            <w:vAlign w:val="center"/>
          </w:tcPr>
          <w:p>
            <w:pPr>
              <w:pStyle w:val="Compact"/>
              <w:suppressAutoHyphens/>
              <w:jc w:val="center"/>
            </w:pPr>
            <w:r>
              <w:rPr>
                <w:sz w:val="17"/>
                <w:szCs w:val="17"/>
              </w:rPr>
              <w:t xml:space="preserve">0.005</w:t>
            </w:r>
          </w:p>
        </w:tc>
      </w:tr>
      <w:tr>
        <w:tc>
          <w:tcPr>
            <w:gridSpan w:val="11"/>
            <w:vAlign w:val="center"/>
          </w:tcPr>
          <w:p>
            <w:pPr>
              <w:pStyle w:val="Compact"/>
              <w:suppressAutoHyphens/>
              <w:jc w:val="center"/>
            </w:pPr>
            <w:r>
              <w:rPr>
                <w:b/>
                <w:bCs/>
                <w:sz w:val="17"/>
                <w:szCs w:val="17"/>
              </w:rPr>
              <w:t xml:space="preserve">SKAB</w:t>
            </w:r>
            <w:r>
              <w:rPr>
                <w:sz w:val="17"/>
                <w:szCs w:val="17"/>
              </w:rPr>
              <w:t xml:space="preserve"> </w:t>
            </w:r>
            <w:r>
              <w:rPr>
                <w:sz w:val="17"/>
                <w:szCs w:val="17"/>
              </w:rPr>
              <w:t xml:space="preserve"> </w:t>
            </w:r>
            <w:r>
              <w:rPr>
                <w:sz w:val="17"/>
                <w:szCs w:val="17"/>
              </w:rPr>
              <w:t xml:space="preserve">(test 631; normal 377; anom 254 = 69 easy + 185 difficult; matched normals: all 377 / easy 102 / difficult 275; GDN not run on SKAB)</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0.469</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1.000</w:t>
            </w:r>
          </w:p>
        </w:tc>
        <w:tc>
          <w:tcPr>
            <w:vAlign w:val="center"/>
          </w:tcPr>
          <w:p>
            <w:pPr>
              <w:pStyle w:val="Compact"/>
              <w:suppressAutoHyphens/>
              <w:jc w:val="center"/>
            </w:pPr>
            <w:r>
              <w:rPr>
                <w:sz w:val="17"/>
                <w:szCs w:val="17"/>
              </w:rPr>
              <w:t xml:space="preserve">0.996</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0.388</w:t>
            </w:r>
          </w:p>
        </w:tc>
        <w:tc>
          <w:tcPr>
            <w:vAlign w:val="center"/>
          </w:tcPr>
          <w:p>
            <w:pPr>
              <w:pStyle w:val="Compact"/>
              <w:suppressAutoHyphens/>
              <w:jc w:val="center"/>
            </w:pPr>
            <w:r>
              <w:rPr>
                <w:sz w:val="17"/>
                <w:szCs w:val="17"/>
              </w:rPr>
              <w:t xml:space="preserve">0.331</w:t>
            </w:r>
          </w:p>
        </w:tc>
        <w:tc>
          <w:tcPr>
            <w:vAlign w:val="center"/>
          </w:tcPr>
          <w:p>
            <w:pPr>
              <w:pStyle w:val="Compact"/>
              <w:suppressAutoHyphens/>
              <w:jc w:val="center"/>
            </w:pPr>
            <w:r>
              <w:rPr>
                <w:sz w:val="17"/>
                <w:szCs w:val="17"/>
              </w:rPr>
              <w:t xml:space="preserve">0.011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0.640</w:t>
            </w:r>
          </w:p>
        </w:tc>
        <w:tc>
          <w:tcPr>
            <w:vAlign w:val="center"/>
          </w:tcPr>
          <w:p>
            <w:pPr>
              <w:pStyle w:val="Compact"/>
              <w:suppressAutoHyphens/>
              <w:jc w:val="center"/>
            </w:pPr>
            <w:r>
              <w:rPr>
                <w:sz w:val="17"/>
                <w:szCs w:val="17"/>
              </w:rPr>
              <w:t xml:space="preserve">0.509</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0.885</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0.528</w:t>
            </w:r>
          </w:p>
        </w:tc>
        <w:tc>
          <w:tcPr>
            <w:vAlign w:val="center"/>
          </w:tcPr>
          <w:p>
            <w:pPr>
              <w:pStyle w:val="Compact"/>
              <w:suppressAutoHyphens/>
              <w:jc w:val="center"/>
            </w:pPr>
            <w:r>
              <w:rPr>
                <w:sz w:val="17"/>
                <w:szCs w:val="17"/>
              </w:rPr>
              <w:t xml:space="preserve">0.472</w:t>
            </w:r>
          </w:p>
        </w:tc>
        <w:tc>
          <w:tcPr>
            <w:vAlign w:val="center"/>
          </w:tcPr>
          <w:p>
            <w:pPr>
              <w:pStyle w:val="Compact"/>
              <w:suppressAutoHyphens/>
              <w:jc w:val="center"/>
            </w:pPr>
            <w:r>
              <w:rPr>
                <w:sz w:val="17"/>
                <w:szCs w:val="17"/>
              </w:rPr>
              <w:t xml:space="preserve">0.454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0.530</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0.910</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0.504</w:t>
            </w:r>
          </w:p>
        </w:tc>
        <w:tc>
          <w:tcPr>
            <w:vAlign w:val="center"/>
          </w:tcPr>
          <w:p>
            <w:pPr>
              <w:pStyle w:val="Compact"/>
              <w:suppressAutoHyphens/>
              <w:jc w:val="center"/>
            </w:pPr>
            <w:r>
              <w:rPr>
                <w:sz w:val="17"/>
                <w:szCs w:val="17"/>
              </w:rPr>
              <w:t xml:space="preserve">0.447</w:t>
            </w:r>
          </w:p>
        </w:tc>
        <w:tc>
          <w:tcPr>
            <w:vAlign w:val="center"/>
          </w:tcPr>
          <w:p>
            <w:pPr>
              <w:pStyle w:val="Compact"/>
              <w:suppressAutoHyphens/>
              <w:jc w:val="center"/>
            </w:pPr>
            <w:r>
              <w:rPr>
                <w:sz w:val="17"/>
                <w:szCs w:val="17"/>
              </w:rPr>
              <w:t xml:space="preserve">0.422</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0.651</w:t>
            </w:r>
          </w:p>
        </w:tc>
        <w:tc>
          <w:tcPr>
            <w:vAlign w:val="center"/>
          </w:tcPr>
          <w:p>
            <w:pPr>
              <w:pStyle w:val="Compact"/>
              <w:suppressAutoHyphens/>
              <w:jc w:val="center"/>
            </w:pPr>
            <w:r>
              <w:rPr>
                <w:sz w:val="17"/>
                <w:szCs w:val="17"/>
              </w:rPr>
              <w:t xml:space="preserve">0.537</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0.812</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0.591</w:t>
            </w:r>
          </w:p>
        </w:tc>
        <w:tc>
          <w:tcPr>
            <w:vAlign w:val="center"/>
          </w:tcPr>
          <w:p>
            <w:pPr>
              <w:pStyle w:val="Compact"/>
              <w:suppressAutoHyphens/>
              <w:jc w:val="center"/>
            </w:pPr>
            <w:r>
              <w:rPr>
                <w:sz w:val="17"/>
                <w:szCs w:val="17"/>
              </w:rPr>
              <w:t xml:space="preserve">0.497</w:t>
            </w:r>
          </w:p>
        </w:tc>
        <w:tc>
          <w:tcPr>
            <w:vAlign w:val="center"/>
          </w:tcPr>
          <w:p>
            <w:pPr>
              <w:pStyle w:val="Compact"/>
              <w:suppressAutoHyphens/>
              <w:jc w:val="center"/>
            </w:pPr>
            <w:r>
              <w:rPr>
                <w:sz w:val="17"/>
                <w:szCs w:val="17"/>
              </w:rPr>
              <w:t xml:space="preserve">0.416</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0.622</w:t>
            </w:r>
          </w:p>
        </w:tc>
        <w:tc>
          <w:tcPr>
            <w:vAlign w:val="center"/>
          </w:tcPr>
          <w:p>
            <w:pPr>
              <w:pStyle w:val="Compact"/>
              <w:suppressAutoHyphens/>
              <w:jc w:val="center"/>
            </w:pPr>
            <w:r>
              <w:rPr>
                <w:sz w:val="17"/>
                <w:szCs w:val="17"/>
              </w:rPr>
              <w:t xml:space="preserve">0.549</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0.932</w:t>
            </w:r>
          </w:p>
        </w:tc>
        <w:tc>
          <w:tcPr>
            <w:vAlign w:val="center"/>
          </w:tcPr>
          <w:p>
            <w:pPr>
              <w:pStyle w:val="Compact"/>
              <w:suppressAutoHyphens/>
              <w:jc w:val="center"/>
            </w:pPr>
            <w:r>
              <w:rPr>
                <w:sz w:val="17"/>
                <w:szCs w:val="17"/>
              </w:rPr>
              <w:t xml:space="preserve">0.864</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0.507</w:t>
            </w:r>
          </w:p>
        </w:tc>
        <w:tc>
          <w:tcPr>
            <w:vAlign w:val="center"/>
          </w:tcPr>
          <w:p>
            <w:pPr>
              <w:pStyle w:val="Compact"/>
              <w:suppressAutoHyphens/>
              <w:jc w:val="center"/>
            </w:pPr>
            <w:r>
              <w:rPr>
                <w:sz w:val="17"/>
                <w:szCs w:val="17"/>
              </w:rPr>
              <w:t xml:space="preserve">0.452</w:t>
            </w:r>
          </w:p>
        </w:tc>
        <w:tc>
          <w:tcPr>
            <w:vAlign w:val="center"/>
          </w:tcPr>
          <w:p>
            <w:pPr>
              <w:pStyle w:val="Compact"/>
              <w:suppressAutoHyphens/>
              <w:jc w:val="center"/>
            </w:pPr>
            <w:r>
              <w:rPr>
                <w:sz w:val="17"/>
                <w:szCs w:val="17"/>
              </w:rPr>
              <w:t xml:space="preserve">0.358</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0.579</w:t>
            </w:r>
          </w:p>
        </w:tc>
        <w:tc>
          <w:tcPr>
            <w:vAlign w:val="center"/>
          </w:tcPr>
          <w:p>
            <w:pPr>
              <w:pStyle w:val="Compact"/>
              <w:suppressAutoHyphens/>
              <w:jc w:val="center"/>
            </w:pPr>
            <w:r>
              <w:rPr>
                <w:sz w:val="17"/>
                <w:szCs w:val="17"/>
              </w:rPr>
              <w:t xml:space="preserve">0.479</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0.946</w:t>
            </w:r>
          </w:p>
        </w:tc>
        <w:tc>
          <w:tcPr>
            <w:vAlign w:val="center"/>
          </w:tcPr>
          <w:p>
            <w:pPr>
              <w:pStyle w:val="Compact"/>
              <w:suppressAutoHyphens/>
              <w:jc w:val="center"/>
            </w:pPr>
            <w:r>
              <w:rPr>
                <w:sz w:val="17"/>
                <w:szCs w:val="17"/>
              </w:rPr>
              <w:t xml:space="preserve">0.853</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0.442</w:t>
            </w:r>
          </w:p>
        </w:tc>
        <w:tc>
          <w:tcPr>
            <w:vAlign w:val="center"/>
          </w:tcPr>
          <w:p>
            <w:pPr>
              <w:pStyle w:val="Compact"/>
              <w:suppressAutoHyphens/>
              <w:jc w:val="center"/>
            </w:pPr>
            <w:r>
              <w:rPr>
                <w:sz w:val="17"/>
                <w:szCs w:val="17"/>
              </w:rPr>
              <w:t xml:space="preserve">0.381</w:t>
            </w:r>
          </w:p>
        </w:tc>
        <w:tc>
          <w:tcPr>
            <w:vAlign w:val="center"/>
          </w:tcPr>
          <w:p>
            <w:pPr>
              <w:pStyle w:val="Compact"/>
              <w:suppressAutoHyphens/>
              <w:jc w:val="center"/>
            </w:pPr>
            <w:r>
              <w:rPr>
                <w:sz w:val="17"/>
                <w:szCs w:val="17"/>
              </w:rPr>
              <w:t xml:space="preserve">0.294</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0.685</w:t>
            </w:r>
          </w:p>
        </w:tc>
        <w:tc>
          <w:tcPr>
            <w:vAlign w:val="center"/>
          </w:tcPr>
          <w:p>
            <w:pPr>
              <w:pStyle w:val="Compact"/>
              <w:suppressAutoHyphens/>
              <w:jc w:val="center"/>
            </w:pPr>
            <w:r>
              <w:rPr>
                <w:sz w:val="17"/>
                <w:szCs w:val="17"/>
              </w:rPr>
              <w:t xml:space="preserve">0.568</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0.883</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0.610</w:t>
            </w:r>
          </w:p>
        </w:tc>
        <w:tc>
          <w:tcPr>
            <w:vAlign w:val="center"/>
          </w:tcPr>
          <w:p>
            <w:pPr>
              <w:pStyle w:val="Compact"/>
              <w:suppressAutoHyphens/>
              <w:jc w:val="center"/>
            </w:pPr>
            <w:r>
              <w:rPr>
                <w:sz w:val="17"/>
                <w:szCs w:val="17"/>
              </w:rPr>
              <w:t xml:space="preserve">0.514</w:t>
            </w:r>
          </w:p>
        </w:tc>
        <w:tc>
          <w:tcPr>
            <w:vAlign w:val="center"/>
          </w:tcPr>
          <w:p>
            <w:pPr>
              <w:pStyle w:val="Compact"/>
              <w:suppressAutoHyphens/>
              <w:jc w:val="center"/>
            </w:pPr>
            <w:r>
              <w:rPr>
                <w:sz w:val="17"/>
                <w:szCs w:val="17"/>
              </w:rPr>
              <w:t xml:space="preserve">0.408</w:t>
            </w:r>
          </w:p>
        </w:tc>
      </w:tr>
    </w:tbl>
    <w:p>
      <w:pPr>
        <w:pStyle w:val="MDPI18keywords"/>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MDPI18keywords"/>
        <w:ind w:left="2608"/>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MDPI18keywords"/>
        <w:ind w:left="2608"/>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MDPI18keywords"/>
        <w:ind w:left="2608"/>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MDPI18keywords"/>
        <w:ind w:left="2608"/>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79095"/>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19"/>
                    <a:stretch>
                      <a:fillRect/>
                    </a:stretch>
                  </pic:blipFill>
                  <pic:spPr bwMode="auto">
                    <a:xfrm>
                      <a:off x="0" y="0"/>
                      <a:ext cx="4989830" cy="207909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Our detector wins the difficult column on</w:t>
      </w:r>
      <w:r>
        <w:t xml:space="preserve"> </w:t>
      </w:r>
      <w:r>
        <w:t xml:space="preserve">all three datasets: WADI 0.726 and HAI 0.831 by wide margins, SKAB 0.610 narrowly (vs USAD 0.591). All three deep</w:t>
      </w:r>
      <w:r>
        <w:t xml:space="preserve"> </w:t>
      </w:r>
      <w:r>
        <w:t xml:space="preserve">SOTA methods (USAD, TranAD, and, on WADI, GDN) sit well below. The margin is largest on HAI and WADI, the two</w:t>
      </w:r>
      <w:r>
        <w:t xml:space="preserve"> </w:t>
      </w:r>
      <w:r>
        <w:t xml:space="preserve">multimodal datasets the MIIM assumptions target; SKAB, the near-unimodal set, is the tightest. GDN was run on</w:t>
      </w:r>
      <w:r>
        <w:t xml:space="preserve"> </w:t>
      </w:r>
      <w:r>
        <w:t xml:space="preserve">WADI only.</w:t>
      </w:r>
    </w:p>
    <w:p>
      <w:pPr>
        <w:pStyle w:val="MDPI21heading1"/>
        <w:ind w:left="2608"/>
      </w:pPr>
      <w:r>
        <w:t xml:space="preserve">7  Discussion</w:t>
      </w:r>
    </w:p>
    <w:p>
      <w:pPr>
        <w:pStyle w:val="MDPI18keywords"/>
        <w:ind w:left="2608"/>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MDPI18keywords"/>
        <w:ind w:left="2608"/>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MDPI18keywords"/>
        <w:ind w:left="2608"/>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MDPI18keywords"/>
        <w:ind w:left="2608"/>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MDPI18keywords"/>
        <w:ind w:left="2608"/>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MDPI18keywords"/>
        <w:ind w:left="2608"/>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MDPI18keywords"/>
        <w:ind w:left="2608"/>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p>
      <w:pPr>
        <w:pStyle w:val="MDPI21heading1"/>
        <w:ind w:left="2608"/>
      </w:pPr>
      <w:r>
        <w:t xml:space="preserve">8  Conclusion</w:t>
      </w:r>
    </w:p>
    <w:p>
      <w:pPr>
        <w:pStyle w:val="MDPI18keywords"/>
        <w:ind w:left="2608"/>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source code supporting the reported results is available from the corresponding author on reasonable request.</w:t>
      </w:r>
    </w:p>
    <w:p>
      <w:pPr>
        <w:pStyle w:val="MDPI62backmatter"/>
        <w:ind w:left="2608"/>
      </w:pPr>
      <w:r>
        <w:rPr>
          <w:b/>
          <w:bCs/>
        </w:rPr>
        <w:t xml:space="preserve">Conflicts of Interest:</w:t>
      </w:r>
      <w:r>
        <w:t xml:space="preserve"> </w:t>
      </w:r>
      <w:r>
        <w:t xml:space="preserve">The authors declare no conflicts of interest.</w:t>
      </w:r>
    </w:p>
    <w:p>
      <w:pPr>
        <w:pStyle w:val="MDPI18keywords"/>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38"/>
    </w:p>
    <w:p>
      <w:pPr>
        <w:pStyle w:val="MDPI81references"/>
        <w:numPr>
          <w:ilvl w:val="0"/>
          <w:numId w:val="0"/>
        </w:numPr>
        <w:ind w:left="180" w:hanging="180"/>
      </w:pP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0"/>
    </w:p>
    <w:p>
      <w:pPr>
        <w:pStyle w:val="MDPI81references"/>
        <w:numPr>
          <w:ilvl w:val="0"/>
          <w:numId w:val="0"/>
        </w:numPr>
        <w:ind w:left="180" w:hanging="180"/>
      </w:pP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2"/>
    </w:p>
    <w:p>
      <w:pPr>
        <w:pStyle w:val="MDPI81references"/>
        <w:numPr>
          <w:ilvl w:val="0"/>
          <w:numId w:val="0"/>
        </w:numPr>
        <w:ind w:left="180" w:hanging="180"/>
      </w:pP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44"/>
    </w:p>
    <w:p>
      <w:pPr>
        <w:pStyle w:val="MDPI81references"/>
        <w:numPr>
          <w:ilvl w:val="0"/>
          <w:numId w:val="0"/>
        </w:numPr>
        <w:ind w:left="180" w:hanging="180"/>
      </w:pP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46"/>
    </w:p>
    <w:p>
      <w:pPr>
        <w:pStyle w:val="MDPI81references"/>
        <w:numPr>
          <w:ilvl w:val="0"/>
          <w:numId w:val="0"/>
        </w:numPr>
        <w:ind w:left="180" w:hanging="180"/>
      </w:pP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48"/>
    </w:p>
    <w:p>
      <w:pPr>
        <w:pStyle w:val="MDPI81references"/>
        <w:numPr>
          <w:ilvl w:val="0"/>
          <w:numId w:val="0"/>
        </w:numPr>
        <w:ind w:left="180" w:hanging="180"/>
      </w:pP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50"/>
    </w:p>
    <w:p>
      <w:pPr>
        <w:pStyle w:val="MDPI81references"/>
        <w:numPr>
          <w:ilvl w:val="0"/>
          <w:numId w:val="0"/>
        </w:numPr>
        <w:ind w:left="180" w:hanging="180"/>
      </w:pP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52"/>
    </w:p>
    <w:p>
      <w:pPr>
        <w:pStyle w:val="MDPI81references"/>
        <w:numPr>
          <w:ilvl w:val="0"/>
          <w:numId w:val="0"/>
        </w:numPr>
        <w:ind w:left="180" w:hanging="180"/>
      </w:pP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54"/>
    </w:p>
    <w:p>
      <w:pPr>
        <w:pStyle w:val="MDPI81references"/>
        <w:numPr>
          <w:ilvl w:val="0"/>
          <w:numId w:val="0"/>
        </w:numPr>
        <w:ind w:left="180" w:hanging="180"/>
      </w:pP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56"/>
    </w:p>
    <w:p>
      <w:pPr>
        <w:pStyle w:val="MDPI81references"/>
        <w:numPr>
          <w:ilvl w:val="0"/>
          <w:numId w:val="0"/>
        </w:numPr>
        <w:ind w:left="180" w:hanging="180"/>
      </w:pPr>
      <w:bookmarkStart w:id="58"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58"/>
    </w:p>
    <w:p>
      <w:pPr>
        <w:pStyle w:val="MDPI81references"/>
        <w:numPr>
          <w:ilvl w:val="0"/>
          <w:numId w:val="0"/>
        </w:numPr>
        <w:ind w:left="180" w:hanging="180"/>
      </w:pP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60"/>
    </w:p>
    <w:p>
      <w:pPr>
        <w:pStyle w:val="MDPI81references"/>
        <w:numPr>
          <w:ilvl w:val="0"/>
          <w:numId w:val="0"/>
        </w:numPr>
        <w:ind w:left="180" w:hanging="180"/>
      </w:pP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62"/>
    </w:p>
    <w:p>
      <w:pPr>
        <w:pStyle w:val="MDPI81references"/>
        <w:numPr>
          <w:ilvl w:val="0"/>
          <w:numId w:val="0"/>
        </w:numPr>
        <w:ind w:left="180" w:hanging="180"/>
      </w:pP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64"/>
    </w:p>
    <w:p>
      <w:pPr>
        <w:pStyle w:val="MDPI81references"/>
        <w:numPr>
          <w:ilvl w:val="0"/>
          <w:numId w:val="0"/>
        </w:numPr>
        <w:ind w:left="180" w:hanging="180"/>
      </w:pPr>
      <w:bookmarkStart w:id="66" w:name="r-skab"/>
      <w:r>
        <w:t xml:space="preserve">Katser, I.D.; Kozitsin, V.O.</w:t>
      </w:r>
      <w:r>
        <w:t xml:space="preserve"> </w:t>
      </w:r>
      <w:r>
        <w:rPr>
          <w:i/>
          <w:iCs/>
        </w:rPr>
        <w:t xml:space="preserve">Skoltech Anomaly Benchmark (SKAB)</w:t>
      </w:r>
      <w:r>
        <w:t xml:space="preserve">; Kaggle: 2020.</w:t>
      </w:r>
      <w:r>
        <w:t xml:space="preserve"> </w:t>
      </w:r>
      <w:hyperlink r:id="rId34">
        <w:r>
          <w:rPr>
            <w:rStyle w:val="Hyperlink"/>
          </w:rPr>
          <w:t xml:space="preserve">https://doi.org/10.34740/kaggle/dsv/1693952</w:t>
        </w:r>
      </w:hyperlink>
      <w:r>
        <w:t xml:space="preserve">.</w:t>
      </w:r>
      <w:bookmarkEnd w:id="66"/>
    </w:p>
    <w:p>
      <w:pPr>
        <w:pStyle w:val="MDPI81references"/>
        <w:numPr>
          <w:ilvl w:val="0"/>
          <w:numId w:val="0"/>
        </w:numPr>
        <w:ind w:left="180" w:hanging="180"/>
      </w:pP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68"/>
    </w:p>
    <w:p>
      <w:pPr>
        <w:pStyle w:val="MDPI81references"/>
        <w:numPr>
          <w:ilvl w:val="0"/>
          <w:numId w:val="0"/>
        </w:numPr>
        <w:ind w:left="180" w:hanging="180"/>
      </w:pP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70"/>
    </w:p>
    <w:p>
      <w:pPr>
        <w:pStyle w:val="MDPI81references"/>
        <w:numPr>
          <w:ilvl w:val="0"/>
          <w:numId w:val="0"/>
        </w:numPr>
        <w:ind w:left="180" w:hanging="180"/>
      </w:pP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72"/>
    </w:p>
    <w:p>
      <w:pPr>
        <w:pStyle w:val="MDPI81references"/>
        <w:numPr>
          <w:ilvl w:val="0"/>
          <w:numId w:val="0"/>
        </w:numPr>
        <w:ind w:left="180" w:hanging="180"/>
      </w:pP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74"/>
    </w:p>
    <w:p>
      <w:pPr>
        <w:pStyle w:val="MDPI81references"/>
        <w:numPr>
          <w:ilvl w:val="0"/>
          <w:numId w:val="0"/>
        </w:numPr>
        <w:ind w:left="180" w:hanging="180"/>
      </w:pP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80"/>
    </w:p>
    <w:p>
      <w:pPr>
        <w:pStyle w:val="MDPI81references"/>
        <w:numPr>
          <w:ilvl w:val="0"/>
          <w:numId w:val="0"/>
        </w:numPr>
        <w:ind w:left="180" w:hanging="180"/>
      </w:pP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82"/>
    </w:p>
    <w:p>
      <w:pPr>
        <w:pStyle w:val="MDPI81references"/>
        <w:numPr>
          <w:ilvl w:val="0"/>
          <w:numId w:val="0"/>
        </w:numPr>
        <w:ind w:left="180" w:hanging="180"/>
      </w:pP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84"/>
    </w:p>
    <w:p>
      <w:pPr>
        <w:pStyle w:val="MDPI81references"/>
        <w:numPr>
          <w:ilvl w:val="0"/>
          <w:numId w:val="0"/>
        </w:numPr>
        <w:ind w:left="180" w:hanging="180"/>
      </w:pP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86"/>
    </w:p>
    <w:p>
      <w:pPr>
        <w:pStyle w:val="MDPI81references"/>
        <w:numPr>
          <w:ilvl w:val="0"/>
          <w:numId w:val="0"/>
        </w:numPr>
        <w:ind w:left="180" w:hanging="180"/>
      </w:pP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88"/>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