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t>Article</w:t>
      </w:r>
    </w:p>
    <w:p w14:paraId="1799B668" w14:textId="77777777" w:rsidR="00BE70EC" w:rsidRPr="00A8086E" w:rsidRDefault="00BE70EC" w:rsidP="00BE70EC">
      <w:pPr>
        <w:pStyle w:val="MDPI12title"/>
      </w:pPr>
      <w:r w:rsidRPr="00A8086E">
        <w:t>Modeling Normal Is All You Need: Joint Latent Clustering for Anomaly Detection in Multimodal Cyber-Physical Systems and the Industrial IoT</w:t>
      </w:r>
    </w:p>
    <w:p w14:paraId="45F14EDD" w14:textId="77777777" w:rsidR="008C2EC5" w:rsidRPr="00A8086E" w:rsidRDefault="00BE70EC" w:rsidP="00BE70EC">
      <w:pPr>
        <w:pStyle w:val="MDPI13authornames"/>
      </w:pPr>
      <w:r w:rsidRPr="00A8086E">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t>Academic Editor: Firstname Lastname</w:t>
            </w:r>
          </w:p>
          <w:p w14:paraId="109293F2" w14:textId="77777777" w:rsidR="008C2EC5" w:rsidRPr="00A8086E" w:rsidRDefault="008C2EC5" w:rsidP="000E60BC">
            <w:pPr>
              <w:pStyle w:val="MDPI14history"/>
              <w:spacing w:before="120"/>
            </w:pPr>
            <w:r w:rsidRPr="00A8086E">
              <w:t>Received: date</w:t>
            </w:r>
          </w:p>
          <w:p w14:paraId="6242728B" w14:textId="77777777" w:rsidR="008C2EC5" w:rsidRPr="00A8086E" w:rsidRDefault="008C2EC5" w:rsidP="000E60BC">
            <w:pPr>
              <w:pStyle w:val="MDPI14history"/>
            </w:pPr>
            <w:r w:rsidRPr="00A8086E">
              <w:t>Revised: date</w:t>
            </w:r>
          </w:p>
          <w:p w14:paraId="2A313137" w14:textId="77777777" w:rsidR="008C2EC5" w:rsidRPr="00A8086E" w:rsidRDefault="008C2EC5" w:rsidP="000E60BC">
            <w:pPr>
              <w:pStyle w:val="MDPI14history"/>
            </w:pPr>
            <w:r w:rsidRPr="00A8086E">
              <w:t>Accepted: date</w:t>
            </w:r>
          </w:p>
          <w:p w14:paraId="3C39C1FA" w14:textId="77777777" w:rsidR="008C2EC5" w:rsidRPr="00A8086E" w:rsidRDefault="008C2EC5" w:rsidP="000E60BC">
            <w:pPr>
              <w:pStyle w:val="MDPI14history"/>
              <w:spacing w:after="120"/>
            </w:pPr>
            <w:r w:rsidRPr="00A8086E">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tab/>
        <w:t>Correspondence: alexanderap@hit.ac.il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directly in latent space rather than from a density estimate or reconstruction error. We evaluate the method using raw point-wise metrics, a split between easy and difficult cases defined by a trivial detector, prevalence-matched F1, and calibration using normal training data. Across WADI, HAI, and SKAB, the method performs best overall and on difficult subsets, achieving AUROC values of 0.831, 0.726, and 0.610, respectively. Gains are strongest on multimodal datasets and remain consistent against USAD, TranAD, and GDN. The contributions are the MIIM assumptions, the difficulty-stratified protocol, and a latent-only anomaly score.</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32textnoindent"/>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31text"/>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31text"/>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31text"/>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MDPI31text"/>
        <w:ind w:left="2608"/>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32textnoindent"/>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32textnoindent"/>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MDPI31text"/>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MDPI31text"/>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prevalence-matched F1; and re-computation of the</w:t>
      </w:r>
      <w:r>
        <w:t xml:space="preserve"> </w:t>
      </w:r>
      <w:r>
        <w:t xml:space="preserve">deep SOTA baselines (USAD, TranAD, GDN) under the</w:t>
      </w:r>
      <w:r>
        <w:t xml:space="preserve"> </w:t>
      </w:r>
      <w:r>
        <w:rPr>
          <w:i/>
          <w:iCs/>
        </w:rPr>
        <w:t xml:space="preserve">same</w:t>
      </w:r>
      <w:r>
        <w:t xml:space="preserve"> </w:t>
      </w:r>
      <w:r>
        <w:t xml:space="preserve">raw metrics rather than their point-adjusted</w:t>
      </w:r>
      <w:r>
        <w:t xml:space="preserve"> </w:t>
      </w:r>
      <w:r>
        <w:t xml:space="preserve">published figures (§5).</w:t>
      </w:r>
    </w:p>
    <w:p>
      <w:pPr>
        <w:pStyle w:val="MDPI22heading2"/>
        <w:ind w:left="2608"/>
      </w:pPr>
      <w:r>
        <w:t xml:space="preserve">2.2  Latent and clustering models for anomaly detection</w:t>
      </w:r>
    </w:p>
    <w:p>
      <w:pPr>
        <w:pStyle w:val="MDPI32textnoindent"/>
        <w:ind w:left="2608"/>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32textnoindent"/>
        <w:ind w:left="2608"/>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the same raw,</w:t>
      </w:r>
      <w:r>
        <w:t xml:space="preserve"> </w:t>
      </w:r>
      <w:r>
        <w:t xml:space="preserve">difficulty-stratified metrics (GDN on WADI, where the graph-attention model fits our compute budget); the</w:t>
      </w:r>
      <w:r>
        <w:t xml:space="preserve"> </w:t>
      </w:r>
      <w:r>
        <w:t xml:space="preserve">re-scored comparison is reported in §6.</w:t>
      </w:r>
    </w:p>
    <w:p>
      <w:pPr>
        <w:pStyle w:val="MDPI22heading2"/>
        <w:ind w:left="2608"/>
      </w:pPr>
      <w:r>
        <w:t xml:space="preserve">2.4  Benchmark datasets</w:t>
      </w:r>
    </w:p>
    <w:p>
      <w:pPr>
        <w:pStyle w:val="MDPI32textnoindent"/>
        <w:ind w:left="2608"/>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p>
      <w:pPr>
        <w:pStyle w:val="MDPI21heading1"/>
        <w:ind w:left="2608"/>
      </w:pPr>
      <w:r>
        <w:t xml:space="preserve">3  The MIIM assumptions about CPS normal data</w:t>
      </w:r>
    </w:p>
    <w:p>
      <w:pPr>
        <w:pStyle w:val="MDPI32textnoindent"/>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31text"/>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32textnoindent"/>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31text"/>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32textnoindent"/>
        <w:ind w:left="2608"/>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32textnoindent"/>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drop reconstruction</w:t>
      </w:r>
    </w:p>
    <w:p>
      <w:pPr>
        <w:pStyle w:val="MDPI32textnoindent"/>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The reconstruction</w:t>
      </w:r>
      <w:r>
        <w:t xml:space="preserve"> </w:t>
      </w:r>
      <w:r>
        <w:t xml:space="preserve">residual is at or below chance on the correlation-break faults, and when summed it drags the joint score down;</w:t>
      </w:r>
      <w:r>
        <w:t xml:space="preserve"> </w:t>
      </w:r>
      <w:r>
        <w:t xml:space="preserve">the latent likelihood carries the signal but a single diagonal Gaussian per mode is coarse.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722"/>
        <w:gridCol w:w="1084"/>
        <w:gridCol w:w="975"/>
        <w:gridCol w:w="1077"/>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SKAB</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c>
          <w:tcPr>
            <w:vAlign w:val="center"/>
          </w:tcPr>
          <w:p>
            <w:pPr>
              <w:pStyle w:val="Compact"/>
              <w:suppressAutoHyphens/>
              <w:jc w:val="center"/>
            </w:pPr>
            <w:r>
              <w:rPr>
                <w:sz w:val="18"/>
                <w:szCs w:val="18"/>
              </w:rPr>
              <w:t xml:space="preserve">0.553</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bl>
    <w:p>
      <w:pPr>
        <w:pStyle w:val="MDPI31text"/>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p>
      <w:pPr>
        <w:pStyle w:val="MDPI22heading2"/>
        <w:ind w:left="2608"/>
      </w:pPr>
      <w:r>
        <w:t xml:space="preserve">4.3  The scoring stack</w:t>
      </w:r>
    </w:p>
    <w:p>
      <w:pPr>
        <w:pStyle w:val="MDPI32textnoindent"/>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32textnoindent"/>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32textnoindent"/>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32textnoindent"/>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32textnoindent"/>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32textnoindent"/>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MDPI31text"/>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32textnoindent"/>
        <w:ind w:left="2608"/>
      </w:pPr>
      <w:r>
        <w:t xml:space="preserve">We use three real CPS datasets and no synthetic data in the results tables.</w:t>
      </w:r>
    </w:p>
    <w:p>
      <w:pPr>
        <w:pStyle w:val="MDPI38bullet"/>
        <w:numPr>
          <w:ilvl w:val="0"/>
          <w:numId w:val="2"/>
        </w:numPr>
        <w:ind w:left="3328" w:hanging="360"/>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MDPI38bullet"/>
        <w:numPr>
          <w:ilvl w:val="0"/>
          <w:numId w:val="2"/>
        </w:numPr>
        <w:ind w:left="3328" w:hanging="360"/>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MDPI38bullet"/>
        <w:numPr>
          <w:ilvl w:val="0"/>
          <w:numId w:val="2"/>
        </w:numPr>
        <w:ind w:left="3328" w:hanging="360"/>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p>
      <w:pPr>
        <w:pStyle w:val="MDPI22heading2"/>
        <w:ind w:left="2608"/>
      </w:pPr>
      <w:r>
        <w:t xml:space="preserve">5.2  Windows and features</w:t>
      </w:r>
    </w:p>
    <w:p>
      <w:pPr>
        <w:pStyle w:val="MDPI32textnoindent"/>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p>
      <w:pPr>
        <w:pStyle w:val="MDPI22heading2"/>
        <w:ind w:left="2608"/>
      </w:pPr>
      <w:r>
        <w:t xml:space="preserve">5.3  Difficulty stratification</w:t>
      </w:r>
    </w:p>
    <w:p>
      <w:pPr>
        <w:pStyle w:val="MDPI32textnoindent"/>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32textnoindent"/>
        <w:ind w:left="2608"/>
      </w:pPr>
      <w:r>
        <w:t xml:space="preserve">We report three raw, point-wise metrics and are explicit about their comparability across subsets.</w:t>
      </w:r>
    </w:p>
    <w:p>
      <w:pPr>
        <w:pStyle w:val="MDPI38bullet"/>
        <w:numPr>
          <w:ilvl w:val="0"/>
          <w:numId w:val="2"/>
        </w:numPr>
        <w:ind w:left="3328" w:hanging="360"/>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MDPI38bullet"/>
        <w:numPr>
          <w:ilvl w:val="0"/>
          <w:numId w:val="2"/>
        </w:numPr>
        <w:ind w:left="3328" w:hanging="360"/>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MDPI38bullet"/>
        <w:numPr>
          <w:ilvl w:val="0"/>
          <w:numId w:val="2"/>
        </w:numPr>
        <w:ind w:left="3328" w:hanging="360"/>
      </w:pPr>
      <w:r>
        <w:rPr>
          <w:b/>
          <w:bCs/>
        </w:rPr>
        <w:t xml:space="preserve">FPR</w:t>
      </w:r>
      <w:r>
        <w:t xml:space="preserve"> </w:t>
      </w:r>
      <w:r>
        <w:t xml:space="preserve">is reported at a fixed operating point. It shares the oracle-threshold caveat.</w:t>
      </w:r>
    </w:p>
    <w:p>
      <w:pPr>
        <w:pStyle w:val="MDPI32textnoindent"/>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p>
      <w:pPr>
        <w:pStyle w:val="MDPI22heading2"/>
        <w:ind w:left="2608"/>
      </w:pPr>
      <w:r>
        <w:t xml:space="preserve">5.5  Baselines and SOTA re-computation</w:t>
      </w:r>
    </w:p>
    <w:p>
      <w:pPr>
        <w:pStyle w:val="MDPI32textnoindent"/>
        <w:ind w:left="2608"/>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32textnoindent"/>
        <w:ind w:left="2608"/>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MDPI41tablecaption"/>
        <w:ind w:left="2608"/>
      </w:pPr>
      <w:r>
        <w:rPr>
          <w:b/>
          <w:bCs/>
        </w:rPr>
        <w:t xml:space="preserve">Table 3.</w:t>
      </w:r>
      <w:r>
        <w:t xml:space="preserve"> </w:t>
      </w:r>
      <w:r>
        <w:t xml:space="preserve">Per-dataset, per-subset results: [AUROC, F1, FPR]. F1 is prevalence-matched;</w:t>
      </w:r>
      <w:r>
        <w:t xml:space="preserve"> </w:t>
      </w:r>
      <w:r>
        <w:t xml:space="preserve">the F1/FPR threshold is a disclosed oracle; AUROC is leak-free. Higher AUROC/F1 and lower FPR are better. Bold</w:t>
      </w:r>
      <w:r>
        <w:t xml:space="preserve"> </w:t>
      </w:r>
      <w:r>
        <w:t xml:space="preserve">= best AUROC in that dataset×subset column (ties bolded jointly). “Ours” = VaDE family; the</w:t>
      </w:r>
      <w:r>
        <w:t xml:space="preserve"> </w:t>
      </w:r>
      <w:r>
        <w:t xml:space="preserve">headline model is VaDE-hard+resid(auto). The</w:t>
      </w:r>
      <w:r>
        <w:t xml:space="preserve"> </w:t>
      </w:r>
      <w:r>
        <w:rPr>
          <w:i/>
          <w:iCs/>
        </w:rPr>
        <w:t xml:space="preserve">trivial max|z|</w:t>
      </w:r>
      <w:r>
        <w:t xml:space="preserve"> </w:t>
      </w:r>
      <w:r>
        <w:t xml:space="preserve">row is the univariate range rule that</w:t>
      </w:r>
      <w:r>
        <w:t xml:space="preserve"> </w:t>
      </w:r>
      <w:r>
        <w:t xml:space="preserve">defines the difficulty split (§5.3): near-perfect on Easy (SKAB 1.000, HAI 0.966), near chance on Difficult</w:t>
      </w:r>
      <w:r>
        <w:t xml:space="preserve"> </w:t>
      </w:r>
      <w:r>
        <w:t xml:space="preserve">(0.31–0.39), which is exactly what makes the split meaningful. GDN is reported on WADI only (§5.5);</w:t>
      </w:r>
      <w:r>
        <w:t xml:space="preserve"> </w:t>
      </w:r>
      <w:r>
        <w:t xml:space="preserve">“n/a” marks a cell not run.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335"/>
        <w:gridCol w:w="771"/>
        <w:gridCol w:w="781"/>
        <w:gridCol w:w="568"/>
        <w:gridCol w:w="568"/>
        <w:gridCol w:w="781"/>
        <w:gridCol w:w="568"/>
        <w:gridCol w:w="568"/>
        <w:gridCol w:w="781"/>
        <w:gridCol w:w="568"/>
        <w:gridCol w:w="569"/>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3"/>
            <w:vAlign w:val="center"/>
          </w:tcPr>
          <w:p>
            <w:pPr>
              <w:pStyle w:val="Compact"/>
              <w:suppressAutoHyphens/>
              <w:jc w:val="center"/>
            </w:pPr>
            <w:r>
              <w:rPr>
                <w:b/>
                <w:sz w:val="17"/>
                <w:szCs w:val="17"/>
              </w:rPr>
              <w:t xml:space="preserve">All</w:t>
            </w:r>
          </w:p>
        </w:tc>
        <w:tc>
          <w:tcPr>
            <w:gridSpan w:val="3"/>
            <w:vAlign w:val="center"/>
          </w:tcPr>
          <w:p>
            <w:pPr>
              <w:pStyle w:val="Compact"/>
              <w:suppressAutoHyphens/>
              <w:jc w:val="center"/>
            </w:pPr>
            <w:r>
              <w:rPr>
                <w:b/>
                <w:sz w:val="17"/>
                <w:szCs w:val="17"/>
              </w:rPr>
              <w:t xml:space="preserve">Easy</w:t>
            </w:r>
          </w:p>
        </w:tc>
        <w:tc>
          <w:tcPr>
            <w:gridSpan w:val="3"/>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r>
      <w:tr>
        <w:tc>
          <w:tcPr>
            <w:gridSpan w:val="11"/>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(test 575; normal 519; anom 56 = 37 easy + 19 difficult; matched normals: all 519 / easy 343 / difficult 176)</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0.558</w:t>
            </w:r>
          </w:p>
        </w:tc>
        <w:tc>
          <w:tcPr>
            <w:vAlign w:val="center"/>
          </w:tcPr>
          <w:p>
            <w:pPr>
              <w:pStyle w:val="Compact"/>
              <w:suppressAutoHyphens/>
              <w:jc w:val="center"/>
            </w:pPr>
            <w:r>
              <w:rPr>
                <w:sz w:val="17"/>
                <w:szCs w:val="17"/>
              </w:rPr>
              <w:t xml:space="preserve">0.219</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0.687</w:t>
            </w:r>
          </w:p>
        </w:tc>
        <w:tc>
          <w:tcPr>
            <w:vAlign w:val="center"/>
          </w:tcPr>
          <w:p>
            <w:pPr>
              <w:pStyle w:val="Compact"/>
              <w:suppressAutoHyphens/>
              <w:jc w:val="center"/>
            </w:pPr>
            <w:r>
              <w:rPr>
                <w:sz w:val="17"/>
                <w:szCs w:val="17"/>
              </w:rPr>
              <w:t xml:space="preserve">0.287</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0.204</w:t>
            </w:r>
          </w:p>
        </w:tc>
        <w:tc>
          <w:tcPr>
            <w:vAlign w:val="center"/>
          </w:tcPr>
          <w:p>
            <w:pPr>
              <w:pStyle w:val="Compact"/>
              <w:suppressAutoHyphens/>
              <w:jc w:val="center"/>
            </w:pPr>
            <w:r>
              <w:rPr>
                <w:sz w:val="17"/>
                <w:szCs w:val="17"/>
              </w:rPr>
              <w:t xml:space="preserve">0.738</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0.730</w:t>
            </w:r>
          </w:p>
        </w:tc>
        <w:tc>
          <w:tcPr>
            <w:vAlign w:val="center"/>
          </w:tcPr>
          <w:p>
            <w:pPr>
              <w:pStyle w:val="Compact"/>
              <w:suppressAutoHyphens/>
              <w:jc w:val="center"/>
            </w:pPr>
            <w:r>
              <w:rPr>
                <w:sz w:val="17"/>
                <w:szCs w:val="17"/>
              </w:rPr>
              <w:t xml:space="preserve">0.380</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0.748</w:t>
            </w:r>
          </w:p>
        </w:tc>
        <w:tc>
          <w:tcPr>
            <w:vAlign w:val="center"/>
          </w:tcPr>
          <w:p>
            <w:pPr>
              <w:pStyle w:val="Compact"/>
              <w:suppressAutoHyphens/>
              <w:jc w:val="center"/>
            </w:pPr>
            <w:r>
              <w:rPr>
                <w:sz w:val="17"/>
                <w:szCs w:val="17"/>
              </w:rPr>
              <w:t xml:space="preserve">0.444</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0.696</w:t>
            </w:r>
          </w:p>
        </w:tc>
        <w:tc>
          <w:tcPr>
            <w:vAlign w:val="center"/>
          </w:tcPr>
          <w:p>
            <w:pPr>
              <w:pStyle w:val="Compact"/>
              <w:suppressAutoHyphens/>
              <w:jc w:val="center"/>
            </w:pPr>
            <w:r>
              <w:rPr>
                <w:sz w:val="17"/>
                <w:szCs w:val="17"/>
              </w:rPr>
              <w:t xml:space="preserve">0.292</w:t>
            </w:r>
          </w:p>
        </w:tc>
        <w:tc>
          <w:tcPr>
            <w:vAlign w:val="center"/>
          </w:tcPr>
          <w:p>
            <w:pPr>
              <w:pStyle w:val="Compact"/>
              <w:suppressAutoHyphens/>
              <w:jc w:val="center"/>
            </w:pPr>
            <w:r>
              <w:rPr>
                <w:sz w:val="17"/>
                <w:szCs w:val="17"/>
              </w:rPr>
              <w:t xml:space="preserve">0.139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0.745</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0.907</w:t>
            </w:r>
          </w:p>
        </w:tc>
        <w:tc>
          <w:tcPr>
            <w:vAlign w:val="center"/>
          </w:tcPr>
          <w:p>
            <w:pPr>
              <w:pStyle w:val="Compact"/>
              <w:suppressAutoHyphens/>
              <w:jc w:val="center"/>
            </w:pPr>
            <w:r>
              <w:rPr>
                <w:sz w:val="17"/>
                <w:szCs w:val="17"/>
              </w:rPr>
              <w:t xml:space="preserve">0.749</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0.430</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0.010</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0.686</w:t>
            </w:r>
          </w:p>
        </w:tc>
        <w:tc>
          <w:tcPr>
            <w:vAlign w:val="center"/>
          </w:tcPr>
          <w:p>
            <w:pPr>
              <w:pStyle w:val="Compact"/>
              <w:suppressAutoHyphens/>
              <w:jc w:val="center"/>
            </w:pPr>
            <w:r>
              <w:rPr>
                <w:sz w:val="17"/>
                <w:szCs w:val="17"/>
              </w:rPr>
              <w:t xml:space="preserve">0.288</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0.754</w:t>
            </w:r>
          </w:p>
        </w:tc>
        <w:tc>
          <w:tcPr>
            <w:vAlign w:val="center"/>
          </w:tcPr>
          <w:p>
            <w:pPr>
              <w:pStyle w:val="Compact"/>
              <w:suppressAutoHyphens/>
              <w:jc w:val="center"/>
            </w:pPr>
            <w:r>
              <w:rPr>
                <w:sz w:val="17"/>
                <w:szCs w:val="17"/>
              </w:rPr>
              <w:t xml:space="preserve">0.344</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0.234</w:t>
            </w:r>
          </w:p>
        </w:tc>
        <w:tc>
          <w:tcPr>
            <w:vAlign w:val="center"/>
          </w:tcPr>
          <w:p>
            <w:pPr>
              <w:pStyle w:val="Compact"/>
              <w:suppressAutoHyphens/>
              <w:jc w:val="center"/>
            </w:pPr>
            <w:r>
              <w:rPr>
                <w:sz w:val="17"/>
                <w:szCs w:val="17"/>
              </w:rPr>
              <w:t xml:space="preserve">0.304</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0.709</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0.791</w:t>
            </w:r>
          </w:p>
        </w:tc>
        <w:tc>
          <w:tcPr>
            <w:vAlign w:val="center"/>
          </w:tcPr>
          <w:p>
            <w:pPr>
              <w:pStyle w:val="Compact"/>
              <w:suppressAutoHyphens/>
              <w:jc w:val="center"/>
            </w:pPr>
            <w:r>
              <w:rPr>
                <w:sz w:val="17"/>
                <w:szCs w:val="17"/>
              </w:rPr>
              <w:t xml:space="preserve">0.359</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0.547</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0.301</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0.760</w:t>
            </w:r>
          </w:p>
        </w:tc>
        <w:tc>
          <w:tcPr>
            <w:vAlign w:val="center"/>
          </w:tcPr>
          <w:p>
            <w:pPr>
              <w:pStyle w:val="Compact"/>
              <w:suppressAutoHyphens/>
              <w:jc w:val="center"/>
            </w:pPr>
            <w:r>
              <w:rPr>
                <w:sz w:val="17"/>
                <w:szCs w:val="17"/>
              </w:rPr>
              <w:t xml:space="preserve">0.348</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0.582</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0.262</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0.787</w:t>
            </w:r>
          </w:p>
        </w:tc>
        <w:tc>
          <w:tcPr>
            <w:vAlign w:val="center"/>
          </w:tcPr>
          <w:p>
            <w:pPr>
              <w:pStyle w:val="Compact"/>
              <w:suppressAutoHyphens/>
              <w:jc w:val="center"/>
            </w:pPr>
            <w:r>
              <w:rPr>
                <w:sz w:val="17"/>
                <w:szCs w:val="17"/>
              </w:rPr>
              <w:t xml:space="preserve">0.653</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0.938</w:t>
            </w:r>
          </w:p>
        </w:tc>
        <w:tc>
          <w:tcPr>
            <w:vAlign w:val="center"/>
          </w:tcPr>
          <w:p>
            <w:pPr>
              <w:pStyle w:val="Compact"/>
              <w:suppressAutoHyphens/>
              <w:jc w:val="center"/>
            </w:pPr>
            <w:r>
              <w:rPr>
                <w:sz w:val="17"/>
                <w:szCs w:val="17"/>
              </w:rPr>
              <w:t xml:space="preserve">0.798</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0.494</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0.543</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0.697</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0.726</w:t>
            </w:r>
          </w:p>
        </w:tc>
        <w:tc>
          <w:tcPr>
            <w:vAlign w:val="center"/>
          </w:tcPr>
          <w:p>
            <w:pPr>
              <w:pStyle w:val="Compact"/>
              <w:suppressAutoHyphens/>
              <w:jc w:val="center"/>
            </w:pPr>
            <w:r>
              <w:rPr>
                <w:sz w:val="17"/>
                <w:szCs w:val="17"/>
              </w:rPr>
              <w:t xml:space="preserve">0.327</w:t>
            </w:r>
          </w:p>
        </w:tc>
        <w:tc>
          <w:tcPr>
            <w:vAlign w:val="center"/>
          </w:tcPr>
          <w:p>
            <w:pPr>
              <w:pStyle w:val="Compact"/>
              <w:suppressAutoHyphens/>
              <w:jc w:val="center"/>
            </w:pPr>
            <w:r>
              <w:rPr>
                <w:sz w:val="17"/>
                <w:szCs w:val="17"/>
              </w:rPr>
              <w:t xml:space="preserve">0.006</w:t>
            </w:r>
          </w:p>
        </w:tc>
      </w:tr>
      <w:tr>
        <w:tc>
          <w:tcPr>
            <w:gridSpan w:val="11"/>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(test 14819; normal 14167; anom 652 = 485 easy + 167 difficult; matched normals: all 14167 / easy 10538 / difficult 3629; GDN not run on HAI)</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0.627</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0.786</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0.040</w:t>
            </w:r>
          </w:p>
        </w:tc>
        <w:tc>
          <w:tcPr>
            <w:vAlign w:val="center"/>
          </w:tcPr>
          <w:p>
            <w:pPr>
              <w:pStyle w:val="Compact"/>
              <w:suppressAutoHyphens/>
              <w:jc w:val="center"/>
            </w:pPr>
            <w:r>
              <w:rPr>
                <w:sz w:val="17"/>
                <w:szCs w:val="17"/>
              </w:rPr>
              <w:t xml:space="preserve">0.001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0.854</w:t>
            </w:r>
          </w:p>
        </w:tc>
        <w:tc>
          <w:tcPr>
            <w:vAlign w:val="center"/>
          </w:tcPr>
          <w:p>
            <w:pPr>
              <w:pStyle w:val="Compact"/>
              <w:suppressAutoHyphens/>
              <w:jc w:val="center"/>
            </w:pPr>
            <w:r>
              <w:rPr>
                <w:sz w:val="17"/>
                <w:szCs w:val="17"/>
              </w:rPr>
              <w:t xml:space="preserve">0.445</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0.933</w:t>
            </w:r>
          </w:p>
        </w:tc>
        <w:tc>
          <w:tcPr>
            <w:vAlign w:val="center"/>
          </w:tcPr>
          <w:p>
            <w:pPr>
              <w:pStyle w:val="Compact"/>
              <w:suppressAutoHyphens/>
              <w:jc w:val="center"/>
            </w:pPr>
            <w:r>
              <w:rPr>
                <w:sz w:val="17"/>
                <w:szCs w:val="17"/>
              </w:rPr>
              <w:t xml:space="preserve">0.533</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0.625</w:t>
            </w:r>
          </w:p>
        </w:tc>
        <w:tc>
          <w:tcPr>
            <w:vAlign w:val="center"/>
          </w:tcPr>
          <w:p>
            <w:pPr>
              <w:pStyle w:val="Compact"/>
              <w:suppressAutoHyphens/>
              <w:jc w:val="center"/>
            </w:pPr>
            <w:r>
              <w:rPr>
                <w:sz w:val="17"/>
                <w:szCs w:val="17"/>
              </w:rPr>
              <w:t xml:space="preserve">0.129</w:t>
            </w:r>
          </w:p>
        </w:tc>
        <w:tc>
          <w:tcPr>
            <w:vAlign w:val="center"/>
          </w:tcPr>
          <w:p>
            <w:pPr>
              <w:pStyle w:val="Compact"/>
              <w:suppressAutoHyphens/>
              <w:jc w:val="center"/>
            </w:pPr>
            <w:r>
              <w:rPr>
                <w:sz w:val="17"/>
                <w:szCs w:val="17"/>
              </w:rPr>
              <w:t xml:space="preserve">0.024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0.828</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0.758</w:t>
            </w:r>
          </w:p>
        </w:tc>
        <w:tc>
          <w:tcPr>
            <w:vAlign w:val="center"/>
          </w:tcPr>
          <w:p>
            <w:pPr>
              <w:pStyle w:val="Compact"/>
              <w:suppressAutoHyphens/>
              <w:jc w:val="center"/>
            </w:pPr>
            <w:r>
              <w:rPr>
                <w:sz w:val="17"/>
                <w:szCs w:val="17"/>
              </w:rPr>
              <w:t xml:space="preserve">0.412</w:t>
            </w:r>
          </w:p>
        </w:tc>
        <w:tc>
          <w:tcPr>
            <w:vAlign w:val="center"/>
          </w:tcPr>
          <w:p>
            <w:pPr>
              <w:pStyle w:val="Compact"/>
              <w:suppressAutoHyphens/>
              <w:jc w:val="center"/>
            </w:pPr>
            <w:r>
              <w:rPr>
                <w:sz w:val="17"/>
                <w:szCs w:val="17"/>
              </w:rPr>
              <w:t xml:space="preserve">0.005</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0.845</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0.830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0.487</w:t>
            </w:r>
          </w:p>
        </w:tc>
        <w:tc>
          <w:tcPr>
            <w:vAlign w:val="center"/>
          </w:tcPr>
          <w:p>
            <w:pPr>
              <w:pStyle w:val="Compact"/>
              <w:suppressAutoHyphens/>
              <w:jc w:val="center"/>
            </w:pPr>
            <w:r>
              <w:rPr>
                <w:sz w:val="17"/>
                <w:szCs w:val="17"/>
              </w:rPr>
              <w:t xml:space="preserve">0.100</w:t>
            </w:r>
          </w:p>
        </w:tc>
        <w:tc>
          <w:tcPr>
            <w:vAlign w:val="center"/>
          </w:tcPr>
          <w:p>
            <w:pPr>
              <w:pStyle w:val="Compact"/>
              <w:suppressAutoHyphens/>
              <w:jc w:val="center"/>
            </w:pPr>
            <w:r>
              <w:rPr>
                <w:sz w:val="17"/>
                <w:szCs w:val="17"/>
              </w:rPr>
              <w:t xml:space="preserve">0.007</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0.704</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0.971</w:t>
            </w:r>
          </w:p>
        </w:tc>
        <w:tc>
          <w:tcPr>
            <w:vAlign w:val="center"/>
          </w:tcPr>
          <w:p>
            <w:pPr>
              <w:pStyle w:val="Compact"/>
              <w:suppressAutoHyphens/>
              <w:jc w:val="center"/>
            </w:pPr>
            <w:r>
              <w:rPr>
                <w:sz w:val="17"/>
                <w:szCs w:val="17"/>
              </w:rPr>
              <w:t xml:space="preserve">0.838</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0.467</w:t>
            </w:r>
          </w:p>
        </w:tc>
        <w:tc>
          <w:tcPr>
            <w:vAlign w:val="center"/>
          </w:tcPr>
          <w:p>
            <w:pPr>
              <w:pStyle w:val="Compact"/>
              <w:suppressAutoHyphens/>
              <w:jc w:val="center"/>
            </w:pPr>
            <w:r>
              <w:rPr>
                <w:sz w:val="17"/>
                <w:szCs w:val="17"/>
              </w:rPr>
              <w:t xml:space="preserve">0.105</w:t>
            </w:r>
          </w:p>
        </w:tc>
        <w:tc>
          <w:tcPr>
            <w:vAlign w:val="center"/>
          </w:tcPr>
          <w:p>
            <w:pPr>
              <w:pStyle w:val="Compact"/>
              <w:suppressAutoHyphens/>
              <w:jc w:val="center"/>
            </w:pPr>
            <w:r>
              <w:rPr>
                <w:sz w:val="17"/>
                <w:szCs w:val="17"/>
              </w:rPr>
              <w:t xml:space="preserve">0.004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0.894</w:t>
            </w:r>
          </w:p>
        </w:tc>
        <w:tc>
          <w:tcPr>
            <w:vAlign w:val="center"/>
          </w:tcPr>
          <w:p>
            <w:pPr>
              <w:pStyle w:val="Compact"/>
              <w:suppressAutoHyphens/>
              <w:jc w:val="center"/>
            </w:pPr>
            <w:r>
              <w:rPr>
                <w:sz w:val="17"/>
                <w:szCs w:val="17"/>
              </w:rPr>
              <w:t xml:space="preserve">0.757</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0.965</w:t>
            </w:r>
          </w:p>
        </w:tc>
        <w:tc>
          <w:tcPr>
            <w:vAlign w:val="center"/>
          </w:tcPr>
          <w:p>
            <w:pPr>
              <w:pStyle w:val="Compact"/>
              <w:suppressAutoHyphens/>
              <w:jc w:val="center"/>
            </w:pPr>
            <w:r>
              <w:rPr>
                <w:sz w:val="17"/>
                <w:szCs w:val="17"/>
              </w:rPr>
              <w:t xml:space="preserve">0.849</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0.688</w:t>
            </w:r>
          </w:p>
        </w:tc>
        <w:tc>
          <w:tcPr>
            <w:vAlign w:val="center"/>
          </w:tcPr>
          <w:p>
            <w:pPr>
              <w:pStyle w:val="Compact"/>
              <w:suppressAutoHyphens/>
              <w:jc w:val="center"/>
            </w:pPr>
            <w:r>
              <w:rPr>
                <w:sz w:val="17"/>
                <w:szCs w:val="17"/>
              </w:rPr>
              <w:t xml:space="preserve">0.337</w:t>
            </w:r>
          </w:p>
        </w:tc>
        <w:tc>
          <w:tcPr>
            <w:vAlign w:val="center"/>
          </w:tcPr>
          <w:p>
            <w:pPr>
              <w:pStyle w:val="Compact"/>
              <w:suppressAutoHyphens/>
              <w:jc w:val="center"/>
            </w:pPr>
            <w:r>
              <w:rPr>
                <w:sz w:val="17"/>
                <w:szCs w:val="17"/>
              </w:rPr>
              <w:t xml:space="preserve">0.002</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0.820</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0.831</w:t>
            </w:r>
          </w:p>
        </w:tc>
        <w:tc>
          <w:tcPr>
            <w:vAlign w:val="center"/>
          </w:tcPr>
          <w:p>
            <w:pPr>
              <w:pStyle w:val="Compact"/>
              <w:suppressAutoHyphens/>
              <w:jc w:val="center"/>
            </w:pPr>
            <w:r>
              <w:rPr>
                <w:sz w:val="17"/>
                <w:szCs w:val="17"/>
              </w:rPr>
              <w:t xml:space="preserve">0.443</w:t>
            </w:r>
          </w:p>
        </w:tc>
        <w:tc>
          <w:tcPr>
            <w:vAlign w:val="center"/>
          </w:tcPr>
          <w:p>
            <w:pPr>
              <w:pStyle w:val="Compact"/>
              <w:suppressAutoHyphens/>
              <w:jc w:val="center"/>
            </w:pPr>
            <w:r>
              <w:rPr>
                <w:sz w:val="17"/>
                <w:szCs w:val="17"/>
              </w:rPr>
              <w:t xml:space="preserve">0.005</w:t>
            </w:r>
          </w:p>
        </w:tc>
      </w:tr>
      <w:tr>
        <w:tc>
          <w:tcPr>
            <w:gridSpan w:val="11"/>
            <w:vAlign w:val="center"/>
          </w:tcPr>
          <w:p>
            <w:pPr>
              <w:pStyle w:val="Compact"/>
              <w:suppressAutoHyphens/>
              <w:jc w:val="center"/>
            </w:pPr>
            <w:r>
              <w:rPr>
                <w:b/>
                <w:bCs/>
                <w:sz w:val="17"/>
                <w:szCs w:val="17"/>
              </w:rPr>
              <w:t xml:space="preserve">SKAB</w:t>
            </w:r>
            <w:r>
              <w:rPr>
                <w:sz w:val="17"/>
                <w:szCs w:val="17"/>
              </w:rPr>
              <w:t xml:space="preserve"> </w:t>
            </w:r>
            <w:r>
              <w:rPr>
                <w:sz w:val="17"/>
                <w:szCs w:val="17"/>
              </w:rPr>
              <w:t xml:space="preserve"> </w:t>
            </w:r>
            <w:r>
              <w:rPr>
                <w:sz w:val="17"/>
                <w:szCs w:val="17"/>
              </w:rPr>
              <w:t xml:space="preserve">(test 631; normal 377; anom 254 = 69 easy + 185 difficult; matched normals: all 377 / easy 102 / difficult 275; GDN not run on SKAB)</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0.469</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1.000</w:t>
            </w:r>
          </w:p>
        </w:tc>
        <w:tc>
          <w:tcPr>
            <w:vAlign w:val="center"/>
          </w:tcPr>
          <w:p>
            <w:pPr>
              <w:pStyle w:val="Compact"/>
              <w:suppressAutoHyphens/>
              <w:jc w:val="center"/>
            </w:pPr>
            <w:r>
              <w:rPr>
                <w:sz w:val="17"/>
                <w:szCs w:val="17"/>
              </w:rPr>
              <w:t xml:space="preserve">0.996</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0.388</w:t>
            </w:r>
          </w:p>
        </w:tc>
        <w:tc>
          <w:tcPr>
            <w:vAlign w:val="center"/>
          </w:tcPr>
          <w:p>
            <w:pPr>
              <w:pStyle w:val="Compact"/>
              <w:suppressAutoHyphens/>
              <w:jc w:val="center"/>
            </w:pPr>
            <w:r>
              <w:rPr>
                <w:sz w:val="17"/>
                <w:szCs w:val="17"/>
              </w:rPr>
              <w:t xml:space="preserve">0.331</w:t>
            </w:r>
          </w:p>
        </w:tc>
        <w:tc>
          <w:tcPr>
            <w:vAlign w:val="center"/>
          </w:tcPr>
          <w:p>
            <w:pPr>
              <w:pStyle w:val="Compact"/>
              <w:suppressAutoHyphens/>
              <w:jc w:val="center"/>
            </w:pPr>
            <w:r>
              <w:rPr>
                <w:sz w:val="17"/>
                <w:szCs w:val="17"/>
              </w:rPr>
              <w:t xml:space="preserve">0.011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0.640</w:t>
            </w:r>
          </w:p>
        </w:tc>
        <w:tc>
          <w:tcPr>
            <w:vAlign w:val="center"/>
          </w:tcPr>
          <w:p>
            <w:pPr>
              <w:pStyle w:val="Compact"/>
              <w:suppressAutoHyphens/>
              <w:jc w:val="center"/>
            </w:pPr>
            <w:r>
              <w:rPr>
                <w:sz w:val="17"/>
                <w:szCs w:val="17"/>
              </w:rPr>
              <w:t xml:space="preserve">0.509</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0.885</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0.528</w:t>
            </w:r>
          </w:p>
        </w:tc>
        <w:tc>
          <w:tcPr>
            <w:vAlign w:val="center"/>
          </w:tcPr>
          <w:p>
            <w:pPr>
              <w:pStyle w:val="Compact"/>
              <w:suppressAutoHyphens/>
              <w:jc w:val="center"/>
            </w:pPr>
            <w:r>
              <w:rPr>
                <w:sz w:val="17"/>
                <w:szCs w:val="17"/>
              </w:rPr>
              <w:t xml:space="preserve">0.472</w:t>
            </w:r>
          </w:p>
        </w:tc>
        <w:tc>
          <w:tcPr>
            <w:vAlign w:val="center"/>
          </w:tcPr>
          <w:p>
            <w:pPr>
              <w:pStyle w:val="Compact"/>
              <w:suppressAutoHyphens/>
              <w:jc w:val="center"/>
            </w:pPr>
            <w:r>
              <w:rPr>
                <w:sz w:val="17"/>
                <w:szCs w:val="17"/>
              </w:rPr>
              <w:t xml:space="preserve">0.454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0.530</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0.910</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0.504</w:t>
            </w:r>
          </w:p>
        </w:tc>
        <w:tc>
          <w:tcPr>
            <w:vAlign w:val="center"/>
          </w:tcPr>
          <w:p>
            <w:pPr>
              <w:pStyle w:val="Compact"/>
              <w:suppressAutoHyphens/>
              <w:jc w:val="center"/>
            </w:pPr>
            <w:r>
              <w:rPr>
                <w:sz w:val="17"/>
                <w:szCs w:val="17"/>
              </w:rPr>
              <w:t xml:space="preserve">0.447</w:t>
            </w:r>
          </w:p>
        </w:tc>
        <w:tc>
          <w:tcPr>
            <w:vAlign w:val="center"/>
          </w:tcPr>
          <w:p>
            <w:pPr>
              <w:pStyle w:val="Compact"/>
              <w:suppressAutoHyphens/>
              <w:jc w:val="center"/>
            </w:pPr>
            <w:r>
              <w:rPr>
                <w:sz w:val="17"/>
                <w:szCs w:val="17"/>
              </w:rPr>
              <w:t xml:space="preserve">0.422</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0.651</w:t>
            </w:r>
          </w:p>
        </w:tc>
        <w:tc>
          <w:tcPr>
            <w:vAlign w:val="center"/>
          </w:tcPr>
          <w:p>
            <w:pPr>
              <w:pStyle w:val="Compact"/>
              <w:suppressAutoHyphens/>
              <w:jc w:val="center"/>
            </w:pPr>
            <w:r>
              <w:rPr>
                <w:sz w:val="17"/>
                <w:szCs w:val="17"/>
              </w:rPr>
              <w:t xml:space="preserve">0.537</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0.812</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0.591</w:t>
            </w:r>
          </w:p>
        </w:tc>
        <w:tc>
          <w:tcPr>
            <w:vAlign w:val="center"/>
          </w:tcPr>
          <w:p>
            <w:pPr>
              <w:pStyle w:val="Compact"/>
              <w:suppressAutoHyphens/>
              <w:jc w:val="center"/>
            </w:pPr>
            <w:r>
              <w:rPr>
                <w:sz w:val="17"/>
                <w:szCs w:val="17"/>
              </w:rPr>
              <w:t xml:space="preserve">0.497</w:t>
            </w:r>
          </w:p>
        </w:tc>
        <w:tc>
          <w:tcPr>
            <w:vAlign w:val="center"/>
          </w:tcPr>
          <w:p>
            <w:pPr>
              <w:pStyle w:val="Compact"/>
              <w:suppressAutoHyphens/>
              <w:jc w:val="center"/>
            </w:pPr>
            <w:r>
              <w:rPr>
                <w:sz w:val="17"/>
                <w:szCs w:val="17"/>
              </w:rPr>
              <w:t xml:space="preserve">0.416</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0.622</w:t>
            </w:r>
          </w:p>
        </w:tc>
        <w:tc>
          <w:tcPr>
            <w:vAlign w:val="center"/>
          </w:tcPr>
          <w:p>
            <w:pPr>
              <w:pStyle w:val="Compact"/>
              <w:suppressAutoHyphens/>
              <w:jc w:val="center"/>
            </w:pPr>
            <w:r>
              <w:rPr>
                <w:sz w:val="17"/>
                <w:szCs w:val="17"/>
              </w:rPr>
              <w:t xml:space="preserve">0.549</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0.932</w:t>
            </w:r>
          </w:p>
        </w:tc>
        <w:tc>
          <w:tcPr>
            <w:vAlign w:val="center"/>
          </w:tcPr>
          <w:p>
            <w:pPr>
              <w:pStyle w:val="Compact"/>
              <w:suppressAutoHyphens/>
              <w:jc w:val="center"/>
            </w:pPr>
            <w:r>
              <w:rPr>
                <w:sz w:val="17"/>
                <w:szCs w:val="17"/>
              </w:rPr>
              <w:t xml:space="preserve">0.864</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0.507</w:t>
            </w:r>
          </w:p>
        </w:tc>
        <w:tc>
          <w:tcPr>
            <w:vAlign w:val="center"/>
          </w:tcPr>
          <w:p>
            <w:pPr>
              <w:pStyle w:val="Compact"/>
              <w:suppressAutoHyphens/>
              <w:jc w:val="center"/>
            </w:pPr>
            <w:r>
              <w:rPr>
                <w:sz w:val="17"/>
                <w:szCs w:val="17"/>
              </w:rPr>
              <w:t xml:space="preserve">0.452</w:t>
            </w:r>
          </w:p>
        </w:tc>
        <w:tc>
          <w:tcPr>
            <w:vAlign w:val="center"/>
          </w:tcPr>
          <w:p>
            <w:pPr>
              <w:pStyle w:val="Compact"/>
              <w:suppressAutoHyphens/>
              <w:jc w:val="center"/>
            </w:pPr>
            <w:r>
              <w:rPr>
                <w:sz w:val="17"/>
                <w:szCs w:val="17"/>
              </w:rPr>
              <w:t xml:space="preserve">0.358</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0.579</w:t>
            </w:r>
          </w:p>
        </w:tc>
        <w:tc>
          <w:tcPr>
            <w:vAlign w:val="center"/>
          </w:tcPr>
          <w:p>
            <w:pPr>
              <w:pStyle w:val="Compact"/>
              <w:suppressAutoHyphens/>
              <w:jc w:val="center"/>
            </w:pPr>
            <w:r>
              <w:rPr>
                <w:sz w:val="17"/>
                <w:szCs w:val="17"/>
              </w:rPr>
              <w:t xml:space="preserve">0.479</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0.946</w:t>
            </w:r>
          </w:p>
        </w:tc>
        <w:tc>
          <w:tcPr>
            <w:vAlign w:val="center"/>
          </w:tcPr>
          <w:p>
            <w:pPr>
              <w:pStyle w:val="Compact"/>
              <w:suppressAutoHyphens/>
              <w:jc w:val="center"/>
            </w:pPr>
            <w:r>
              <w:rPr>
                <w:sz w:val="17"/>
                <w:szCs w:val="17"/>
              </w:rPr>
              <w:t xml:space="preserve">0.853</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0.442</w:t>
            </w:r>
          </w:p>
        </w:tc>
        <w:tc>
          <w:tcPr>
            <w:vAlign w:val="center"/>
          </w:tcPr>
          <w:p>
            <w:pPr>
              <w:pStyle w:val="Compact"/>
              <w:suppressAutoHyphens/>
              <w:jc w:val="center"/>
            </w:pPr>
            <w:r>
              <w:rPr>
                <w:sz w:val="17"/>
                <w:szCs w:val="17"/>
              </w:rPr>
              <w:t xml:space="preserve">0.381</w:t>
            </w:r>
          </w:p>
        </w:tc>
        <w:tc>
          <w:tcPr>
            <w:vAlign w:val="center"/>
          </w:tcPr>
          <w:p>
            <w:pPr>
              <w:pStyle w:val="Compact"/>
              <w:suppressAutoHyphens/>
              <w:jc w:val="center"/>
            </w:pPr>
            <w:r>
              <w:rPr>
                <w:sz w:val="17"/>
                <w:szCs w:val="17"/>
              </w:rPr>
              <w:t xml:space="preserve">0.294</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0.685</w:t>
            </w:r>
          </w:p>
        </w:tc>
        <w:tc>
          <w:tcPr>
            <w:vAlign w:val="center"/>
          </w:tcPr>
          <w:p>
            <w:pPr>
              <w:pStyle w:val="Compact"/>
              <w:suppressAutoHyphens/>
              <w:jc w:val="center"/>
            </w:pPr>
            <w:r>
              <w:rPr>
                <w:sz w:val="17"/>
                <w:szCs w:val="17"/>
              </w:rPr>
              <w:t xml:space="preserve">0.568</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0.883</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0.610</w:t>
            </w:r>
          </w:p>
        </w:tc>
        <w:tc>
          <w:tcPr>
            <w:vAlign w:val="center"/>
          </w:tcPr>
          <w:p>
            <w:pPr>
              <w:pStyle w:val="Compact"/>
              <w:suppressAutoHyphens/>
              <w:jc w:val="center"/>
            </w:pPr>
            <w:r>
              <w:rPr>
                <w:sz w:val="17"/>
                <w:szCs w:val="17"/>
              </w:rPr>
              <w:t xml:space="preserve">0.514</w:t>
            </w:r>
          </w:p>
        </w:tc>
        <w:tc>
          <w:tcPr>
            <w:vAlign w:val="center"/>
          </w:tcPr>
          <w:p>
            <w:pPr>
              <w:pStyle w:val="Compact"/>
              <w:suppressAutoHyphens/>
              <w:jc w:val="center"/>
            </w:pPr>
            <w:r>
              <w:rPr>
                <w:sz w:val="17"/>
                <w:szCs w:val="17"/>
              </w:rPr>
              <w:t xml:space="preserve">0.408</w:t>
            </w:r>
          </w:p>
        </w:tc>
      </w:tr>
    </w:tbl>
    <w:p>
      <w:pPr>
        <w:pStyle w:val="MDPI31text"/>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MDPI31text"/>
        <w:ind w:left="2608"/>
      </w:pPr>
      <w:r>
        <w:rPr>
          <w:b/>
          <w:bCs/>
        </w:rPr>
        <w:t xml:space="preserve">Difficult, joint-structure faults.</w:t>
      </w:r>
      <w:r>
        <w:t xml:space="preserve"> </w:t>
      </w:r>
      <w:r>
        <w:t xml:space="preserve">This is where the design earns its keep, and the model leads the difficult subset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MDPI31text"/>
        <w:ind w:left="2608"/>
      </w:pPr>
      <w:r>
        <w:rPr>
          <w:b/>
          <w:bCs/>
        </w:rPr>
        <w:t xml:space="preserve">Trivially separable anomalies.</w:t>
      </w:r>
      <w:r>
        <w:t xml:space="preserve"> </w:t>
      </w:r>
      <w:r>
        <w:t xml:space="preserve">On the easy subset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MDPI31text"/>
        <w:ind w:left="2608"/>
      </w:pPr>
      <w:r>
        <w:rPr>
          <w:b/>
          <w:bCs/>
        </w:rPr>
        <w:t xml:space="preserve">Validity of the difficulty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MDPI31text"/>
        <w:ind w:left="2608"/>
      </w:pPr>
      <w:r>
        <w:rPr>
          <w:b/>
          <w:bCs/>
        </w:rPr>
        <w:t xml:space="preserve">Deep 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79095"/>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19"/>
                    <a:stretch>
                      <a:fillRect/>
                    </a:stretch>
                  </pic:blipFill>
                  <pic:spPr bwMode="auto">
                    <a:xfrm>
                      <a:off x="0" y="0"/>
                      <a:ext cx="4989830" cy="207909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Our detector wins the difficult column on</w:t>
      </w:r>
      <w:r>
        <w:t xml:space="preserve"> </w:t>
      </w:r>
      <w:r>
        <w:t xml:space="preserve">all three datasets: WADI 0.726 and HAI 0.831 by wide margins, SKAB 0.610 narrowly (vs USAD 0.591). All three deep</w:t>
      </w:r>
      <w:r>
        <w:t xml:space="preserve"> </w:t>
      </w:r>
      <w:r>
        <w:t xml:space="preserve">SOTA methods (USAD, TranAD, and, on WADI, GDN) sit well below. The margin is largest on HAI and WADI, the two</w:t>
      </w:r>
      <w:r>
        <w:t xml:space="preserve"> </w:t>
      </w:r>
      <w:r>
        <w:t xml:space="preserve">multimodal datasets the MIIM assumptions target; SKAB, the near-unimodal set, is the tightest. GDN was run on</w:t>
      </w:r>
      <w:r>
        <w:t xml:space="preserve"> </w:t>
      </w:r>
      <w:r>
        <w:t xml:space="preserve">WADI only.</w:t>
      </w:r>
    </w:p>
    <w:p>
      <w:pPr>
        <w:pStyle w:val="MDPI21heading1"/>
        <w:ind w:left="2608"/>
      </w:pPr>
      <w:r>
        <w:t xml:space="preserve">7  Discussion</w:t>
      </w:r>
    </w:p>
    <w:p>
      <w:pPr>
        <w:pStyle w:val="MDPI32textnoindent"/>
        <w:ind w:left="2608"/>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MDPI31text"/>
        <w:ind w:left="2608"/>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MDPI31text"/>
        <w:ind w:left="2608"/>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MDPI31text"/>
        <w:ind w:left="2608"/>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MDPI31text"/>
        <w:ind w:left="2608"/>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MDPI31text"/>
        <w:ind w:left="2608"/>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MDPI31text"/>
        <w:ind w:left="2608"/>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p>
      <w:pPr>
        <w:pStyle w:val="MDPI21heading1"/>
        <w:ind w:left="2608"/>
      </w:pPr>
      <w:r>
        <w:t xml:space="preserve">8  Conclusion</w:t>
      </w:r>
    </w:p>
    <w:p>
      <w:pPr>
        <w:pStyle w:val="MDPI32textnoindent"/>
        <w:ind w:left="2608"/>
      </w:pPr>
      <w:r>
        <w:t xml:space="preserve">We restated the structural assumptions of CPS normal data as an explicit MIIM list (A1–A10) and built a</w:t>
      </w:r>
      <w:r>
        <w:t xml:space="preserve"> </w:t>
      </w:r>
      <w:r>
        <w:t xml:space="preserve">detector that leverages the instantaneous-structure assumptions A1–A8, modelling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This paper deliberately</w:t>
      </w:r>
      <w:r>
        <w:t xml:space="preserve"> </w:t>
      </w:r>
      <w:r>
        <w:t xml:space="preserve">covers only the instantaneous-structure assumptions; extending the detector to the trajectory assumptions is the</w:t>
      </w:r>
      <w:r>
        <w:t xml:space="preserve"> </w:t>
      </w:r>
      <w:r>
        <w:t xml:space="preserve">natural next step: explicit multiscale-temporal features (A9) and history-conditioned, path-dependent scoring</w:t>
      </w:r>
      <w:r>
        <w:t xml:space="preserve"> </w:t>
      </w:r>
      <w:r>
        <w:t xml:space="preserve">(A10), together with multi-seed confidence intervals, a raw-waveform representation for SKAB, and a dataset that</w:t>
      </w:r>
      <w:r>
        <w:t xml:space="preserve"> </w:t>
      </w:r>
      <w:r>
        <w:t xml:space="preserve">actually contains a history-dependent fault to exercise those trajectory assumptions.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and SKAB is available from its public repository.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31text"/>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20">
        <w:r>
          <w:rPr>
            <w:rStyle w:val="Hyperlink"/>
          </w:rPr>
          <w:t xml:space="preserve">https://doi.org/10.1609/aaai.v36i7.20680</w:t>
        </w:r>
      </w:hyperlink>
      <w:r>
        <w:t xml:space="preserve">.</w:t>
      </w:r>
      <w:bookmarkEnd w:id="38"/>
    </w:p>
    <w:p>
      <w:pPr>
        <w:pStyle w:val="MDPI81references"/>
        <w:numPr>
          <w:ilvl w:val="0"/>
          <w:numId w:val="0"/>
        </w:numPr>
        <w:ind w:left="180" w:hanging="180"/>
      </w:pPr>
      <w:bookmarkStart w:id="40"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21">
        <w:r>
          <w:rPr>
            <w:rStyle w:val="Hyperlink"/>
          </w:rPr>
          <w:t xml:space="preserve">https://doi.org/10.1109/TNNLS.2021.3105827</w:t>
        </w:r>
      </w:hyperlink>
      <w:r>
        <w:t xml:space="preserve">.</w:t>
      </w:r>
      <w:bookmarkEnd w:id="40"/>
    </w:p>
    <w:p>
      <w:pPr>
        <w:pStyle w:val="MDPI81references"/>
        <w:numPr>
          <w:ilvl w:val="0"/>
          <w:numId w:val="0"/>
        </w:numPr>
        <w:ind w:left="180" w:hanging="180"/>
      </w:pPr>
      <w:bookmarkStart w:id="42"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22">
        <w:r>
          <w:rPr>
            <w:rStyle w:val="Hyperlink"/>
          </w:rPr>
          <w:t xml:space="preserve">https://doi.org/10.1109/TKDE.2021.3112126</w:t>
        </w:r>
      </w:hyperlink>
      <w:r>
        <w:t xml:space="preserve">.</w:t>
      </w:r>
      <w:bookmarkEnd w:id="42"/>
    </w:p>
    <w:p>
      <w:pPr>
        <w:pStyle w:val="MDPI81references"/>
        <w:numPr>
          <w:ilvl w:val="0"/>
          <w:numId w:val="0"/>
        </w:numPr>
        <w:ind w:left="180" w:hanging="180"/>
      </w:pPr>
      <w:bookmarkStart w:id="4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3">
        <w:r>
          <w:rPr>
            <w:rStyle w:val="Hyperlink"/>
          </w:rPr>
          <w:t xml:space="preserve">arXiv:2203.05167</w:t>
        </w:r>
      </w:hyperlink>
      <w:r>
        <w:t xml:space="preserve">.</w:t>
      </w:r>
      <w:bookmarkEnd w:id="44"/>
    </w:p>
    <w:p>
      <w:pPr>
        <w:pStyle w:val="MDPI81references"/>
        <w:numPr>
          <w:ilvl w:val="0"/>
          <w:numId w:val="0"/>
        </w:numPr>
        <w:ind w:left="180" w:hanging="180"/>
      </w:pPr>
      <w:bookmarkStart w:id="4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4">
        <w:r>
          <w:rPr>
            <w:rStyle w:val="Hyperlink"/>
          </w:rPr>
          <w:t xml:space="preserve">https://arxiv.org/abs/2606.02670</w:t>
        </w:r>
      </w:hyperlink>
      <w:r>
        <w:t xml:space="preserve">.</w:t>
      </w:r>
      <w:bookmarkEnd w:id="46"/>
    </w:p>
    <w:p>
      <w:pPr>
        <w:pStyle w:val="MDPI81references"/>
        <w:numPr>
          <w:ilvl w:val="0"/>
          <w:numId w:val="0"/>
        </w:numPr>
        <w:ind w:left="180" w:hanging="180"/>
      </w:pPr>
      <w:bookmarkStart w:id="48"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25">
        <w:r>
          <w:rPr>
            <w:rStyle w:val="Hyperlink"/>
          </w:rPr>
          <w:t xml:space="preserve">https://doi.org/10.1145/3394486.3403392</w:t>
        </w:r>
      </w:hyperlink>
      <w:r>
        <w:t xml:space="preserve">.</w:t>
      </w:r>
      <w:bookmarkEnd w:id="48"/>
    </w:p>
    <w:p>
      <w:pPr>
        <w:pStyle w:val="MDPI81references"/>
        <w:numPr>
          <w:ilvl w:val="0"/>
          <w:numId w:val="0"/>
        </w:numPr>
        <w:ind w:left="180" w:hanging="180"/>
      </w:pPr>
      <w:bookmarkStart w:id="50"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26">
        <w:r>
          <w:rPr>
            <w:rStyle w:val="Hyperlink"/>
          </w:rPr>
          <w:t xml:space="preserve">https://doi.org/10.14778/3514061.3514067</w:t>
        </w:r>
      </w:hyperlink>
      <w:r>
        <w:t xml:space="preserve">.</w:t>
      </w:r>
      <w:bookmarkEnd w:id="50"/>
    </w:p>
    <w:p>
      <w:pPr>
        <w:pStyle w:val="MDPI81references"/>
        <w:numPr>
          <w:ilvl w:val="0"/>
          <w:numId w:val="0"/>
        </w:numPr>
        <w:ind w:left="180" w:hanging="180"/>
      </w:pPr>
      <w:bookmarkStart w:id="52"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27">
        <w:r>
          <w:rPr>
            <w:rStyle w:val="Hyperlink"/>
          </w:rPr>
          <w:t xml:space="preserve">https://doi.org/10.24963/ijcai.2017/273</w:t>
        </w:r>
      </w:hyperlink>
      <w:r>
        <w:t xml:space="preserve">.</w:t>
      </w:r>
      <w:bookmarkEnd w:id="52"/>
    </w:p>
    <w:p>
      <w:pPr>
        <w:pStyle w:val="MDPI81references"/>
        <w:numPr>
          <w:ilvl w:val="0"/>
          <w:numId w:val="0"/>
        </w:numPr>
        <w:ind w:left="180" w:hanging="180"/>
      </w:pPr>
      <w:bookmarkStart w:id="54"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28">
        <w:r>
          <w:rPr>
            <w:rStyle w:val="Hyperlink"/>
          </w:rPr>
          <w:t xml:space="preserve">https://openreview.net/forum?id=BJJLHbb0-</w:t>
        </w:r>
      </w:hyperlink>
      <w:r>
        <w:t xml:space="preserve">.</w:t>
      </w:r>
      <w:bookmarkEnd w:id="54"/>
    </w:p>
    <w:p>
      <w:pPr>
        <w:pStyle w:val="MDPI81references"/>
        <w:numPr>
          <w:ilvl w:val="0"/>
          <w:numId w:val="0"/>
        </w:numPr>
        <w:ind w:left="180" w:hanging="180"/>
      </w:pPr>
      <w:bookmarkStart w:id="56"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29">
        <w:r>
          <w:rPr>
            <w:rStyle w:val="Hyperlink"/>
          </w:rPr>
          <w:t xml:space="preserve">https://doi.org/10.1609/aaai.v35i5.16523</w:t>
        </w:r>
      </w:hyperlink>
      <w:r>
        <w:t xml:space="preserve">.</w:t>
      </w:r>
      <w:bookmarkEnd w:id="56"/>
    </w:p>
    <w:p>
      <w:pPr>
        <w:pStyle w:val="MDPI81references"/>
        <w:numPr>
          <w:ilvl w:val="0"/>
          <w:numId w:val="0"/>
        </w:numPr>
        <w:ind w:left="180" w:hanging="180"/>
      </w:pPr>
      <w:bookmarkStart w:id="58" w:name="r-if"/>
      <w:r>
        <w:t xml:space="preserve">Liu, F.T.; Ting, K.M.; Zhou, Z.-H. Isolation forest. In Proceedings of the 2008 Eighth IEEE International Conference on Data Mining (ICDM), Pisa, Italy, 15–19 December 2008; pp. 413–422.</w:t>
      </w:r>
      <w:r>
        <w:t xml:space="preserve"> </w:t>
      </w:r>
      <w:hyperlink r:id="rId30">
        <w:r>
          <w:rPr>
            <w:rStyle w:val="Hyperlink"/>
          </w:rPr>
          <w:t xml:space="preserve">https://doi.org/10.1109/ICDM.2008.17</w:t>
        </w:r>
      </w:hyperlink>
      <w:r>
        <w:t xml:space="preserve">.</w:t>
      </w:r>
      <w:bookmarkEnd w:id="58"/>
    </w:p>
    <w:p>
      <w:pPr>
        <w:pStyle w:val="MDPI81references"/>
        <w:numPr>
          <w:ilvl w:val="0"/>
          <w:numId w:val="0"/>
        </w:numPr>
        <w:ind w:left="180" w:hanging="180"/>
      </w:pPr>
      <w:bookmarkStart w:id="6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1">
        <w:r>
          <w:rPr>
            <w:rStyle w:val="Hyperlink"/>
          </w:rPr>
          <w:t xml:space="preserve">https://doi.org/10.1016/S0047-259X(03)00096-4</w:t>
        </w:r>
      </w:hyperlink>
      <w:r>
        <w:t xml:space="preserve">.</w:t>
      </w:r>
      <w:bookmarkEnd w:id="60"/>
    </w:p>
    <w:p>
      <w:pPr>
        <w:pStyle w:val="MDPI81references"/>
        <w:numPr>
          <w:ilvl w:val="0"/>
          <w:numId w:val="0"/>
        </w:numPr>
        <w:ind w:left="180" w:hanging="180"/>
      </w:pPr>
      <w:bookmarkStart w:id="62"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32">
        <w:r>
          <w:rPr>
            <w:rStyle w:val="Hyperlink"/>
          </w:rPr>
          <w:t xml:space="preserve">https://doi.org/10.1145/3055366.3055375</w:t>
        </w:r>
      </w:hyperlink>
      <w:r>
        <w:t xml:space="preserve">.</w:t>
      </w:r>
      <w:bookmarkEnd w:id="62"/>
    </w:p>
    <w:p>
      <w:pPr>
        <w:pStyle w:val="MDPI81references"/>
        <w:numPr>
          <w:ilvl w:val="0"/>
          <w:numId w:val="0"/>
        </w:numPr>
        <w:ind w:left="180" w:hanging="180"/>
      </w:pPr>
      <w:bookmarkStart w:id="64" w:name="r-hai"/>
      <w:r>
        <w:t xml:space="preserve">Shin, H.-K.; Lee, W.; Yun, J.-H.; Kim, H. HAI 1.0: HIL-based augmented ICS security dataset. In Proceedings of the 13th USENIX Workshop on Cyber Security Experimentation and Test (CSET), Virtual, 10 August 2020.</w:t>
      </w:r>
      <w:r>
        <w:t xml:space="preserve"> </w:t>
      </w:r>
      <w:hyperlink r:id="rId33">
        <w:r>
          <w:rPr>
            <w:rStyle w:val="Hyperlink"/>
          </w:rPr>
          <w:t xml:space="preserve">https://www.usenix.org/conference/cset20/presentation/shin</w:t>
        </w:r>
      </w:hyperlink>
      <w:r>
        <w:t xml:space="preserve">.</w:t>
      </w:r>
      <w:bookmarkEnd w:id="64"/>
    </w:p>
    <w:p>
      <w:pPr>
        <w:pStyle w:val="MDPI81references"/>
        <w:numPr>
          <w:ilvl w:val="0"/>
          <w:numId w:val="0"/>
        </w:numPr>
        <w:ind w:left="180" w:hanging="180"/>
      </w:pPr>
      <w:bookmarkStart w:id="66" w:name="r-skab"/>
      <w:r>
        <w:t xml:space="preserve">Katser, I.D.; Kozitsin, V.O.</w:t>
      </w:r>
      <w:r>
        <w:t xml:space="preserve"> </w:t>
      </w:r>
      <w:r>
        <w:rPr>
          <w:i/>
          <w:iCs/>
        </w:rPr>
        <w:t xml:space="preserve">Skoltech Anomaly Benchmark (SKAB)</w:t>
      </w:r>
      <w:r>
        <w:t xml:space="preserve">; Kaggle: 2020.</w:t>
      </w:r>
      <w:r>
        <w:t xml:space="preserve"> </w:t>
      </w:r>
      <w:hyperlink r:id="rId34">
        <w:r>
          <w:rPr>
            <w:rStyle w:val="Hyperlink"/>
          </w:rPr>
          <w:t xml:space="preserve">https://doi.org/10.34740/kaggle/dsv/1693952</w:t>
        </w:r>
      </w:hyperlink>
      <w:r>
        <w:t xml:space="preserve">.</w:t>
      </w:r>
      <w:bookmarkEnd w:id="66"/>
    </w:p>
    <w:p>
      <w:pPr>
        <w:pStyle w:val="MDPI81references"/>
        <w:numPr>
          <w:ilvl w:val="0"/>
          <w:numId w:val="0"/>
        </w:numPr>
        <w:ind w:left="180" w:hanging="180"/>
      </w:pPr>
      <w:bookmarkStart w:id="6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35">
        <w:r>
          <w:rPr>
            <w:rStyle w:val="Hyperlink"/>
          </w:rPr>
          <w:t xml:space="preserve">https://arxiv.org/abs/2501.13864</w:t>
        </w:r>
      </w:hyperlink>
      <w:r>
        <w:t xml:space="preserve">.</w:t>
      </w:r>
      <w:bookmarkEnd w:id="68"/>
    </w:p>
    <w:p>
      <w:pPr>
        <w:pStyle w:val="MDPI81references"/>
        <w:numPr>
          <w:ilvl w:val="0"/>
          <w:numId w:val="0"/>
        </w:numPr>
        <w:ind w:left="180" w:hanging="180"/>
      </w:pPr>
      <w:bookmarkStart w:id="7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6">
        <w:r>
          <w:rPr>
            <w:rStyle w:val="Hyperlink"/>
          </w:rPr>
          <w:t xml:space="preserve">arXiv:1904.02639</w:t>
        </w:r>
      </w:hyperlink>
      <w:r>
        <w:t xml:space="preserve">.</w:t>
      </w:r>
      <w:bookmarkEnd w:id="70"/>
    </w:p>
    <w:p>
      <w:pPr>
        <w:pStyle w:val="MDPI81references"/>
        <w:numPr>
          <w:ilvl w:val="0"/>
          <w:numId w:val="0"/>
        </w:numPr>
        <w:ind w:left="180" w:hanging="180"/>
      </w:pPr>
      <w:bookmarkStart w:id="7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7">
        <w:r>
          <w:rPr>
            <w:rStyle w:val="Hyperlink"/>
          </w:rPr>
          <w:t xml:space="preserve">arXiv:2405.02678</w:t>
        </w:r>
      </w:hyperlink>
      <w:r>
        <w:t xml:space="preserve">.</w:t>
      </w:r>
      <w:bookmarkEnd w:id="72"/>
    </w:p>
    <w:p>
      <w:pPr>
        <w:pStyle w:val="MDPI81references"/>
        <w:numPr>
          <w:ilvl w:val="0"/>
          <w:numId w:val="0"/>
        </w:numPr>
        <w:ind w:left="180" w:hanging="180"/>
      </w:pPr>
      <w:bookmarkStart w:id="7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8">
        <w:r>
          <w:rPr>
            <w:rStyle w:val="Hyperlink"/>
          </w:rPr>
          <w:t xml:space="preserve">https://openreview.net/forum?id=iMmsCI0JsS</w:t>
        </w:r>
      </w:hyperlink>
      <w:r>
        <w:t xml:space="preserve">.</w:t>
      </w:r>
      <w:bookmarkEnd w:id="74"/>
    </w:p>
    <w:p>
      <w:pPr>
        <w:pStyle w:val="MDPI81references"/>
        <w:numPr>
          <w:ilvl w:val="0"/>
          <w:numId w:val="0"/>
        </w:numPr>
        <w:ind w:left="180" w:hanging="180"/>
      </w:pPr>
      <w:bookmarkStart w:id="76"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39">
        <w:r>
          <w:rPr>
            <w:rStyle w:val="Hyperlink"/>
          </w:rPr>
          <w:t xml:space="preserve">https://doi.org/10.1109/CySWater.2016.7469060</w:t>
        </w:r>
      </w:hyperlink>
      <w:r>
        <w:t xml:space="preserve">.</w:t>
      </w:r>
      <w:bookmarkEnd w:id="76"/>
    </w:p>
    <w:p>
      <w:pPr>
        <w:pStyle w:val="MDPI81references"/>
        <w:numPr>
          <w:ilvl w:val="0"/>
          <w:numId w:val="0"/>
        </w:numPr>
        <w:ind w:left="180" w:hanging="180"/>
      </w:pP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40">
        <w:r>
          <w:rPr>
            <w:rStyle w:val="Hyperlink"/>
          </w:rPr>
          <w:t xml:space="preserve">https://doi.org/10.1145/2689746.2689747</w:t>
        </w:r>
      </w:hyperlink>
      <w:r>
        <w:t xml:space="preserve">.</w:t>
      </w:r>
      <w:bookmarkEnd w:id="78"/>
    </w:p>
    <w:p>
      <w:pPr>
        <w:pStyle w:val="MDPI81references"/>
        <w:numPr>
          <w:ilvl w:val="0"/>
          <w:numId w:val="0"/>
        </w:numPr>
        <w:ind w:left="180" w:hanging="180"/>
      </w:pPr>
      <w:bookmarkStart w:id="80"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41">
        <w:r>
          <w:rPr>
            <w:rStyle w:val="Hyperlink"/>
          </w:rPr>
          <w:t xml:space="preserve">https://doi.org/10.1145/1541880.1541882</w:t>
        </w:r>
      </w:hyperlink>
      <w:r>
        <w:t xml:space="preserve">.</w:t>
      </w:r>
      <w:bookmarkEnd w:id="80"/>
    </w:p>
    <w:p>
      <w:pPr>
        <w:pStyle w:val="MDPI81references"/>
        <w:numPr>
          <w:ilvl w:val="0"/>
          <w:numId w:val="0"/>
        </w:numPr>
        <w:ind w:left="180" w:hanging="180"/>
      </w:pPr>
      <w:bookmarkStart w:id="82"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42">
        <w:r>
          <w:rPr>
            <w:rStyle w:val="Hyperlink"/>
          </w:rPr>
          <w:t xml:space="preserve">https://doi.org/10.1145/3439950</w:t>
        </w:r>
      </w:hyperlink>
      <w:r>
        <w:t xml:space="preserve">.</w:t>
      </w:r>
      <w:bookmarkEnd w:id="82"/>
    </w:p>
    <w:p>
      <w:pPr>
        <w:pStyle w:val="MDPI81references"/>
        <w:numPr>
          <w:ilvl w:val="0"/>
          <w:numId w:val="0"/>
        </w:numPr>
        <w:ind w:left="180" w:hanging="180"/>
      </w:pPr>
      <w:bookmarkStart w:id="84"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43">
        <w:r>
          <w:rPr>
            <w:rStyle w:val="Hyperlink"/>
          </w:rPr>
          <w:t xml:space="preserve">https://doi.org/10.1109/JPROC.2021.3052449</w:t>
        </w:r>
      </w:hyperlink>
      <w:r>
        <w:t xml:space="preserve">.</w:t>
      </w:r>
      <w:bookmarkEnd w:id="84"/>
    </w:p>
    <w:p>
      <w:pPr>
        <w:pStyle w:val="MDPI81references"/>
        <w:numPr>
          <w:ilvl w:val="0"/>
          <w:numId w:val="0"/>
        </w:numPr>
        <w:ind w:left="180" w:hanging="180"/>
      </w:pPr>
      <w:bookmarkStart w:id="86"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44">
        <w:r>
          <w:rPr>
            <w:rStyle w:val="Hyperlink"/>
          </w:rPr>
          <w:t xml:space="preserve">https://doi.org/10.1145/3444690</w:t>
        </w:r>
      </w:hyperlink>
      <w:r>
        <w:t xml:space="preserve">.</w:t>
      </w:r>
      <w:bookmarkEnd w:id="86"/>
    </w:p>
    <w:p>
      <w:pPr>
        <w:pStyle w:val="MDPI81references"/>
        <w:numPr>
          <w:ilvl w:val="0"/>
          <w:numId w:val="0"/>
        </w:numPr>
        <w:ind w:left="180" w:hanging="180"/>
      </w:pPr>
      <w:bookmarkStart w:id="88"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45">
        <w:r>
          <w:rPr>
            <w:rStyle w:val="Hyperlink"/>
          </w:rPr>
          <w:t xml:space="preserve">https://doi.org/10.1177/1550147718794615</w:t>
        </w:r>
      </w:hyperlink>
      <w:r>
        <w:t xml:space="preserve">.</w:t>
      </w:r>
      <w:bookmarkEnd w:id="88"/>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hyperlink" Target="https://doi.org/10.1609/aaai.v36i7.20680" TargetMode="External"/><Relationship Id="rId21" Type="http://schemas.openxmlformats.org/officeDocument/2006/relationships/hyperlink" Target="https://doi.org/10.1109/TNNLS.2021.3105827" TargetMode="External"/><Relationship Id="rId22" Type="http://schemas.openxmlformats.org/officeDocument/2006/relationships/hyperlink" Target="https://doi.org/10.1109/TKDE.2021.3112126" TargetMode="External"/><Relationship Id="rId23" Type="http://schemas.openxmlformats.org/officeDocument/2006/relationships/hyperlink" Target="https://arxiv.org/abs/2203.05167" TargetMode="External"/><Relationship Id="rId24" Type="http://schemas.openxmlformats.org/officeDocument/2006/relationships/hyperlink" Target="https://arxiv.org/abs/2606.02670" TargetMode="External"/><Relationship Id="rId25" Type="http://schemas.openxmlformats.org/officeDocument/2006/relationships/hyperlink" Target="https://doi.org/10.1145/3394486.3403392" TargetMode="External"/><Relationship Id="rId26" Type="http://schemas.openxmlformats.org/officeDocument/2006/relationships/hyperlink" Target="https://doi.org/10.14778/3514061.3514067" TargetMode="External"/><Relationship Id="rId27" Type="http://schemas.openxmlformats.org/officeDocument/2006/relationships/hyperlink" Target="https://doi.org/10.24963/ijcai.2017/273" TargetMode="External"/><Relationship Id="rId28" Type="http://schemas.openxmlformats.org/officeDocument/2006/relationships/hyperlink" Target="https://openreview.net/forum?id=BJJLHbb0-" TargetMode="External"/><Relationship Id="rId29" Type="http://schemas.openxmlformats.org/officeDocument/2006/relationships/hyperlink" Target="https://doi.org/10.1609/aaai.v35i5.16523" TargetMode="External"/><Relationship Id="rId30" Type="http://schemas.openxmlformats.org/officeDocument/2006/relationships/hyperlink" Target="https://doi.org/10.1109/ICDM.2008.17" TargetMode="External"/><Relationship Id="rId31" Type="http://schemas.openxmlformats.org/officeDocument/2006/relationships/hyperlink" Target="https://doi.org/10.1016/S0047-259X(03)00096-4" TargetMode="External"/><Relationship Id="rId32" Type="http://schemas.openxmlformats.org/officeDocument/2006/relationships/hyperlink" Target="https://doi.org/10.1145/3055366.3055375" TargetMode="External"/><Relationship Id="rId33" Type="http://schemas.openxmlformats.org/officeDocument/2006/relationships/hyperlink" Target="https://www.usenix.org/conference/cset20/presentation/shin" TargetMode="External"/><Relationship Id="rId34" Type="http://schemas.openxmlformats.org/officeDocument/2006/relationships/hyperlink" Target="https://doi.org/10.34740/kaggle/dsv/1693952" TargetMode="External"/><Relationship Id="rId35" Type="http://schemas.openxmlformats.org/officeDocument/2006/relationships/hyperlink" Target="https://arxiv.org/abs/2501.13864" TargetMode="External"/><Relationship Id="rId36" Type="http://schemas.openxmlformats.org/officeDocument/2006/relationships/hyperlink" Target="https://arxiv.org/abs/1904.02639" TargetMode="External"/><Relationship Id="rId37" Type="http://schemas.openxmlformats.org/officeDocument/2006/relationships/hyperlink" Target="https://arxiv.org/abs/2405.02678" TargetMode="External"/><Relationship Id="rId38" Type="http://schemas.openxmlformats.org/officeDocument/2006/relationships/hyperlink" Target="https://openreview.net/forum?id=iMmsCI0JsS" TargetMode="External"/><Relationship Id="rId39" Type="http://schemas.openxmlformats.org/officeDocument/2006/relationships/hyperlink" Target="https://doi.org/10.1109/CySWater.2016.7469060" TargetMode="External"/><Relationship Id="rId40" Type="http://schemas.openxmlformats.org/officeDocument/2006/relationships/hyperlink" Target="https://doi.org/10.1145/2689746.2689747" TargetMode="External"/><Relationship Id="rId41" Type="http://schemas.openxmlformats.org/officeDocument/2006/relationships/hyperlink" Target="https://doi.org/10.1145/1541880.1541882" TargetMode="External"/><Relationship Id="rId42" Type="http://schemas.openxmlformats.org/officeDocument/2006/relationships/hyperlink" Target="https://doi.org/10.1145/3439950" TargetMode="External"/><Relationship Id="rId43" Type="http://schemas.openxmlformats.org/officeDocument/2006/relationships/hyperlink" Target="https://doi.org/10.1109/JPROC.2021.3052449" TargetMode="External"/><Relationship Id="rId44" Type="http://schemas.openxmlformats.org/officeDocument/2006/relationships/hyperlink" Target="https://doi.org/10.1145/3444690" TargetMode="External"/><Relationship Id="rId45" Type="http://schemas.openxmlformats.org/officeDocument/2006/relationships/hyperlink" Target="https://doi.org/10.1177/1550147718794615"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