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A6462" w14:textId="77777777" w:rsidR="00BE70EC" w:rsidRPr="00A8086E" w:rsidRDefault="00BE70EC" w:rsidP="00BE70EC">
      <w:pPr>
        <w:pStyle w:val="MDPI11articletype"/>
      </w:pPr>
      <w:r w:rsidRPr="00A8086E">
        <w:rPr/>
        <w:t>Article</w:t>
      </w:r>
    </w:p>
    <w:p w14:paraId="1799B668" w14:textId="77777777" w:rsidR="00BE70EC" w:rsidRPr="00A8086E" w:rsidRDefault="00BE70EC" w:rsidP="00BE70EC">
      <w:pPr>
        <w:pStyle w:val="MDPI12title"/>
      </w:pPr>
      <w:r w:rsidRPr="00A8086E">
        <w:rPr/>
        <w:t>Modeling Normal Is All You Need: Joint Latent Clustering for Anomaly Detection in Multimodal Cyber-Physical Systems</w:t>
      </w:r>
    </w:p>
    <w:p w14:paraId="45F14EDD" w14:textId="77777777" w:rsidR="008C2EC5" w:rsidRPr="00A8086E" w:rsidRDefault="00BE70EC" w:rsidP="00BE70EC">
      <w:pPr>
        <w:pStyle w:val="MDPI13authornames"/>
      </w:pPr>
      <w:r w:rsidRPr="00A8086E">
        <w:rPr/>
        <w:t xml:space="preserve">Alexander Apartsin </w:t>
      </w:r>
      <w:r w:rsidRPr="00A8086E">
        <w:rPr>
          <w:vertAlign w:val="superscript"/>
        </w:rPr>
        <w:t>1</w:t>
      </w:r>
      <w:r w:rsidRPr="00A8086E">
        <w:rPr/>
        <w:t xml:space="preserve"> and Yehudit Aperstein </w:t>
      </w:r>
      <w:r w:rsidRPr="00A8086E">
        <w:rPr>
          <w:vertAlign w:val="superscript"/>
        </w:rPr>
        <w:t>2,*</w:t>
      </w:r>
    </w:p>
    <w:tbl>
      <w:tblPr>
        <w:tblpPr w:leftFromText="198" w:rightFromText="198" w:vertAnchor="page" w:horzAnchor="margin" w:tblpY="12541"/>
        <w:tblW w:w="2410" w:type="dxa"/>
        <w:tblLayout w:type="fixed"/>
        <w:tblCellMar>
          <w:left w:w="0" w:type="dxa"/>
          <w:right w:w="0" w:type="dxa"/>
        </w:tblCellMar>
        <w:tblLook w:val="04A0" w:firstRow="1" w:lastRow="0" w:firstColumn="1" w:lastColumn="0" w:noHBand="0" w:noVBand="1"/>
      </w:tblPr>
      <w:tblGrid>
        <w:gridCol w:w="2410"/>
      </w:tblGrid>
      <w:tr w:rsidR="008C2EC5" w:rsidRPr="00A8086E" w14:paraId="61FFE899" w14:textId="77777777" w:rsidTr="000E60BC">
        <w:tc>
          <w:tcPr>
            <w:tcW w:w="2410" w:type="dxa"/>
          </w:tcPr>
          <w:p w14:paraId="556B4DC0" w14:textId="77777777" w:rsidR="008C2EC5" w:rsidRPr="00A8086E" w:rsidRDefault="008C2EC5" w:rsidP="000E60BC">
            <w:pPr>
              <w:pStyle w:val="MDPI15academiceditor"/>
              <w:spacing w:before="0" w:after="120"/>
            </w:pPr>
            <w:r w:rsidRPr="00A8086E">
              <w:rPr/>
              <w:t>Academic Editor: Firstname Lastname</w:t>
            </w:r>
          </w:p>
          <w:p w14:paraId="109293F2" w14:textId="77777777" w:rsidR="008C2EC5" w:rsidRPr="00A8086E" w:rsidRDefault="008C2EC5" w:rsidP="000E60BC">
            <w:pPr>
              <w:pStyle w:val="MDPI14history"/>
              <w:spacing w:before="120"/>
            </w:pPr>
            <w:r w:rsidRPr="00A8086E">
              <w:rPr/>
              <w:t>Received: date</w:t>
            </w:r>
          </w:p>
          <w:p w14:paraId="6242728B" w14:textId="77777777" w:rsidR="008C2EC5" w:rsidRPr="00A8086E" w:rsidRDefault="008C2EC5" w:rsidP="000E60BC">
            <w:pPr>
              <w:pStyle w:val="MDPI14history"/>
            </w:pPr>
            <w:r w:rsidRPr="00A8086E">
              <w:rPr/>
              <w:t>Revised: date</w:t>
            </w:r>
          </w:p>
          <w:p w14:paraId="2A313137" w14:textId="77777777" w:rsidR="008C2EC5" w:rsidRPr="00A8086E" w:rsidRDefault="008C2EC5" w:rsidP="000E60BC">
            <w:pPr>
              <w:pStyle w:val="MDPI14history"/>
            </w:pPr>
            <w:r w:rsidRPr="00A8086E">
              <w:rPr/>
              <w:t>Accepted: date</w:t>
            </w:r>
          </w:p>
          <w:p w14:paraId="3C39C1FA" w14:textId="77777777" w:rsidR="008C2EC5" w:rsidRPr="00A8086E" w:rsidRDefault="008C2EC5" w:rsidP="000E60BC">
            <w:pPr>
              <w:pStyle w:val="MDPI14history"/>
              <w:spacing w:after="120"/>
            </w:pPr>
            <w:r w:rsidRPr="00A8086E">
              <w:rPr/>
              <w:t>Published: date</w:t>
            </w:r>
          </w:p>
          <w:p w14:paraId="0ED37A1A" w14:textId="77777777" w:rsidR="008C2EC5" w:rsidRPr="00A8086E" w:rsidRDefault="008C2EC5" w:rsidP="000E60BC">
            <w:pPr>
              <w:pStyle w:val="MDPI72copyright"/>
              <w:rPr>
                <w:rFonts w:eastAsia="等线"/>
                <w:noProof w:val="0"/>
                <w:lang w:val="en-US" w:bidi="en-US"/>
              </w:rPr>
            </w:pPr>
            <w:r w:rsidRPr="00A8086E">
              <w:rPr>
                <w:rFonts w:eastAsia="等线"/>
                <w:b/>
                <w:noProof w:val="0"/>
                <w:lang w:val="en-US" w:bidi="en-US"/>
              </w:rPr>
              <w:t>Copyright:</w:t>
            </w:r>
            <w:r w:rsidRPr="00A8086E">
              <w:rPr>
                <w:rFonts w:eastAsia="等线"/>
                <w:noProof w:val="0"/>
                <w:lang w:val="en-US" w:bidi="en-US"/>
              </w:rPr>
              <w:t xml:space="preserve"> © </w:t>
            </w:r>
            <w:r>
              <w:rPr>
                <w:rFonts w:eastAsia="等线"/>
                <w:noProof w:val="0"/>
                <w:lang w:val="en-US" w:bidi="en-US"/>
              </w:rPr>
              <w:t>2026</w:t>
            </w:r>
            <w:r w:rsidRPr="00A8086E">
              <w:rPr>
                <w:rFonts w:eastAsia="等线"/>
                <w:noProof w:val="0"/>
                <w:lang w:val="en-US" w:bidi="en-US"/>
              </w:rPr>
              <w:t xml:space="preserve"> by the authors. Submitted for possible open access publication under the terms and conditions of the </w:t>
            </w:r>
            <w:hyperlink r:id="rId8" w:history="1">
              <w:r w:rsidRPr="008C2EC5">
                <w:rPr>
                  <w:rStyle w:val="Hyperlink"/>
                  <w:rFonts w:eastAsia="等线"/>
                  <w:noProof w:val="0"/>
                  <w:u w:val="none"/>
                  <w:lang w:val="en-US" w:bidi="en-US"/>
                </w:rPr>
                <w:t>Creative Commons Attribution (CC BY) license</w:t>
              </w:r>
            </w:hyperlink>
            <w:r>
              <w:rPr>
                <w:rFonts w:eastAsia="等线"/>
                <w:noProof w:val="0"/>
                <w:lang w:val="en-US" w:bidi="en-US"/>
              </w:rPr>
              <w:t>.</w:t>
            </w:r>
          </w:p>
        </w:tc>
      </w:tr>
    </w:tbl>
    <w:p w14:paraId="01051650" w14:textId="77777777" w:rsidR="00BE70EC" w:rsidRPr="00A8086E" w:rsidRDefault="00542CE0" w:rsidP="00BE70EC">
      <w:pPr>
        <w:pStyle w:val="MDPI16affiliation"/>
      </w:pPr>
      <w:r w:rsidRPr="00A8086E">
        <w:rPr>
          <w:vertAlign w:val="superscript"/>
        </w:rPr>
        <w:t>1</w:t>
      </w:r>
      <w:r w:rsidR="00BE70EC" w:rsidRPr="00A8086E">
        <w:rPr/>
        <w:tab/>
        <w:t>School of Computer Science, Faculty of Sciences, Holon Institute of Technology (HIT), 52 Golomb St., Holon 5810201, Israel; alexanderap@hit.ac.il</w:t>
      </w:r>
    </w:p>
    <w:p w14:paraId="3B35B26F" w14:textId="77777777" w:rsidR="00BE70EC" w:rsidRPr="00A8086E" w:rsidRDefault="00BE70EC" w:rsidP="00BE70EC">
      <w:pPr>
        <w:pStyle w:val="MDPI16affiliation"/>
      </w:pPr>
      <w:r w:rsidRPr="00A8086E">
        <w:rPr>
          <w:vertAlign w:val="superscript"/>
        </w:rPr>
        <w:t>2</w:t>
      </w:r>
      <w:r w:rsidRPr="00A8086E">
        <w:rPr/>
        <w:tab/>
        <w:t>Intelligent Systems, Afeka Academic College of Engineering, 218 Bnei Efraim St., Tel Aviv 6910717, Israel; apersteiny@afeka.ac.il</w:t>
      </w:r>
    </w:p>
    <w:p w14:paraId="160B2F15" w14:textId="77777777" w:rsidR="00BE70EC" w:rsidRPr="00A8086E" w:rsidRDefault="00BE70EC" w:rsidP="00BE70EC">
      <w:pPr>
        <w:pStyle w:val="MDPI16affiliation"/>
      </w:pPr>
      <w:r w:rsidRPr="00A8086E">
        <w:rPr>
          <w:b/>
        </w:rPr>
        <w:t>*</w:t>
      </w:r>
      <w:r w:rsidRPr="00A8086E">
        <w:rPr/>
        <w:tab/>
        <w:t>Correspondence: apersteiny@afeka.ac.il</w:t>
      </w:r>
    </w:p>
    <w:p w14:paraId="5C60B5A0" w14:textId="77777777" w:rsidR="00563B51" w:rsidRPr="00563B51" w:rsidRDefault="00BE70EC" w:rsidP="00563B51">
      <w:pPr>
        <w:pStyle w:val="MDPI17abstract"/>
        <w:jc w:val="left"/>
        <w:rPr>
          <w:b/>
        </w:rPr>
      </w:pPr>
      <w:r w:rsidRPr="00563B51">
        <w:rPr>
          <w:b/>
        </w:rPr>
        <w:t>Abstract</w:t>
      </w:r>
    </w:p>
    <w:p>
      <w:pPr>
        <w:pStyle w:val="MDPI17abstract"/>
      </w:pPr>
      <w:r>
        <w:rPr>
          <w:highlight w:val="yellow"/>
        </w:rPr>
        <w:t xml:space="preserve">The Industrial Internet of Things instruments physical processes with networked sensors streaming multivariate telemetry; monitoring it for faults and attacks is essential, and because failures are rare and seldom labeled, a detector must learn normal from unlabeled telemetry alone.</w:t>
      </w:r>
      <w:r>
        <w:rPr/>
        <w:t xml:space="preserve"> </w:t>
      </w:r>
      <w:r>
        <w:rPr/>
        <w:t xml:space="preserve">In cyber-physical systems normal is a union of many imbalanced operating regimes, formalized as ten</w:t>
      </w:r>
      <w:r>
        <w:rPr/>
        <w:t xml:space="preserve"> </w:t>
      </w:r>
      <w:r>
        <w:rPr>
          <w:i/>
          <w:iCs/>
        </w:rPr>
        <w:t xml:space="preserve">Massive, Implicit, Imbalanced Multimodality</w:t>
      </w:r>
      <w:r>
        <w:rPr/>
        <w:t xml:space="preserve"> </w:t>
      </w:r>
      <w:r>
        <w:rPr/>
        <w:t xml:space="preserve">(MIIM) assumptions</w:t>
      </w:r>
      <w:r>
        <w:rPr>
          <w:highlight w:val="green"/>
        </w:rPr>
        <w:t xml:space="preserve">, of which seven are realized by the detector and validated here and three are specified for future work</w:t>
      </w:r>
      <w:r>
        <w:rPr/>
        <w:t xml:space="preserve">; a fault can be individually normal on every sensor and reconstruct accurately, yet improbable under normal joint operation, so reconstruction-based detectors measure reachability rather than probability and miss it.</w:t>
      </w:r>
      <w:r>
        <w:rPr/>
        <w:t xml:space="preserve"> </w:t>
      </w:r>
      <w:r>
        <w:rPr>
          <w:highlight w:val="green"/>
        </w:rPr>
        <w:t xml:space="preserve">Our detector, LatAD (Latent-density Anomaly Detector), models normal as a jointly learned latent Gaussian mixture (VaDE) and scores by probability rather than reconstruction, factorizing the density over correlation-community subsystems and combining per-subsystem surprises by cohesion-weighted Higher Criticism; reconstruction re-enters only through an auto-gated residual head.</w:t>
      </w:r>
      <w:r>
        <w:rPr/>
        <w:t xml:space="preserve"> </w:t>
      </w:r>
      <w:r>
        <w:rPr/>
        <w:t xml:space="preserve">On three real</w:t>
      </w:r>
      <w:r>
        <w:rPr/>
        <w:t xml:space="preserve"> </w:t>
      </w:r>
      <w:r>
        <w:rPr>
          <w:highlight w:val="yellow"/>
        </w:rPr>
        <w:t xml:space="preserve">IIoT testbeds</w:t>
      </w:r>
      <w:r>
        <w:rPr/>
        <w:t xml:space="preserve"> </w:t>
      </w:r>
      <w:r>
        <w:rPr/>
        <w:t xml:space="preserve">LatAD</w:t>
      </w:r>
      <w:r>
        <w:rPr/>
        <w:t xml:space="preserve"> </w:t>
      </w:r>
      <w:r>
        <w:rPr>
          <w:highlight w:val="green"/>
        </w:rPr>
        <w:t xml:space="preserve">attains the best overall AUROC on HAI (0.948) and SWaT (0.938) and leads the difficult subset of all three: significantly over the strongest baseline on HAI (0.845) and canonical SWaT (0.837), and ahead of every learned detector on WADI (0.771), where it ties the linear baseline on the full set; on HAI the deep detectors USAD and TranAD fall to 0.44–0.48. Code and checkpoints are released (Zenodo).</w:t>
      </w:r>
    </w:p>
    <w:p>
      <w:pPr>
        <w:pStyle w:val="MDPI18keywords"/>
        <w:ind w:left="2608"/>
      </w:pPr>
      <w:r>
        <w:rPr>
          <w:b/>
          <w:bCs/>
        </w:rPr>
        <w:t xml:space="preserve">Keywords:</w:t>
      </w:r>
      <w:r>
        <w:rPr/>
        <w:t xml:space="preserve"> </w:t>
      </w:r>
      <w:r>
        <w:rPr>
          <w:highlight w:val="yellow"/>
        </w:rPr>
        <w:t xml:space="preserve">Industrial Internet of Things (IIoT); IoT anomaly detection; cyber-physical systems; industrial control systems; anomaly detection; unsupervised learning; sensor telemetry; fault detection</w:t>
      </w:r>
    </w:p>
    <w:p>
      <w:pPr>
        <w:pStyle w:val="MDPI21heading1"/>
        <w:ind w:left="2608"/>
      </w:pPr>
      <w:r>
        <w:rPr/>
        <w:t xml:space="preserve">1  Introduction</w:t>
      </w:r>
    </w:p>
    <w:p>
      <w:pPr>
        <w:pStyle w:val="MDPI32textnoindent"/>
        <w:ind w:left="2608"/>
      </w:pPr>
      <w:r>
        <w:rPr>
          <w:highlight w:val="green"/>
        </w:rPr>
        <w:t xml:space="preserve">A cyber-physical system (CPS) couples networked sensors, actuators, and controllers with a physical process, forming the sensing-and-actuation layer of the Industrial Internet of Things (IIoT); monitoring its telemetry for faults and attacks is central to reliability and safety.</w:t>
      </w:r>
      <w:r>
        <w:rPr/>
        <w:t xml:space="preserve"> </w:t>
      </w:r>
      <w:r>
        <w:rPr/>
        <w:t xml:space="preserve">Such a system can be faulty even when every sensor reads within its normal range and a deep model reconstructs the full sensor vector accurately. The reason is that reconstruction and normality answer different questions: reconstruction asks whether a state can be reproduced, whereas detection needs to know whether normal operation is ever likely to occupy it. In a tightly coupled plant, vehicle, or machine, normal behavior is spread across many operating regimes shaped by physics, actuator limits, and control logic, so a correlation break, or a state that falls between two legitimate regimes, can be perfectly reconstructable yet deeply improbable. These are the faults that matter most for condition monitoring and predictive maintenance: early warnings that stay inside familiar sensor ranges while violating the joint structure of normal operation.</w:t>
      </w:r>
      <w:r>
        <w:rPr/>
        <w:t xml:space="preserve"> </w:t>
      </w:r>
      <w:r>
        <w:rPr>
          <w:strike w:val="true"/>
          <w:color w:val="C0392B"/>
        </w:rPr>
        <w:t xml:space="preserve">This paper detects them by modeling that joint structure, scoring probability rather than reconstruction, and, because faults are as local as the physics that produces them, factorizing that probability over the plant’s own subsystems.</w:t>
      </w:r>
    </w:p>
    <w:p>
      <w:pPr>
        <w:pStyle w:val="MDPI31text"/>
        <w:ind w:left="2608"/>
      </w:pPr>
      <w:r>
        <w:rPr/>
        <w:t xml:space="preserve">A modern CPS (a water-treatment plant, an industrial control loop, a rotating machine) couples hundreds of networked sensors, controllers, and actuators into a unit that continuously senses its own state and acts on it: the sensing-and-actuation fabric of the</w:t>
      </w:r>
      <w:r>
        <w:rPr/>
        <w:t xml:space="preserve"> </w:t>
      </w:r>
      <w:r>
        <w:rPr>
          <w:highlight w:val="yellow"/>
        </w:rPr>
        <w:t xml:space="preserve">Industrial Internet of Things (IIoT)</w:t>
      </w:r>
      <w:r>
        <w:rPr/>
        <w:t xml:space="preserve">. This complexity puts its faults beyond enumeration: no test campaign can sample every combination of component, control regime, and operating condition in which a fault can arise, and many faults develop slowly, as wear or drift with no obvious symptom, until they surface as unplanned downtime or a safety-critical failure. Because the faults cannot be specified in advance, they must be discovered from the system’s own behavior as it operates, the task of anomaly detection [</w:t>
      </w:r>
      <w:hyperlink w:anchor="r-chandola">
        <w:r>
          <w:rPr>
            <w:rStyle w:val="Hyperlink"/>
          </w:rPr>
          <w:t xml:space="preserve">1</w:t>
        </w:r>
      </w:hyperlink>
      <w:r>
        <w:rPr/>
        <w:t xml:space="preserve">]</w:t>
      </w:r>
      <w:r>
        <w:rPr>
          <w:highlight w:val="green"/>
        </w:rPr>
        <w:t xml:space="preserve">, the unsupervised or semi-supervised flagging of departures from a model of normal behavior, adopted because labeled anomalies are too scarce to train a classifier [</w:t>
      </w:r>
      <w:hyperlink w:anchor="r-pang">
        <w:r>
          <w:rPr>
            <w:rStyle w:val="Hyperlink"/>
            <w:highlight w:val="green"/>
          </w:rPr>
          <w:t xml:space="preserve">2</w:t>
        </w:r>
      </w:hyperlink>
      <w:r>
        <w:rPr>
          <w:highlight w:val="green"/>
        </w:rPr>
        <w:t xml:space="preserve">, </w:t>
      </w:r>
      <w:hyperlink w:anchor="r-ruff">
        <w:r>
          <w:rPr>
            <w:rStyle w:val="Hyperlink"/>
            <w:highlight w:val="green"/>
          </w:rPr>
          <w:t xml:space="preserve">3</w:t>
        </w:r>
      </w:hyperlink>
      <w:r>
        <w:rPr>
          <w:highlight w:val="green"/>
        </w:rPr>
        <w:t xml:space="preserve">]</w:t>
      </w:r>
      <w:r>
        <w:rPr/>
        <w:t xml:space="preserve">. That behavior is richly observable: vibration, current, temperature, pressure, and position, together with internal control signals, stream continuously as</w:t>
      </w:r>
      <w:r>
        <w:rPr/>
        <w:t xml:space="preserve"> </w:t>
      </w:r>
      <w:r>
        <w:rPr>
          <w:highlight w:val="yellow"/>
        </w:rPr>
        <w:t xml:space="preserve">IIoT</w:t>
      </w:r>
      <w:r>
        <w:rPr/>
        <w:t xml:space="preserve"> </w:t>
      </w:r>
      <w:r>
        <w:rPr/>
        <w:t xml:space="preserve">telemetry and carry an early signature of almost any developing fault.</w:t>
      </w:r>
    </w:p>
    <w:p>
      <w:pPr>
        <w:pStyle w:val="MDPI31text"/>
        <w:ind w:left="2608"/>
      </w:pPr>
      <w:r>
        <w:rPr>
          <w:highlight w:val="yellow"/>
        </w:rPr>
        <w:t xml:space="preserve">In an IIoT deployment this telemetry does not remain on the device: field sensors and programmable logic controllers feed edge gateways and Supervisory Control and Data Acquisition (SCADA) historians that aggregate, window, and forward the multivariate stream</w:t>
      </w:r>
      <w:r>
        <w:rPr>
          <w:highlight w:val="yellow"/>
        </w:rPr>
        <w:t xml:space="preserve"> </w:t>
      </w:r>
      <w:r>
        <w:rPr>
          <w:highlight w:val="green"/>
        </w:rPr>
        <w:t xml:space="preserve">(Figure 1)</w:t>
      </w:r>
      <w:r>
        <w:rPr>
          <w:highlight w:val="yellow"/>
        </w:rPr>
        <w:t xml:space="preserve">, so unsupervised anomaly detection is the operative safeguard for IIoT reliability and security [</w:t>
      </w:r>
      <w:hyperlink w:anchor="r-iotsurvey">
        <w:r>
          <w:rPr>
            <w:rStyle w:val="Hyperlink"/>
            <w:highlight w:val="yellow"/>
          </w:rPr>
          <w:t xml:space="preserve">4</w:t>
        </w:r>
      </w:hyperlink>
      <w:r>
        <w:rPr>
          <w:highlight w:val="yellow"/>
        </w:rPr>
        <w:t xml:space="preserve">]. The stakes are cyber-physical: an anomalous window can indicate sensor degradation, actuator malfunction, a developing process fault, or a control-plane manipulation or intrusion, and because the digital and physical layers are coupled, a missed anomaly can propagate from a tampered setpoint into the physical process [</w:t>
      </w:r>
      <w:hyperlink w:anchor="r-iottaxon">
        <w:r>
          <w:rPr>
            <w:rStyle w:val="Hyperlink"/>
            <w:highlight w:val="yellow"/>
          </w:rPr>
          <w:t xml:space="preserve">5</w:t>
        </w:r>
      </w:hyperlink>
      <w:r>
        <w:rPr>
          <w:highlight w:val="yellow"/>
        </w:rPr>
        <w:t xml:space="preserve">]. Labeled faults are precisely what an IIoT operator lacks: normal telemetry accumulates continuously across a fleet of devices and operating regimes, whereas each specific fault or attack is rare, diverse, and often system-specific, so learning the plant’s normal law from normal data alone is the practical route to detection at IIoT scale [</w:t>
      </w:r>
      <w:hyperlink w:anchor="r-iotae">
        <w:r>
          <w:rPr>
            <w:rStyle w:val="Hyperlink"/>
            <w:highlight w:val="yellow"/>
          </w:rPr>
          <w:t xml:space="preserve">6</w:t>
        </w:r>
      </w:hyperlink>
      <w:r>
        <w:rPr>
          <w:highlight w:val="yellow"/>
        </w:rPr>
        <w:t xml:space="preserve">].</w:t>
      </w:r>
    </w:p>
    <w:p xmlns:a="http://schemas.openxmlformats.org/drawingml/2006/main" xmlns:pic="http://schemas.openxmlformats.org/drawingml/2006/picture">
      <w:pPr>
        <w:pStyle w:val="MDPI52figure"/>
        <w:ind w:left="2608"/>
        <w:jc w:val="center"/>
      </w:pPr>
      <w:r>
        <w:rPr/>
        <w:drawing>
          <wp:inline>
            <wp:extent cx="4989830" cy="3118643"/>
            <wp:effectExtent b="0" l="0" r="0" t="0"/>
            <wp:docPr descr="figure" title="" id="11" name="Picture"/>
            <a:graphic>
              <a:graphicData uri="http://schemas.openxmlformats.org/drawingml/2006/picture">
                <pic:pic>
                  <pic:nvPicPr>
                    <pic:cNvPr descr="_inlinesvg_0.png" id="12" name="Picture"/>
                    <pic:cNvPicPr>
                      <a:picLocks noChangeArrowheads="1" noChangeAspect="1"/>
                    </pic:cNvPicPr>
                  </pic:nvPicPr>
                  <pic:blipFill>
                    <a:blip r:embed="rId19"/>
                    <a:stretch>
                      <a:fillRect/>
                    </a:stretch>
                  </pic:blipFill>
                  <pic:spPr bwMode="auto">
                    <a:xfrm>
                      <a:off x="0" y="0"/>
                      <a:ext cx="4989830" cy="3118643"/>
                    </a:xfrm>
                    <a:prstGeom prst="rect">
                      <a:avLst/>
                    </a:prstGeom>
                    <a:noFill/>
                    <a:ln w="9525">
                      <a:noFill/>
                      <a:headEnd/>
                      <a:tailEnd/>
                    </a:ln>
                  </pic:spPr>
                </pic:pic>
              </a:graphicData>
            </a:graphic>
          </wp:inline>
        </w:drawing>
      </w:r>
    </w:p>
    <w:p>
      <w:pPr>
        <w:pStyle w:val="MDPI51figurecaption"/>
        <w:ind w:left="2608"/>
      </w:pPr>
      <w:r>
        <w:rPr>
          <w:b/>
          <w:bCs/>
          <w:highlight w:val="green"/>
        </w:rPr>
        <w:t xml:space="preserve">Figure 1.</w:t>
      </w:r>
      <w:r>
        <w:rPr>
          <w:highlight w:val="green"/>
        </w:rPr>
        <w:t xml:space="preserve"> </w:t>
      </w:r>
      <w:r>
        <w:rPr>
          <w:highlight w:val="green"/>
        </w:rPr>
        <w:t xml:space="preserve">IIoT monitoring context. LatAD occupies the edge/historian tier: field sensors and PLCs feed an edge gateway or SCADA historian that aggregates and windows the multivariate telemetry, LatAD scores each completed window online, and an anomaly alarm together with the most-surprised subsystem is forwarded to the operator, maintenance, or security stack. Model fitting and calibration use train-normal telemetry only, so a site is commissioned from its own normal data without labeled attacks. Grey blocks are existing IIoT infrastructure; blue blocks are LatAD and its output.</w:t>
      </w:r>
    </w:p>
    <w:p>
      <w:pPr>
        <w:pStyle w:val="MDPI31text"/>
        <w:ind w:left="2608"/>
      </w:pPr>
      <w:r>
        <w:rPr>
          <w:highlight w:val="green"/>
        </w:rPr>
        <w:t xml:space="preserve">Unsupervised anomaly detection for CPS telemetry</w:t>
      </w:r>
      <w:r>
        <w:rPr/>
        <w:t xml:space="preserve"> </w:t>
      </w:r>
      <w:r>
        <w:rPr/>
        <w:t xml:space="preserve">is often framed as characterizing the anomalies, but that framing is misleading. With a representative set of labeled faults the task would reduce to supervised classification; in practice genuine faults are rare and the few on record seldom span the ways a system can fail [</w:t>
      </w:r>
      <w:hyperlink w:anchor="r-ruff">
        <w:r>
          <w:rPr>
            <w:rStyle w:val="Hyperlink"/>
            <w:highlight w:val="yellow"/>
          </w:rPr>
          <w:t xml:space="preserve">3</w:t>
        </w:r>
      </w:hyperlink>
      <w:r>
        <w:rPr/>
        <w:t xml:space="preserve">], so they cannot define the decision boundary, and they cannot even be spent reliably on model selection. The usable information lies on the other side of the boundary, in the normal data, which is abundant and rarely exploited in full. Modeling that normal law faithfully is therefore the hard part of the problem</w:t>
      </w:r>
      <w:r>
        <w:rPr>
          <w:strike w:val="true"/>
          <w:color w:val="C0392B"/>
        </w:rPr>
        <w:t xml:space="preserve">, and cyber-physical</w:t>
      </w:r>
      <w:r>
        <w:rPr>
          <w:highlight w:val="green"/>
        </w:rPr>
        <w:t xml:space="preserve">. Cyber-physical</w:t>
      </w:r>
      <w:r>
        <w:rPr/>
        <w:t xml:space="preserve"> </w:t>
      </w:r>
      <w:r>
        <w:rPr/>
        <w:t xml:space="preserve">normal is a law of a particular kind: shaped by deterministic physics, hard actuator and setpoint limits, and engineered control, it is the union of many bounded, curved operating regimes, some common and many rare, each with legitimately low-density fringes, rather than a single statistical blob. A detector that mis-models this structure fails however it thresholds.</w:t>
      </w:r>
    </w:p>
    <w:p>
      <w:pPr>
        <w:pStyle w:val="MDPI31text"/>
        <w:ind w:left="2608"/>
      </w:pPr>
      <w:r>
        <w:rPr/>
        <w:t xml:space="preserve">A fault is anything that leaves this union of normal regimes, and the operationally difficult ones stay</w:t>
      </w:r>
      <w:r>
        <w:rPr/>
        <w:t xml:space="preserve"> </w:t>
      </w:r>
      <w:r>
        <w:rPr>
          <w:i/>
          <w:iCs/>
        </w:rPr>
        <w:t xml:space="preserve">inside</w:t>
      </w:r>
      <w:r>
        <w:rPr/>
        <w:t xml:space="preserve"> </w:t>
      </w:r>
      <w:r>
        <w:rPr/>
        <w:t xml:space="preserve">the marginal envelope of every channel while breaking the joint structure: a correlation break, a between-regime pocket, a history-inconsistent state. These faults are invisible to any per-channel range rule, and, as we show, to a reconstruction residual as well, because the question is not whether a flexible decoder can reproduce the state but whether normal operation is likely to occupy it. Reconstruction measures reachability; detection needs probability.</w:t>
      </w:r>
    </w:p>
    <w:p>
      <w:pPr>
        <w:pStyle w:val="MDPI31text"/>
        <w:ind w:left="2608"/>
      </w:pPr>
      <w:r>
        <w:rPr/>
        <w:t xml:space="preserve">Two obstacles have obscured this failure mode. The first is modeling. If normal is a union of many imbalanced</w:t>
      </w:r>
      <w:r>
        <w:rPr/>
        <w:t xml:space="preserve"> </w:t>
      </w:r>
      <w:r>
        <w:rPr/>
        <w:t xml:space="preserve">regimes, a global anomaly model under-fits the regime structure, a single deep autoencoder alarms on rare-but-valid</w:t>
      </w:r>
      <w:r>
        <w:rPr/>
        <w:t xml:space="preserve"> </w:t>
      </w:r>
      <w:r>
        <w:rPr/>
        <w:t xml:space="preserve">regimes (the trust-eroding false positive), and a reconstruction residual is blind to exactly the joint-structure</w:t>
      </w:r>
      <w:r>
        <w:rPr/>
        <w:t xml:space="preserve"> </w:t>
      </w:r>
      <w:r>
        <w:rPr/>
        <w:t xml:space="preserve">faults that matter, because a flexible decoder reconstructs them faithfully.</w:t>
      </w:r>
    </w:p>
    <w:p>
      <w:pPr>
        <w:pStyle w:val="MDPI31text"/>
        <w:ind w:left="2608"/>
      </w:pPr>
      <w:r>
        <w:rPr/>
        <w:t xml:space="preserve">The second is evaluation. The dominant metric in the literature, point-adjusted</w:t>
      </w:r>
      <w:r>
        <w:rPr/>
        <w:t xml:space="preserve"> </w:t>
      </w:r>
      <w:r>
        <w:rPr>
          <w:highlight w:val="green"/>
        </w:rPr>
        <w:t xml:space="preserve">F1 (the harmonic mean of precision and recall)</w:t>
      </w:r>
      <w:r>
        <w:rPr/>
        <w:t xml:space="preserve">, inflates scores so severely</w:t>
      </w:r>
      <w:r>
        <w:rPr/>
        <w:t xml:space="preserve"> </w:t>
      </w:r>
      <w:r>
        <w:rPr/>
        <w:t xml:space="preserve">that a</w:t>
      </w:r>
      <w:r>
        <w:rPr/>
        <w:t xml:space="preserve"> </w:t>
      </w:r>
      <w:r>
        <w:rPr>
          <w:i/>
          <w:iCs/>
        </w:rPr>
        <w:t xml:space="preserve">random</w:t>
      </w:r>
      <w:r>
        <w:rPr/>
        <w:t xml:space="preserve"> </w:t>
      </w:r>
      <w:r>
        <w:rPr/>
        <w:t xml:space="preserve">anomaly score can beat every published deep model [</w:t>
      </w:r>
      <w:hyperlink w:anchor="r-kim">
        <w:r>
          <w:rPr>
            <w:rStyle w:val="Hyperlink"/>
            <w:highlight w:val="yellow"/>
          </w:rPr>
          <w:t xml:space="preserve">7</w:t>
        </w:r>
      </w:hyperlink>
      <w:r>
        <w:rPr/>
        <w:t xml:space="preserve">,</w:t>
      </w:r>
      <w:r>
        <w:rPr/>
        <w:t xml:space="preserve"> </w:t>
      </w:r>
      <w:hyperlink w:anchor="r-garg">
        <w:r>
          <w:rPr>
            <w:rStyle w:val="Hyperlink"/>
            <w:highlight w:val="yellow"/>
          </w:rPr>
          <w:t xml:space="preserve">8</w:t>
        </w:r>
      </w:hyperlink>
      <w:r>
        <w:rPr/>
        <w:t xml:space="preserve">];</w:t>
      </w:r>
      <w:r>
        <w:rPr/>
        <w:t xml:space="preserve"> </w:t>
      </w:r>
      <w:r>
        <w:rPr/>
        <w:t xml:space="preserve">and even under raw metrics, public CPS benchmarks are dominated by anomalies that a one-line univariate rule already</w:t>
      </w:r>
      <w:r>
        <w:rPr/>
        <w:t xml:space="preserve"> </w:t>
      </w:r>
      <w:r>
        <w:rPr/>
        <w:t xml:space="preserve">separates [</w:t>
      </w:r>
      <w:hyperlink w:anchor="r-wukeogh">
        <w:r>
          <w:rPr>
            <w:rStyle w:val="Hyperlink"/>
            <w:highlight w:val="yellow"/>
          </w:rPr>
          <w:t xml:space="preserve">9</w:t>
        </w:r>
      </w:hyperlink>
      <w:r>
        <w:rPr/>
        <w:t xml:space="preserve">], so a high headline number certifies little. Progress on the faults that matter</w:t>
      </w:r>
      <w:r>
        <w:rPr/>
        <w:t xml:space="preserve"> </w:t>
      </w:r>
      <w:r>
        <w:rPr/>
        <w:t xml:space="preserve">cannot be measured until the easy majority is separated from the discriminative minority.</w:t>
      </w:r>
    </w:p>
    <w:p>
      <w:pPr>
        <w:pStyle w:val="MDPI31text"/>
        <w:ind w:left="2608"/>
      </w:pPr>
      <w:r>
        <w:rPr>
          <w:highlight w:val="green"/>
        </w:rPr>
        <w:t xml:space="preserve">LatAD addresses the modeling obstacle: it replaces the reconstruction residual of USAD- and TranAD-style deep detectors with a probability score in a jointly learned latent regime space, factorized over the plant’s physical subsystems. The evaluation obstacle it addresses by adopting the critique’s protocol, raw metrics with difficulty stratification, which we use rather than claim as a contribution.</w:t>
      </w:r>
    </w:p>
    <w:p>
      <w:pPr>
        <w:pStyle w:val="MDPI31text"/>
        <w:ind w:left="2608"/>
      </w:pPr>
      <w:r>
        <w:rPr>
          <w:highlight w:val="green"/>
        </w:rPr>
        <w:t xml:space="preserve">A note on scope. Anomalies in a cyber-physical system arise from faults as much as from attacks: a drifting sensor, a worn actuator, or a slowly developing process fault alongside a deliberate intrusion. The operationally costly ones are frequently slow, an incipient malfunction that stays within the normal per-channel envelope while gradually crossing operating regimes, which is harder to catch than an abrupt, out-of-range event [</w:t>
      </w:r>
      <w:hyperlink w:anchor="r-incip">
        <w:r>
          <w:rPr>
            <w:rStyle w:val="Hyperlink"/>
            <w:highlight w:val="green"/>
          </w:rPr>
          <w:t xml:space="preserve">10</w:t>
        </w:r>
      </w:hyperlink>
      <w:r>
        <w:rPr>
          <w:highlight w:val="green"/>
        </w:rPr>
        <w:t xml:space="preserve">]. Open CPS datasets with real labeled anomalies are scarce and attack-centric: the few public testbeds inject discrete, largely abrupt attacks [</w:t>
      </w:r>
      <w:hyperlink w:anchor="r-wukeogh">
        <w:r>
          <w:rPr>
            <w:rStyle w:val="Hyperlink"/>
            <w:highlight w:val="green"/>
          </w:rPr>
          <w:t xml:space="preserve">9</w:t>
        </w:r>
      </w:hyperlink>
      <w:r>
        <w:rPr>
          <w:highlight w:val="green"/>
        </w:rPr>
        <w:t xml:space="preserve">], while operational plant telemetry with labeled faults is seldom released for safety and security reasons.</w:t>
      </w:r>
      <w:r>
        <w:rPr>
          <w:highlight w:val="green"/>
        </w:rPr>
        <w:t xml:space="preserve"> </w:t>
      </w:r>
      <w:r>
        <w:rPr>
          <w:highlight w:val="green"/>
        </w:rPr>
        <w:t xml:space="preserve">These public testbeds are also small: SWaT (51 channels, 11 days), WADI (122 channels, 16 days), and HAI (59 channels, about 25 days) each span tens of channels, days to weeks, and a single nominal regime, whereas an operating plant, aircraft, or vehicle instruments orders of magnitude more streams over months to years and moves through many regimes [</w:t>
      </w:r>
      <w:hyperlink w:anchor="r-bdg2">
        <w:r>
          <w:rPr>
            <w:rStyle w:val="Hyperlink"/>
            <w:highlight w:val="green"/>
          </w:rPr>
          <w:t xml:space="preserve">11</w:t>
        </w:r>
      </w:hyperlink>
      <w:r>
        <w:rPr>
          <w:highlight w:val="green"/>
        </w:rPr>
        <w:t xml:space="preserve">] (§2.5).</w:t>
      </w:r>
      <w:r>
        <w:rPr>
          <w:highlight w:val="green"/>
        </w:rPr>
        <w:t xml:space="preserve"> </w:t>
      </w:r>
      <w:r>
        <w:rPr>
          <w:highlight w:val="green"/>
        </w:rPr>
        <w:t xml:space="preserve">Slowly-progressing and between-regime faults are therefore underrepresented in public benchmarks, which shapes what any method can be exercised on and motivates the</w:t>
      </w:r>
      <w:r>
        <w:rPr>
          <w:highlight w:val="green"/>
        </w:rPr>
        <w:t xml:space="preserve"> </w:t>
      </w:r>
      <w:r>
        <w:rPr>
          <w:highlight w:val="green"/>
        </w:rPr>
        <w:t xml:space="preserve">trajectory assumptions examined in §7</w:t>
      </w:r>
      <w:r>
        <w:rPr>
          <w:strike w:val="true"/>
          <w:color w:val="C0392B"/>
        </w:rPr>
        <w:t xml:space="preserve"> (A8, between-regime overlap, specified but not realized by the reported model, its masking form coupled to A10; A9, multiscale structure, present in the data yet exploited here only as a complementary lever; and A10, path dependence, measured absent on these snapshot-detectable benchmarks)</w:t>
      </w:r>
      <w:r>
        <w:rPr>
          <w:highlight w:val="green"/>
        </w:rPr>
        <w:t xml:space="preserve">.</w:t>
      </w:r>
    </w:p>
    <w:p>
      <w:pPr>
        <w:pStyle w:val="MDPI31text"/>
        <w:ind w:left="2608"/>
      </w:pPr>
      <w:r>
        <w:rPr/>
        <w:t xml:space="preserve">This paper makes three contributions.</w:t>
      </w:r>
      <w:r>
        <w:rPr/>
        <w:t xml:space="preserve"> </w:t>
      </w:r>
      <w:r>
        <w:rPr>
          <w:b/>
          <w:bCs/>
        </w:rPr>
        <w:t xml:space="preserve">(1)</w:t>
      </w:r>
      <w:r>
        <w:rPr/>
        <w:t xml:space="preserve"> </w:t>
      </w:r>
      <w:r>
        <w:rPr/>
        <w:t xml:space="preserve">We state the structural assumptions of CPS normal</w:t>
      </w:r>
      <w:r>
        <w:rPr/>
        <w:t xml:space="preserve"> </w:t>
      </w:r>
      <w:r>
        <w:rPr/>
        <w:t xml:space="preserve">data as an explicit list, A1–A10, abbreviated MIIM (</w:t>
      </w:r>
      <w:r>
        <w:rPr>
          <w:i/>
          <w:iCs/>
        </w:rPr>
        <w:t xml:space="preserve">Massive, Implicit, Imbalanced Multimodality</w:t>
      </w:r>
      <w:r>
        <w:rPr/>
        <w:t xml:space="preserve">), and</w:t>
      </w:r>
      <w:r>
        <w:rPr/>
        <w:t xml:space="preserve"> </w:t>
      </w:r>
      <w:r>
        <w:rPr/>
        <w:t xml:space="preserve">tie each assumption to a concrete choice for modeling normal (§3).</w:t>
      </w:r>
      <w:r>
        <w:rPr/>
        <w:t xml:space="preserve"> </w:t>
      </w:r>
      <w:r>
        <w:rPr>
          <w:b/>
          <w:bCs/>
        </w:rPr>
        <w:t xml:space="preserve">(2)</w:t>
      </w:r>
      <w:r>
        <w:rPr/>
        <w:t xml:space="preserve"> </w:t>
      </w:r>
      <w:r>
        <w:rPr/>
        <w:t xml:space="preserve">We build</w:t>
      </w:r>
      <w:r>
        <w:rPr/>
        <w:t xml:space="preserve"> </w:t>
      </w:r>
      <w:r>
        <w:rPr>
          <w:b/>
          <w:bCs/>
        </w:rPr>
        <w:t xml:space="preserve">LatAD</w:t>
      </w:r>
      <w:r>
        <w:rPr/>
        <w:t xml:space="preserve">, a detector whose whole design is modeling that normal law: a jointly learned latent with</w:t>
      </w:r>
      <w:r>
        <w:rPr/>
        <w:t xml:space="preserve"> </w:t>
      </w:r>
      <w:r>
        <w:rPr/>
        <w:t xml:space="preserve">explicit Gaussian-mixture regime clustering (</w:t>
      </w:r>
      <w:r>
        <w:rPr>
          <w:highlight w:val="green"/>
        </w:rPr>
        <w:t xml:space="preserve">Variational Deep Embedding,</w:t>
      </w:r>
      <w:r>
        <w:rPr/>
        <w:t xml:space="preserve"> </w:t>
      </w:r>
      <w:r>
        <w:rPr/>
        <w:t xml:space="preserve">VaDE), scored in the latent by a mixture-density head and a</w:t>
      </w:r>
      <w:r>
        <w:rPr/>
        <w:t xml:space="preserve"> </w:t>
      </w:r>
      <w:r>
        <w:rPr/>
        <w:t xml:space="preserve">rare-regime-safe nearest-component likelihood (§4). Its key mechanism is demoting reconstruction from the default</w:t>
      </w:r>
      <w:r>
        <w:rPr/>
        <w:t xml:space="preserve"> </w:t>
      </w:r>
      <w:r>
        <w:rPr/>
        <w:t xml:space="preserve">score, since a flexible decoder reconstructs the hard faults faithfully; reconstruction re-enters only through an</w:t>
      </w:r>
      <w:r>
        <w:rPr/>
        <w:t xml:space="preserve"> </w:t>
      </w:r>
      <w:r>
        <w:rPr/>
        <w:t xml:space="preserve">optional residual head, switched on by a gate that tests generalization on held-out normal data. Its headline</w:t>
      </w:r>
      <w:r>
        <w:rPr/>
        <w:t xml:space="preserve"> </w:t>
      </w:r>
      <w:r>
        <w:rPr/>
        <w:t xml:space="preserve">realization factorizes this density over the plant’s own subsystems, recovered unsupervised as communities of</w:t>
      </w:r>
      <w:r>
        <w:rPr/>
        <w:t xml:space="preserve"> </w:t>
      </w:r>
      <w:r>
        <w:rPr/>
        <w:t xml:space="preserve">the normal-data correlation graph, and combines the per-subsystem surprises by cohesion-weighted Higher Criticism</w:t>
      </w:r>
      <w:r>
        <w:rPr>
          <w:highlight w:val="green"/>
        </w:rPr>
        <w:t xml:space="preserve"> (HC), a statistic that flags when more subsystems are mildly surprised than chance allows,</w:t>
      </w:r>
      <w:r>
        <w:rPr/>
        <w:t xml:space="preserve"> </w:t>
      </w:r>
      <w:r>
        <w:rPr/>
        <w:t xml:space="preserve">so a local fault that a single global density dilutes is concentrated instead (§4.4).</w:t>
      </w:r>
      <w:r>
        <w:rPr/>
        <w:t xml:space="preserve"> </w:t>
      </w:r>
      <w:r>
        <w:rPr>
          <w:b/>
          <w:bCs/>
        </w:rPr>
        <w:t xml:space="preserve">(3)</w:t>
      </w:r>
      <w:r>
        <w:rPr/>
        <w:t xml:space="preserve"> </w:t>
      </w:r>
      <w:r>
        <w:rPr/>
        <w:t xml:space="preserve">We evaluate under a fair protocol (raw point-wise metrics, difficulty stratification, train-normal-only calibration)</w:t>
      </w:r>
      <w:r>
        <w:rPr/>
        <w:t xml:space="preserve"> </w:t>
      </w:r>
      <w:r>
        <w:rPr/>
        <w:t xml:space="preserve">on three real</w:t>
      </w:r>
      <w:r>
        <w:rPr/>
        <w:t xml:space="preserve"> </w:t>
      </w:r>
      <w:r>
        <w:rPr>
          <w:highlight w:val="yellow"/>
        </w:rPr>
        <w:t xml:space="preserve">IIoT / industrial-control testbeds (WADI, HAI, SWaT)</w:t>
      </w:r>
      <w:r>
        <w:rPr/>
        <w:t xml:space="preserve">, comparing against classical baselines and the deep detectors USAD and TranAD</w:t>
      </w:r>
      <w:r>
        <w:rPr/>
        <w:t xml:space="preserve"> </w:t>
      </w:r>
      <w:r>
        <w:rPr/>
        <w:t xml:space="preserve">re-computed with the same raw metrics (§5–6). LatAD attains the best overall</w:t>
      </w:r>
      <w:r>
        <w:rPr/>
        <w:t xml:space="preserve"> </w:t>
      </w:r>
      <w:r>
        <w:rPr>
          <w:highlight w:val="green"/>
        </w:rPr>
        <w:t xml:space="preserve">AUROC (area under the ROC curve)</w:t>
      </w:r>
      <w:r>
        <w:rPr/>
        <w:t xml:space="preserve"> </w:t>
      </w:r>
      <w:r>
        <w:rPr/>
        <w:t xml:space="preserve">on</w:t>
      </w:r>
      <w:r>
        <w:rPr/>
        <w:t xml:space="preserve"> </w:t>
      </w:r>
      <w:r>
        <w:rPr>
          <w:strike w:val="true"/>
          <w:color w:val="C0392B"/>
        </w:rPr>
        <w:t xml:space="preserve">every dataset</w:t>
      </w:r>
      <w:r>
        <w:rPr>
          <w:highlight w:val="green"/>
        </w:rPr>
        <w:t xml:space="preserve">HAI and SWaT</w:t>
      </w:r>
      <w:r>
        <w:rPr/>
        <w:t xml:space="preserve"> </w:t>
      </w:r>
      <w:r>
        <w:rPr/>
        <w:t xml:space="preserve">and</w:t>
      </w:r>
      <w:r>
        <w:rPr/>
        <w:t xml:space="preserve"> </w:t>
      </w:r>
      <w:r>
        <w:rPr/>
        <w:t xml:space="preserve">leads the difficult subset of all three, most decisively on HAI, where the difficult faults break joint structure,</w:t>
      </w:r>
      <w:r>
        <w:rPr/>
        <w:t xml:space="preserve"> </w:t>
      </w:r>
      <w:r>
        <w:rPr/>
        <w:t xml:space="preserve">the deep detectors collapse to near chance, and LatAD’s margin is statistically significant.</w:t>
      </w:r>
    </w:p>
    <w:p>
      <w:pPr>
        <w:pStyle w:val="MDPI31text"/>
        <w:ind w:left="2608"/>
      </w:pPr>
      <w:r>
        <w:rPr/>
        <w:t xml:space="preserve">Because aggregate benchmark scores are dominated by easy marginal excursions, the central test throughout is</w:t>
      </w:r>
      <w:r>
        <w:rPr/>
        <w:t xml:space="preserve"> </w:t>
      </w:r>
      <w:r>
        <w:rPr/>
        <w:t xml:space="preserve">performance on the difficult subset, the anomalies a simple per-channel detector cannot separate, not the headline</w:t>
      </w:r>
      <w:r>
        <w:rPr/>
        <w:t xml:space="preserve"> </w:t>
      </w:r>
      <w:r>
        <w:rPr/>
        <w:t xml:space="preserve">number. The study covers three datasets with a single trained configuration per dataset; AUROC is reported as a</w:t>
      </w:r>
      <w:r>
        <w:rPr/>
        <w:t xml:space="preserve"> </w:t>
      </w:r>
      <w:r>
        <w:rPr/>
        <w:t xml:space="preserve">five-seed mean, and the best-F1 threshold is a test-swept oracle disclosed in §5.</w:t>
      </w:r>
    </w:p>
    <w:p>
      <w:pPr>
        <w:pStyle w:val="MDPI21heading1"/>
        <w:ind w:left="2608"/>
      </w:pPr>
      <w:r>
        <w:rPr/>
        <w:t xml:space="preserve">2  Related work</w:t>
      </w:r>
    </w:p>
    <w:p>
      <w:pPr>
        <w:pStyle w:val="MDPI32textnoindent"/>
        <w:ind w:left="2608"/>
      </w:pPr>
      <w:r>
        <w:rPr>
          <w:strike w:val="true"/>
          <w:color w:val="C0392B"/>
        </w:rPr>
        <w:t xml:space="preserve">Anomaly detection is the unsupervised or semi-supervised task of flagging departures from a model of normal behavior, adopted precisely because labeled anomalies are too scarce to train a classifier [1, 9, 5].</w:t>
      </w:r>
      <w:r>
        <w:rPr/>
        <w:t xml:space="preserve"> </w:t>
      </w:r>
      <w:r>
        <w:rPr>
          <w:highlight w:val="green"/>
        </w:rPr>
        <w:t xml:space="preserve">On time series, anomaly detection must respect temporal and cross-channel dependence [</w:t>
      </w:r>
      <w:hyperlink w:anchor="r-tsreview">
        <w:r>
          <w:rPr>
            <w:rStyle w:val="Hyperlink"/>
            <w:highlight w:val="green"/>
          </w:rPr>
          <w:t xml:space="preserve">12</w:t>
        </w:r>
      </w:hyperlink>
      <w:r>
        <w:rPr>
          <w:highlight w:val="green"/>
        </w:rPr>
        <w:t xml:space="preserve">], and on cyber-physical and industrial control systems it underpins physics-aware intrusion and fault detection [</w:t>
      </w:r>
      <w:hyperlink w:anchor="r-icssurvey">
        <w:r>
          <w:rPr>
            <w:rStyle w:val="Hyperlink"/>
            <w:highlight w:val="green"/>
          </w:rPr>
          <w:t xml:space="preserve">13</w:t>
        </w:r>
      </w:hyperlink>
      <w:r>
        <w:rPr>
          <w:highlight w:val="green"/>
        </w:rPr>
        <w:t xml:space="preserve">].</w:t>
      </w:r>
      <w:r>
        <w:rPr>
          <w:strike w:val="true"/>
          <w:color w:val="C0392B"/>
        </w:rPr>
        <w:t xml:space="preserve">LatAD sits squarely in this line: unsupervised, trained on normal only, and specialised to the multimodal structure of cyber-physical normal behavior.</w:t>
      </w:r>
    </w:p>
    <w:p>
      <w:pPr>
        <w:pStyle w:val="MDPI22heading2"/>
        <w:ind w:left="2608"/>
      </w:pPr>
      <w:r>
        <w:rPr>
          <w:highlight w:val="yellow"/>
        </w:rPr>
        <w:t xml:space="preserve">2.1  Anomaly detection in the Industrial IoT and edge intelligence</w:t>
      </w:r>
    </w:p>
    <w:p>
      <w:pPr>
        <w:pStyle w:val="MDPI32textnoindent"/>
        <w:ind w:left="2608"/>
      </w:pPr>
      <w:r>
        <w:rPr>
          <w:highlight w:val="yellow"/>
        </w:rPr>
        <w:t xml:space="preserve">Anomaly and intrusion detection is a core reliability-and-security function of the Industrial Internet of Things, where networked sensing, actuation, and industrial processes are monitored continuously from streaming telemetry rather than from packet-level network traces alone [</w:t>
      </w:r>
      <w:hyperlink w:anchor="r-iotsurvey">
        <w:r>
          <w:rPr>
            <w:rStyle w:val="Hyperlink"/>
            <w:highlight w:val="yellow"/>
          </w:rPr>
          <w:t xml:space="preserve">4</w:t>
        </w:r>
      </w:hyperlink>
      <w:r>
        <w:rPr>
          <w:highlight w:val="yellow"/>
        </w:rPr>
        <w:t xml:space="preserve">, </w:t>
      </w:r>
      <w:hyperlink w:anchor="r-iottaxon">
        <w:r>
          <w:rPr>
            <w:rStyle w:val="Hyperlink"/>
            <w:highlight w:val="yellow"/>
          </w:rPr>
          <w:t xml:space="preserve">5</w:t>
        </w:r>
      </w:hyperlink>
      <w:r>
        <w:rPr>
          <w:highlight w:val="yellow"/>
        </w:rPr>
        <w:t xml:space="preserve">]. Because representative labeled faults and attacks are scarce and system-specific, the field leans on unsupervised, one-class, and normal-only models: deep autoencoders and related density models are trained on normal IoT telemetry and flag departures from it [</w:t>
      </w:r>
      <w:hyperlink w:anchor="r-iotae">
        <w:r>
          <w:rPr>
            <w:rStyle w:val="Hyperlink"/>
            <w:highlight w:val="yellow"/>
          </w:rPr>
          <w:t xml:space="preserve">6</w:t>
        </w:r>
      </w:hyperlink>
      <w:r>
        <w:rPr>
          <w:highlight w:val="yellow"/>
        </w:rPr>
        <w:t xml:space="preserve">, </w:t>
      </w:r>
      <w:hyperlink w:anchor="r-tsadreview">
        <w:r>
          <w:rPr>
            <w:rStyle w:val="Hyperlink"/>
            <w:highlight w:val="yellow"/>
          </w:rPr>
          <w:t xml:space="preserve">14</w:t>
        </w:r>
      </w:hyperlink>
      <w:r>
        <w:rPr>
          <w:highlight w:val="yellow"/>
        </w:rPr>
        <w:t xml:space="preserve">], a setting LatAD shares. A parallel thread pushes detection to the network edge: moving inference onto gateways and industrial edge nodes reduces telemetry backhaul and enables local response, at the cost of compute, memory, and latency budgets that shape model design [</w:t>
      </w:r>
      <w:hyperlink w:anchor="r-edgeint">
        <w:r>
          <w:rPr>
            <w:rStyle w:val="Hyperlink"/>
            <w:highlight w:val="yellow"/>
          </w:rPr>
          <w:t xml:space="preserve">15</w:t>
        </w:r>
      </w:hyperlink>
      <w:r>
        <w:rPr>
          <w:highlight w:val="yellow"/>
        </w:rPr>
        <w:t xml:space="preserve">, </w:t>
      </w:r>
      <w:hyperlink w:anchor="r-iotlora">
        <w:r>
          <w:rPr>
            <w:rStyle w:val="Hyperlink"/>
            <w:highlight w:val="yellow"/>
          </w:rPr>
          <w:t xml:space="preserve">16</w:t>
        </w:r>
      </w:hyperlink>
      <w:r>
        <w:rPr>
          <w:highlight w:val="yellow"/>
        </w:rPr>
        <w:t xml:space="preserve">, </w:t>
      </w:r>
      <w:hyperlink w:anchor="r-iotedgeai">
        <w:r>
          <w:rPr>
            <w:rStyle w:val="Hyperlink"/>
            <w:highlight w:val="yellow"/>
          </w:rPr>
          <w:t xml:space="preserve">17</w:t>
        </w:r>
      </w:hyperlink>
      <w:r>
        <w:rPr>
          <w:highlight w:val="yellow"/>
        </w:rPr>
        <w:t xml:space="preserve">]. IIoT deployments are also heterogeneous and multimodal at fleet scale, with many devices, subsystems, and operating regimes whose distributional structure a single global model captures poorly [</w:t>
      </w:r>
      <w:hyperlink w:anchor="r-iottaxon">
        <w:r>
          <w:rPr>
            <w:rStyle w:val="Hyperlink"/>
            <w:highlight w:val="yellow"/>
          </w:rPr>
          <w:t xml:space="preserve">5</w:t>
        </w:r>
      </w:hyperlink>
      <w:r>
        <w:rPr>
          <w:highlight w:val="yellow"/>
        </w:rPr>
        <w:t xml:space="preserve">].</w:t>
      </w:r>
      <w:r>
        <w:rPr>
          <w:highlight w:val="yellow"/>
        </w:rPr>
        <w:t xml:space="preserve"> </w:t>
      </w:r>
      <w:r>
        <w:rPr>
          <w:highlight w:val="green"/>
        </w:rPr>
        <w:t xml:space="preserve">Global autoencoders trained across such heterogeneity develop detection blind spots on multi-product CPS that grade-specific models recover [</w:t>
      </w:r>
      <w:hyperlink w:anchor="r-islam">
        <w:r>
          <w:rPr>
            <w:rStyle w:val="Hyperlink"/>
            <w:highlight w:val="green"/>
          </w:rPr>
          <w:t xml:space="preserve">18</w:t>
        </w:r>
      </w:hyperlink>
      <w:r>
        <w:rPr>
          <w:highlight w:val="green"/>
        </w:rPr>
        <w:t xml:space="preserve">], reinforcing our regime-latent factorization over a single plant-wide model.</w:t>
      </w:r>
      <w:r>
        <w:rPr>
          <w:highlight w:val="yellow"/>
        </w:rPr>
        <w:t xml:space="preserve"> </w:t>
      </w:r>
      <w:r>
        <w:rPr>
          <w:highlight w:val="yellow"/>
          <w:strike w:val="true"/>
          <w:color w:val="C0392B"/>
        </w:rPr>
        <w:t xml:space="preserve">LatAD addresses a complementary IIoT problem: detecting process-level anomalies in multivariate sensor and actuator telemetry when only normal operation is available for training, and doing so per physical subsystem rather than through one plant-wide score.</w:t>
      </w:r>
      <w:r>
        <w:rPr>
          <w:highlight w:val="yellow"/>
        </w:rPr>
        <w:t xml:space="preserve"> </w:t>
      </w:r>
      <w:r>
        <w:rPr>
          <w:highlight w:val="green"/>
        </w:rPr>
        <w:t xml:space="preserve">Process-level, subsystem-localized detection from normal-only telemetry, under regime imbalance, remains open.</w:t>
      </w:r>
    </w:p>
    <w:p>
      <w:pPr>
        <w:pStyle w:val="MDPI22heading2"/>
        <w:ind w:left="2608"/>
      </w:pPr>
      <w:r>
        <w:rPr/>
        <w:t xml:space="preserve">2.2  The illusion of progress in time-series anomaly-detection evaluation</w:t>
      </w:r>
    </w:p>
    <w:p>
      <w:pPr>
        <w:pStyle w:val="MDPI32textnoindent"/>
        <w:ind w:left="2608"/>
      </w:pPr>
      <w:r>
        <w:rPr/>
        <w:t xml:space="preserve">A line of critical work shows that the standard evaluation of time-series anomaly detection is unreliable.</w:t>
      </w:r>
      <w:r>
        <w:rPr/>
        <w:t xml:space="preserve"> </w:t>
      </w:r>
      <w:r>
        <w:rPr/>
        <w:t xml:space="preserve">Kim et al. [</w:t>
      </w:r>
      <w:hyperlink w:anchor="r-kim">
        <w:r>
          <w:rPr>
            <w:rStyle w:val="Hyperlink"/>
            <w:highlight w:val="yellow"/>
          </w:rPr>
          <w:t xml:space="preserve">7</w:t>
        </w:r>
      </w:hyperlink>
      <w:r>
        <w:rPr/>
        <w:t xml:space="preserve">] demonstrate that the ubiquitous</w:t>
      </w:r>
      <w:r>
        <w:rPr/>
        <w:t xml:space="preserve"> </w:t>
      </w:r>
      <w:r>
        <w:rPr>
          <w:i/>
          <w:iCs/>
        </w:rPr>
        <w:t xml:space="preserve">point-adjustment</w:t>
      </w:r>
      <w:r>
        <w:rPr/>
        <w:t xml:space="preserve"> </w:t>
      </w:r>
      <w:r>
        <w:rPr/>
        <w:t xml:space="preserve">protocol</w:t>
      </w:r>
      <w:r>
        <w:rPr/>
        <w:t xml:space="preserve"> </w:t>
      </w:r>
      <w:r>
        <w:rPr/>
        <w:t xml:space="preserve">(marking an entire ground-truth anomaly segment as detected if any single point in it is flagged) inflates</w:t>
      </w:r>
      <w:r>
        <w:rPr/>
        <w:t xml:space="preserve"> </w:t>
      </w:r>
      <w:r>
        <w:rPr/>
        <w:t xml:space="preserve">F1 so drastically that a</w:t>
      </w:r>
      <w:r>
        <w:rPr/>
        <w:t xml:space="preserve"> </w:t>
      </w:r>
      <w:r>
        <w:rPr>
          <w:i/>
          <w:iCs/>
        </w:rPr>
        <w:t xml:space="preserve">random</w:t>
      </w:r>
      <w:r>
        <w:rPr/>
        <w:t xml:space="preserve"> </w:t>
      </w:r>
      <w:r>
        <w:rPr/>
        <w:t xml:space="preserve">anomaly score achieves higher point-adjusted F1 than every state-of-the-art</w:t>
      </w:r>
      <w:r>
        <w:rPr/>
        <w:t xml:space="preserve"> </w:t>
      </w:r>
      <w:r>
        <w:rPr/>
        <w:t xml:space="preserve">model on SWaT and WADI. Garg et al. [</w:t>
      </w:r>
      <w:hyperlink w:anchor="r-garg">
        <w:r>
          <w:rPr>
            <w:rStyle w:val="Hyperlink"/>
            <w:highlight w:val="yellow"/>
          </w:rPr>
          <w:t xml:space="preserve">8</w:t>
        </w:r>
      </w:hyperlink>
      <w:r>
        <w:rPr/>
        <w:t xml:space="preserve">] independently reproduce this inflation and show</w:t>
      </w:r>
      <w:r>
        <w:rPr/>
        <w:t xml:space="preserve"> </w:t>
      </w:r>
      <w:r>
        <w:rPr/>
        <w:t xml:space="preserve">that simple baselines (PCA, channel-wise autoencoders) beat elaborate deep models once metrics are made rigorous,</w:t>
      </w:r>
      <w:r>
        <w:rPr/>
        <w:t xml:space="preserve"> </w:t>
      </w:r>
      <w:r>
        <w:rPr/>
        <w:t xml:space="preserve">and that deep methods often fail to detect even simple anomalies. Doshi et al. [</w:t>
      </w:r>
      <w:hyperlink w:anchor="r-doshi">
        <w:r>
          <w:rPr>
            <w:rStyle w:val="Hyperlink"/>
            <w:highlight w:val="yellow"/>
          </w:rPr>
          <w:t xml:space="preserve">19</w:t>
        </w:r>
      </w:hyperlink>
      <w:r>
        <w:rPr/>
        <w:t xml:space="preserve">]</w:t>
      </w:r>
      <w:r>
        <w:rPr/>
        <w:t xml:space="preserve"> </w:t>
      </w:r>
      <w:r>
        <w:rPr/>
        <w:t xml:space="preserve">diagnose the point-adjustment reward structure and propose a rectified evaluation, and proximity- and event-aware</w:t>
      </w:r>
      <w:r>
        <w:rPr/>
        <w:t xml:space="preserve"> </w:t>
      </w:r>
      <w:r>
        <w:rPr/>
        <w:t xml:space="preserve">metrics such as PATE [</w:t>
      </w:r>
      <w:hyperlink w:anchor="r-pate">
        <w:r>
          <w:rPr>
            <w:rStyle w:val="Hyperlink"/>
            <w:highlight w:val="yellow"/>
          </w:rPr>
          <w:t xml:space="preserve">20</w:t>
        </w:r>
      </w:hyperlink>
      <w:r>
        <w:rPr/>
        <w:t xml:space="preserve">] move beyond point adjustment altogether. The critique now spans metrics and benchmarks alike. Wu and Keogh</w:t>
      </w:r>
      <w:r>
        <w:rPr/>
        <w:t xml:space="preserve"> </w:t>
      </w:r>
      <w:r>
        <w:rPr/>
        <w:t xml:space="preserve">[</w:t>
      </w:r>
      <w:hyperlink w:anchor="r-wukeogh">
        <w:r>
          <w:rPr>
            <w:rStyle w:val="Hyperlink"/>
            <w:highlight w:val="yellow"/>
          </w:rPr>
          <w:t xml:space="preserve">9</w:t>
        </w:r>
      </w:hyperlink>
      <w:r>
        <w:rPr/>
        <w:t xml:space="preserve">] argue that many popular benchmarks are flawed (triviality, mislabelling and</w:t>
      </w:r>
      <w:r>
        <w:rPr/>
        <w:t xml:space="preserve"> </w:t>
      </w:r>
      <w:r>
        <w:rPr/>
        <w:t xml:space="preserve">unrealistic anomaly density) creating an illusion of progress; and a recent benchmark analysis</w:t>
      </w:r>
      <w:r>
        <w:rPr/>
        <w:t xml:space="preserve"> </w:t>
      </w:r>
      <w:r>
        <w:rPr/>
        <w:t xml:space="preserve">[</w:t>
      </w:r>
      <w:hyperlink w:anchor="r-univar">
        <w:r>
          <w:rPr>
            <w:rStyle w:val="Hyperlink"/>
            <w:highlight w:val="yellow"/>
          </w:rPr>
          <w:t xml:space="preserve">21</w:t>
        </w:r>
      </w:hyperlink>
      <w:r>
        <w:rPr/>
        <w:t xml:space="preserve">] finds that anomaly segments in multivariate CPS benchmarks are mostly univariate</w:t>
      </w:r>
      <w:r>
        <w:rPr/>
        <w:t xml:space="preserve"> </w:t>
      </w:r>
      <w:r>
        <w:rPr/>
        <w:t xml:space="preserve">(SWaT and WADI sit among the datasets whose anomalies deviate univariately on close to all timesteps, with no</w:t>
      </w:r>
      <w:r>
        <w:rPr/>
        <w:t xml:space="preserve"> </w:t>
      </w:r>
      <w:r>
        <w:rPr/>
        <w:t xml:space="preserve">long cross-channel-only segments), so a flat univariate model matches channel-dependent deep detectors. Recent</w:t>
      </w:r>
      <w:r>
        <w:rPr/>
        <w:t xml:space="preserve"> </w:t>
      </w:r>
      <w:r>
        <w:rPr/>
        <w:t xml:space="preserve">large-scale benchmarks confirm that detector rankings are strongly dataset-dependent [</w:t>
      </w:r>
      <w:hyperlink w:anchor="r-tab">
        <w:r>
          <w:rPr>
            <w:rStyle w:val="Hyperlink"/>
            <w:highlight w:val="yellow"/>
          </w:rPr>
          <w:t xml:space="preserve">22</w:t>
        </w:r>
      </w:hyperlink>
      <w:r>
        <w:rPr/>
        <w:t xml:space="preserve">],</w:t>
      </w:r>
      <w:r>
        <w:rPr/>
        <w:t xml:space="preserve"> </w:t>
      </w:r>
      <w:r>
        <w:rPr/>
        <w:t xml:space="preserve">which is why we read every method per dataset and per difficulty subset rather than by a single headline number.</w:t>
      </w:r>
    </w:p>
    <w:p>
      <w:pPr>
        <w:pStyle w:val="MDPI31text"/>
        <w:ind w:left="2608"/>
      </w:pPr>
      <w:r>
        <w:rPr/>
        <w:t xml:space="preserve">A parallel critique targets the dominant scoring mechanism itself. Reconstruction-based detectors assume that a model trained to reconstruct normal data reconstructs anomalies worse; Bouman and Heskes [</w:t>
      </w:r>
      <w:hyperlink w:anchor="r-bouman">
        <w:r>
          <w:rPr>
            <w:rStyle w:val="Hyperlink"/>
            <w:highlight w:val="yellow"/>
          </w:rPr>
          <w:t xml:space="preserve">23</w:t>
        </w:r>
      </w:hyperlink>
      <w:r>
        <w:rPr/>
        <w:t xml:space="preserve">] show this assumption is unreliable, because anomalies lying far from normal data can be reconstructed perfectly in practice, and Gong et al. [</w:t>
      </w:r>
      <w:hyperlink w:anchor="r-memae">
        <w:r>
          <w:rPr>
            <w:rStyle w:val="Hyperlink"/>
            <w:highlight w:val="yellow"/>
          </w:rPr>
          <w:t xml:space="preserve">24</w:t>
        </w:r>
      </w:hyperlink>
      <w:r>
        <w:rPr/>
        <w:t xml:space="preserve">] earlier showed that a deep autoencoder generalizes well enough to rebuild anomalies and miss them. This motivates scoring in a clustered latent rather than through a reconstruction residual. A position paper by Sarfraz et al. [</w:t>
      </w:r>
      <w:hyperlink w:anchor="r-sarfraz">
        <w:r>
          <w:rPr>
            <w:rStyle w:val="Hyperlink"/>
            <w:highlight w:val="yellow"/>
          </w:rPr>
          <w:t xml:space="preserve">25</w:t>
        </w:r>
      </w:hyperlink>
      <w:r>
        <w:rPr/>
        <w:t xml:space="preserve">] draws the two threads together, characterizing the field as plagued by flawed evaluation metrics, inconsistent benchmarking, and unjustified design choices, and showing that state-of-the-art deep detectors effectively learn linear mappings that simple baselines reproduce; Wagner et al. [</w:t>
      </w:r>
      <w:hyperlink w:anchor="r-timesead">
        <w:r>
          <w:rPr>
            <w:rStyle w:val="Hyperlink"/>
            <w:highlight w:val="yellow"/>
          </w:rPr>
          <w:t xml:space="preserve">26</w:t>
        </w:r>
      </w:hyperlink>
      <w:r>
        <w:rPr/>
        <w:t xml:space="preserve">] re-audit the widely used multivariate benchmarks, discard the ones with erroneous labels, and note the absence of any standard evaluation metric.</w:t>
      </w:r>
    </w:p>
    <w:p>
      <w:pPr>
        <w:pStyle w:val="MDPI31text"/>
        <w:ind w:left="2608"/>
      </w:pPr>
      <w:r>
        <w:rPr>
          <w:strike w:val="true"/>
          <w:color w:val="C0392B"/>
        </w:rPr>
        <w:t xml:space="preserve">LatAD adopts this critique as its evaluation protocol: raw point-wise AUROC and F1 with no point</w:t>
      </w:r>
      <w:r>
        <w:rPr>
          <w:strike w:val="true"/>
          <w:color w:val="C0392B"/>
        </w:rPr>
        <w:t xml:space="preserve"> </w:t>
      </w:r>
      <w:r>
        <w:rPr>
          <w:strike w:val="true"/>
          <w:color w:val="C0392B"/>
        </w:rPr>
        <w:t xml:space="preserve">adjustment for any method; a trivial-detector difficulty split that separates the discriminative difficult</w:t>
      </w:r>
      <w:r>
        <w:rPr>
          <w:strike w:val="true"/>
          <w:color w:val="C0392B"/>
        </w:rPr>
        <w:t xml:space="preserve"> </w:t>
      </w:r>
      <w:r>
        <w:rPr>
          <w:strike w:val="true"/>
          <w:color w:val="C0392B"/>
        </w:rPr>
        <w:t xml:space="preserve">subset from the easy majority that carries headline numbers; and re-computation of the deep</w:t>
      </w:r>
      <w:r>
        <w:rPr>
          <w:strike w:val="true"/>
          <w:color w:val="C0392B"/>
        </w:rPr>
        <w:t xml:space="preserve"> </w:t>
      </w:r>
      <w:r>
        <w:rPr>
          <w:strike w:val="true"/>
          <w:color w:val="C0392B"/>
        </w:rPr>
        <w:t xml:space="preserve">state-of-the-art (SOTA)</w:t>
      </w:r>
      <w:r>
        <w:rPr>
          <w:strike w:val="true"/>
          <w:color w:val="C0392B"/>
        </w:rPr>
        <w:t xml:space="preserve"> </w:t>
      </w:r>
      <w:r>
        <w:rPr>
          <w:strike w:val="true"/>
          <w:color w:val="C0392B"/>
        </w:rPr>
        <w:t xml:space="preserve">baselines</w:t>
      </w:r>
      <w:r>
        <w:rPr>
          <w:strike w:val="true"/>
          <w:color w:val="C0392B"/>
        </w:rPr>
        <w:t xml:space="preserve"> </w:t>
      </w:r>
      <w:r>
        <w:rPr>
          <w:strike w:val="true"/>
          <w:color w:val="C0392B"/>
        </w:rPr>
        <w:t xml:space="preserve">(USAD and TranAD) under the</w:t>
      </w:r>
      <w:r>
        <w:rPr>
          <w:strike w:val="true"/>
          <w:color w:val="C0392B"/>
        </w:rPr>
        <w:t xml:space="preserve"> </w:t>
      </w:r>
      <w:r>
        <w:rPr>
          <w:i/>
          <w:iCs/>
          <w:strike w:val="true"/>
          <w:color w:val="C0392B"/>
        </w:rPr>
        <w:t xml:space="preserve">same</w:t>
      </w:r>
      <w:r>
        <w:rPr>
          <w:strike w:val="true"/>
          <w:color w:val="C0392B"/>
        </w:rPr>
        <w:t xml:space="preserve"> </w:t>
      </w:r>
      <w:r>
        <w:rPr>
          <w:strike w:val="true"/>
          <w:color w:val="C0392B"/>
        </w:rPr>
        <w:t xml:space="preserve">raw metrics rather than their point-adjusted published figures</w:t>
      </w:r>
      <w:r>
        <w:rPr>
          <w:strike w:val="true"/>
          <w:color w:val="C0392B"/>
        </w:rPr>
        <w:t xml:space="preserve"> </w:t>
      </w:r>
      <w:r>
        <w:rPr>
          <w:strike w:val="true"/>
          <w:color w:val="C0392B"/>
        </w:rPr>
        <w:t xml:space="preserve">(§5).</w:t>
      </w:r>
    </w:p>
    <w:p>
      <w:pPr>
        <w:pStyle w:val="MDPI22heading2"/>
        <w:ind w:left="2608"/>
      </w:pPr>
      <w:r>
        <w:rPr/>
        <w:t xml:space="preserve">2.3  Latent and clustering models for anomaly detection</w:t>
      </w:r>
    </w:p>
    <w:p>
      <w:pPr>
        <w:pStyle w:val="MDPI32textnoindent"/>
        <w:ind w:left="2608"/>
      </w:pPr>
      <w:r>
        <w:rPr>
          <w:highlight w:val="green"/>
        </w:rPr>
        <w:t xml:space="preserve">Latent and clustering models detect anomalies by learning a representation of normal and scoring departures in that space. Variational Deep Embedding (VaDE) [</w:t>
      </w:r>
      <w:hyperlink w:anchor="r-vade">
        <w:r>
          <w:rPr>
            <w:rStyle w:val="Hyperlink"/>
            <w:highlight w:val="green"/>
          </w:rPr>
          <w:t xml:space="preserve">27</w:t>
        </w:r>
      </w:hyperlink>
      <w:r>
        <w:rPr>
          <w:highlight w:val="green"/>
        </w:rPr>
        <w:t xml:space="preserve">] pairs a variational autoencoder with a Gaussian-mixture latent prior, learning representation and clusters jointly, and DAGMM [</w:t>
      </w:r>
      <w:hyperlink w:anchor="r-dagmm">
        <w:r>
          <w:rPr>
            <w:rStyle w:val="Hyperlink"/>
            <w:highlight w:val="green"/>
          </w:rPr>
          <w:t xml:space="preserve">28</w:t>
        </w:r>
      </w:hyperlink>
      <w:r>
        <w:rPr>
          <w:highlight w:val="green"/>
        </w:rPr>
        <w:t xml:space="preserve">] couples an autoencoder with a Gaussian-mixture energy.</w:t>
      </w:r>
      <w:r>
        <w:rPr/>
        <w:t xml:space="preserve"> </w:t>
      </w:r>
      <w:r>
        <w:rPr>
          <w:highlight w:val="green"/>
        </w:rPr>
        <w:t xml:space="preserve">One-class methods place normal inside a learned boundary: Deep SVDD [</w:t>
      </w:r>
      <w:hyperlink w:anchor="r-deepsvdd">
        <w:r>
          <w:rPr>
            <w:rStyle w:val="Hyperlink"/>
            <w:highlight w:val="green"/>
          </w:rPr>
          <w:t xml:space="preserve">29</w:t>
        </w:r>
      </w:hyperlink>
      <w:r>
        <w:rPr>
          <w:highlight w:val="green"/>
        </w:rPr>
        <w:t xml:space="preserve">] maps normal points near a fixed latent center and scores by distance to it, and THOC [</w:t>
      </w:r>
      <w:hyperlink w:anchor="r-thoc">
        <w:r>
          <w:rPr>
            <w:rStyle w:val="Hyperlink"/>
            <w:highlight w:val="green"/>
          </w:rPr>
          <w:t xml:space="preserve">30</w:t>
        </w:r>
      </w:hyperlink>
      <w:r>
        <w:rPr>
          <w:highlight w:val="green"/>
        </w:rPr>
        <w:t xml:space="preserve">] extends this to multiscale temporal one-class hyperspheres; OmniAnomaly [</w:t>
      </w:r>
      <w:hyperlink w:anchor="r-omni">
        <w:r>
          <w:rPr>
            <w:rStyle w:val="Hyperlink"/>
            <w:highlight w:val="green"/>
          </w:rPr>
          <w:t xml:space="preserve">31</w:t>
        </w:r>
      </w:hyperlink>
      <w:r>
        <w:rPr>
          <w:highlight w:val="green"/>
        </w:rPr>
        <w:t xml:space="preserve">] scores multivariate telemetry by reconstruction probability under a stochastic-recurrent latent. These methods all score against a single global model of normal; none estimates density per physical subsystem under regime imbalance, the gap this paper addresses.</w:t>
      </w:r>
      <w:r>
        <w:rPr/>
        <w:t xml:space="preserve"> </w:t>
      </w:r>
      <w:r>
        <w:rPr>
          <w:highlight w:val="green"/>
        </w:rPr>
        <w:t xml:space="preserve">Closest to our aim, Birihanu and Lendák [</w:t>
      </w:r>
      <w:hyperlink w:anchor="r-birihanu">
        <w:r>
          <w:rPr>
            <w:rStyle w:val="Hyperlink"/>
            <w:highlight w:val="green"/>
          </w:rPr>
          <w:t xml:space="preserve">32</w:t>
        </w:r>
      </w:hyperlink>
      <w:r>
        <w:rPr>
          <w:highlight w:val="green"/>
        </w:rPr>
        <w:t xml:space="preserve">] flag industrial-control-system (ICS) anomalies from a latent correlation matrix scored by a multivariate Gaussian, whereas we factorize a learned latent density over correlation communities and combine them by Higher Criticism.</w:t>
      </w:r>
      <w:r>
        <w:rPr/>
        <w:t xml:space="preserve"> </w:t>
      </w:r>
      <w:r>
        <w:rPr>
          <w:highlight w:val="green"/>
        </w:rPr>
        <w:t xml:space="preserve">Standard tools used later are Ledoit–Wolf shrinkage [</w:t>
      </w:r>
      <w:hyperlink w:anchor="r-lw">
        <w:r>
          <w:rPr>
            <w:rStyle w:val="Hyperlink"/>
            <w:highlight w:val="green"/>
          </w:rPr>
          <w:t xml:space="preserve">33</w:t>
        </w:r>
      </w:hyperlink>
      <w:r>
        <w:rPr>
          <w:highlight w:val="green"/>
        </w:rPr>
        <w:t xml:space="preserve">] for whitened residuals, and Isolation Forest [</w:t>
      </w:r>
      <w:hyperlink w:anchor="r-if">
        <w:r>
          <w:rPr>
            <w:rStyle w:val="Hyperlink"/>
            <w:highlight w:val="green"/>
          </w:rPr>
          <w:t xml:space="preserve">34</w:t>
        </w:r>
      </w:hyperlink>
      <w:r>
        <w:rPr>
          <w:highlight w:val="green"/>
        </w:rPr>
        <w:t xml:space="preserve">] and deep autoencoders [</w:t>
      </w:r>
      <w:hyperlink w:anchor="r-aead">
        <w:r>
          <w:rPr>
            <w:rStyle w:val="Hyperlink"/>
            <w:highlight w:val="green"/>
          </w:rPr>
          <w:t xml:space="preserve">35</w:t>
        </w:r>
      </w:hyperlink>
      <w:r>
        <w:rPr>
          <w:highlight w:val="green"/>
        </w:rPr>
        <w:t xml:space="preserve">] as baselines.</w:t>
      </w:r>
    </w:p>
    <w:p>
      <w:pPr>
        <w:pStyle w:val="MDPI22heading2"/>
        <w:ind w:left="2608"/>
      </w:pPr>
      <w:r>
        <w:rPr/>
        <w:t xml:space="preserve">2.4  Deep multivariate CPS anomaly detection</w:t>
      </w:r>
    </w:p>
    <w:p>
      <w:pPr>
        <w:pStyle w:val="MDPI32textnoindent"/>
        <w:ind w:left="2608"/>
      </w:pPr>
      <w:r>
        <w:rPr/>
        <w:t xml:space="preserve">USAD [</w:t>
      </w:r>
      <w:hyperlink w:anchor="r-usad">
        <w:r>
          <w:rPr>
            <w:rStyle w:val="Hyperlink"/>
            <w:highlight w:val="yellow"/>
          </w:rPr>
          <w:t xml:space="preserve">36</w:t>
        </w:r>
      </w:hyperlink>
      <w:r>
        <w:rPr/>
        <w:t xml:space="preserve">] couples two adversarially trained autoencoders; TranAD [</w:t>
      </w:r>
      <w:hyperlink w:anchor="r-tranad">
        <w:r>
          <w:rPr>
            <w:rStyle w:val="Hyperlink"/>
            <w:highlight w:val="yellow"/>
          </w:rPr>
          <w:t xml:space="preserve">37</w:t>
        </w:r>
      </w:hyperlink>
      <w:r>
        <w:rPr/>
        <w:t xml:space="preserve">] uses deep transformer networks with adversarial and self-conditioning training; GDN [</w:t>
      </w:r>
      <w:hyperlink w:anchor="r-gdn">
        <w:r>
          <w:rPr>
            <w:rStyle w:val="Hyperlink"/>
            <w:highlight w:val="yellow"/>
          </w:rPr>
          <w:t xml:space="preserve">38</w:t>
        </w:r>
      </w:hyperlink>
      <w:r>
        <w:rPr/>
        <w:t xml:space="preserve">] learns a graph over channels and detects deviations from learned inter-channel relations.</w:t>
      </w:r>
      <w:r>
        <w:rPr/>
        <w:t xml:space="preserve"> </w:t>
      </w:r>
      <w:r>
        <w:rPr>
          <w:highlight w:val="green"/>
        </w:rPr>
        <w:t xml:space="preserve">Graph mixture-of-experts routing likewise injects hierarchical graph structure into entity representations for GNN detectors [</w:t>
      </w:r>
      <w:hyperlink w:anchor="r-graphmoe">
        <w:r>
          <w:rPr>
            <w:rStyle w:val="Hyperlink"/>
            <w:highlight w:val="green"/>
          </w:rPr>
          <w:t xml:space="preserve">39</w:t>
        </w:r>
      </w:hyperlink>
      <w:r>
        <w:rPr>
          <w:highlight w:val="green"/>
        </w:rPr>
        <w:t xml:space="preserve">], whereas we route per-community density experts by cohesion-weighted Higher Criticism rather than a learned gate.</w:t>
      </w:r>
      <w:r>
        <w:rPr/>
        <w:t xml:space="preserve"> </w:t>
      </w:r>
      <w:r>
        <w:rPr/>
        <w:t xml:space="preserve">These define a widely used deep</w:t>
      </w:r>
      <w:r>
        <w:rPr/>
        <w:t xml:space="preserve"> </w:t>
      </w:r>
      <w:r>
        <w:rPr>
          <w:highlight w:val="green"/>
        </w:rPr>
        <w:t xml:space="preserve">state-of-the-art (SOTA)</w:t>
      </w:r>
      <w:r>
        <w:rPr/>
        <w:t xml:space="preserve"> </w:t>
      </w:r>
      <w:r>
        <w:rPr/>
        <w:t xml:space="preserve">on SWaT/WADI-style benchmarks. More recent detectors refine rather than</w:t>
      </w:r>
      <w:r>
        <w:rPr/>
        <w:t xml:space="preserve"> </w:t>
      </w:r>
      <w:r>
        <w:rPr/>
        <w:t xml:space="preserve">abandon reconstruction: SensitiveHUE [</w:t>
      </w:r>
      <w:hyperlink w:anchor="r-sensitivehue">
        <w:r>
          <w:rPr>
            <w:rStyle w:val="Hyperlink"/>
            <w:highlight w:val="yellow"/>
          </w:rPr>
          <w:t xml:space="preserve">40</w:t>
        </w:r>
      </w:hyperlink>
      <w:r>
        <w:rPr/>
        <w:t xml:space="preserve">] models per-variable heteroscedastic</w:t>
      </w:r>
      <w:r>
        <w:rPr/>
        <w:t xml:space="preserve"> </w:t>
      </w:r>
      <w:r>
        <w:rPr/>
        <w:t xml:space="preserve">uncertainty to sharpen sensitivity to normal patterns, and CATCH [</w:t>
      </w:r>
      <w:hyperlink w:anchor="r-catch">
        <w:r>
          <w:rPr>
            <w:rStyle w:val="Hyperlink"/>
            <w:highlight w:val="yellow"/>
          </w:rPr>
          <w:t xml:space="preserve">41</w:t>
        </w:r>
      </w:hyperlink>
      <w:r>
        <w:rPr/>
        <w:t xml:space="preserve">] learns channel</w:t>
      </w:r>
      <w:r>
        <w:rPr/>
        <w:t xml:space="preserve"> </w:t>
      </w:r>
      <w:r>
        <w:rPr/>
        <w:t xml:space="preserve">correlations through frequency-domain patching. Both remain reconstruction-based, so the mechanism analysis of</w:t>
      </w:r>
      <w:r>
        <w:rPr/>
        <w:t xml:space="preserve"> </w:t>
      </w:r>
      <w:r>
        <w:rPr/>
        <w:t xml:space="preserve">§7 suggests they inherit the same blind spot on the reconstructable-but-improbable joint faults that define our</w:t>
      </w:r>
      <w:r>
        <w:rPr/>
        <w:t xml:space="preserve"> </w:t>
      </w:r>
      <w:r>
        <w:rPr/>
        <w:t xml:space="preserve">difficult subset. We benchmark USAD and TranAD, the reconstruction- and transformer-based deep detectors, under the same</w:t>
      </w:r>
      <w:r>
        <w:rPr/>
        <w:t xml:space="preserve"> </w:t>
      </w:r>
      <w:r>
        <w:rPr/>
        <w:t xml:space="preserve">raw, difficulty-stratified metrics over five seeds (the re-scored comparison is in §6).</w:t>
      </w:r>
      <w:r>
        <w:rPr/>
        <w:t xml:space="preserve"> </w:t>
      </w:r>
      <w:r>
        <w:rPr>
          <w:highlight w:val="green"/>
        </w:rPr>
        <w:t xml:space="preserve">We also benchmark the</w:t>
      </w:r>
      <w:r>
        <w:rPr>
          <w:highlight w:val="green"/>
        </w:rPr>
        <w:t xml:space="preserve"> </w:t>
      </w:r>
      <w:r>
        <w:rPr>
          <w:highlight w:val="green"/>
        </w:rPr>
        <w:t xml:space="preserve">cross-channel GDN under the identical raw protocol as a construct-matched</w:t>
      </w:r>
      <w:r>
        <w:rPr>
          <w:highlight w:val="green"/>
        </w:rPr>
        <w:t xml:space="preserve"> </w:t>
      </w:r>
      <w:r>
        <w:rPr>
          <w:highlight w:val="green"/>
        </w:rPr>
        <w:t xml:space="preserve">(scored on the same windows and difficulty subsets)</w:t>
      </w:r>
      <w:r>
        <w:rPr>
          <w:highlight w:val="green"/>
        </w:rPr>
        <w:t xml:space="preserve">, single-seed SOTA baseline, re-aggregating its</w:t>
      </w:r>
      <w:r>
        <w:rPr>
          <w:highlight w:val="green"/>
        </w:rPr>
        <w:t xml:space="preserve"> </w:t>
      </w:r>
      <w:r>
        <w:rPr>
          <w:highlight w:val="green"/>
        </w:rPr>
        <w:t xml:space="preserve">per-timestep scores onto our window grid (§5.5); on the difficult subset it collapses on HAI (0.481) alongside USAD</w:t>
      </w:r>
      <w:r>
        <w:rPr>
          <w:highlight w:val="green"/>
        </w:rPr>
        <w:t xml:space="preserve"> </w:t>
      </w:r>
      <w:r>
        <w:rPr>
          <w:highlight w:val="green"/>
        </w:rPr>
        <w:t xml:space="preserve">and TranAD, a graph detector failing on the same reconstructable-but-improbable faults.</w:t>
      </w:r>
      <w:r>
        <w:rPr/>
        <w:t xml:space="preserve"> </w:t>
      </w:r>
      <w:r>
        <w:rPr/>
        <w:t xml:space="preserve">A raw-metric evaluation of the newer reconstruction detectors (SensitiveHUE, CATCH) is left to future</w:t>
      </w:r>
      <w:r>
        <w:rPr/>
        <w:t xml:space="preserve"> </w:t>
      </w:r>
      <w:r>
        <w:rPr/>
        <w:t xml:space="preserve">work.</w:t>
      </w:r>
    </w:p>
    <w:p>
      <w:pPr>
        <w:pStyle w:val="MDPI31text"/>
        <w:ind w:left="2608"/>
      </w:pPr>
      <w:r>
        <w:rPr/>
        <w:t xml:space="preserve">Beyond public benchmarks, sensor-driven condition monitoring and fault prediction in operational CPS motivate</w:t>
      </w:r>
      <w:r>
        <w:rPr/>
        <w:t xml:space="preserve"> </w:t>
      </w:r>
      <w:r>
        <w:rPr/>
        <w:t xml:space="preserve">modeling the multivariate sensor stream directly: vibration-based machine diagnostics [</w:t>
      </w:r>
      <w:hyperlink w:anchor="r-gearbox">
        <w:r>
          <w:rPr>
            <w:rStyle w:val="Hyperlink"/>
            <w:highlight w:val="yellow"/>
          </w:rPr>
          <w:t xml:space="preserve">42</w:t>
        </w:r>
      </w:hyperlink>
      <w:r>
        <w:rPr/>
        <w:t xml:space="preserve">, </w:t>
      </w:r>
      <w:hyperlink w:anchor="r-vibdecomp">
        <w:r>
          <w:rPr>
            <w:rStyle w:val="Hyperlink"/>
            <w:highlight w:val="yellow"/>
          </w:rPr>
          <w:t xml:space="preserve">43</w:t>
        </w:r>
      </w:hyperlink>
      <w:r>
        <w:rPr/>
        <w:t xml:space="preserve">],</w:t>
      </w:r>
      <w:r>
        <w:rPr/>
        <w:t xml:space="preserve"> </w:t>
      </w:r>
      <w:r>
        <w:rPr/>
        <w:t xml:space="preserve">structural-health monitoring of rotorcraft components [</w:t>
      </w:r>
      <w:hyperlink w:anchor="r-bolt">
        <w:r>
          <w:rPr>
            <w:rStyle w:val="Hyperlink"/>
            <w:highlight w:val="yellow"/>
          </w:rPr>
          <w:t xml:space="preserve">44</w:t>
        </w:r>
      </w:hyperlink>
      <w:r>
        <w:rPr/>
        <w:t xml:space="preserve">], and fault prediction in</w:t>
      </w:r>
      <w:r>
        <w:rPr/>
        <w:t xml:space="preserve"> </w:t>
      </w:r>
      <w:r>
        <w:rPr/>
        <w:t xml:space="preserve">rotorcraft flight controls [</w:t>
      </w:r>
      <w:hyperlink w:anchor="r-rotorcraft">
        <w:r>
          <w:rPr>
            <w:rStyle w:val="Hyperlink"/>
            <w:highlight w:val="yellow"/>
          </w:rPr>
          <w:t xml:space="preserve">45</w:t>
        </w:r>
      </w:hyperlink>
      <w:r>
        <w:rPr/>
        <w:t xml:space="preserve">]. LatAD generalizes this applied line to unsupervised,</w:t>
      </w:r>
      <w:r>
        <w:rPr/>
        <w:t xml:space="preserve"> </w:t>
      </w:r>
      <w:r>
        <w:rPr/>
        <w:t xml:space="preserve">multimodal-latent anomaly detection.</w:t>
      </w:r>
    </w:p>
    <w:p>
      <w:pPr>
        <w:pStyle w:val="MDPI22heading2"/>
        <w:ind w:left="2608"/>
      </w:pPr>
      <w:r>
        <w:rPr>
          <w:strike w:val="true"/>
          <w:color w:val="C0392B"/>
        </w:rPr>
        <w:t xml:space="preserve">2.5  Benchmark datasets</w:t>
      </w:r>
      <w:r>
        <w:rPr/>
        <w:t xml:space="preserve"> </w:t>
      </w:r>
      <w:r>
        <w:rPr>
          <w:highlight w:val="green"/>
        </w:rPr>
        <w:t xml:space="preserve">2.5  Benchmark scale</w:t>
      </w:r>
    </w:p>
    <w:p>
      <w:pPr>
        <w:pStyle w:val="MDPI32textnoindent"/>
        <w:ind w:left="2608"/>
      </w:pPr>
      <w:r>
        <w:rPr>
          <w:strike w:val="true"/>
          <w:color w:val="C0392B"/>
        </w:rPr>
        <w:t xml:space="preserve">We evaluate on three real CPS attack testbeds. WADI [38] is a 123-channel water-distribution testbed from iTrust, and SWaT [39] is its 51-channel water-treatment sibling; the two are the de facto standard multivariate CPS benchmarks and the primary targets of the evaluation critique above [6, 8]. HAI [40] is a 59-channel hardware-in-the-loop industrial control testbed spanning several coupled processes. All three carry real executed attacks and are strongly multimodal (BIC-optimal regime counts</w:t>
      </w:r>
      <w:r>
        <w:rPr>
          <w:strike w:val="true"/>
          <w:color w:val="C0392B"/>
        </w:rPr>
        <w:t xml:space="preserve"> </w:t>
      </w:r>
      <w:r>
        <w:rPr>
          <w:i/>
          <w:iCs/>
          <w:strike w:val="true"/>
          <w:color w:val="C0392B"/>
        </w:rPr>
        <w:t xml:space="preserve">K</w:t>
      </w:r>
      <w:r>
        <w:rPr>
          <w:strike w:val="true"/>
          <w:color w:val="C0392B"/>
        </w:rPr>
        <w:t xml:space="preserve">* ≥ 22; §3), so the difficulty-stratified results read directly against the MIIM structure of each dataset.</w:t>
      </w:r>
      <w:r>
        <w:rPr/>
        <w:t xml:space="preserve"> </w:t>
      </w:r>
      <w:r>
        <w:rPr>
          <w:highlight w:val="green"/>
        </w:rPr>
        <w:t xml:space="preserve">(Per-dataset details are given in Section 5.1.)</w:t>
      </w:r>
    </w:p>
    <w:p>
      <w:pPr>
        <w:pStyle w:val="MDPI31text"/>
        <w:ind w:left="2608"/>
      </w:pPr>
      <w:r>
        <w:rPr>
          <w:highlight w:val="green"/>
        </w:rPr>
        <w:t xml:space="preserve">The water-treatment and ICS-security datasets used here and elsewhere (SWaT, WADI, BATADAL [</w:t>
      </w:r>
      <w:hyperlink w:anchor="r-batadal">
        <w:r>
          <w:rPr>
            <w:rStyle w:val="Hyperlink"/>
            <w:highlight w:val="green"/>
          </w:rPr>
          <w:t xml:space="preserve">46</w:t>
        </w:r>
      </w:hyperlink>
      <w:r>
        <w:rPr>
          <w:highlight w:val="green"/>
        </w:rPr>
        <w:t xml:space="preserve">], HAI) and the multivariate-telemetry sets (SMD, MSL, SMAP, PSM) share a scale profile: roughly 10 to 120 channels, days-to-weeks duration, and one nominal operating mode. BATADAL extends to about a year but keeps only 43 hourly variables; N-CMAPSS [</w:t>
      </w:r>
      <w:hyperlink w:anchor="r-ncmapss">
        <w:r>
          <w:rPr>
            <w:rStyle w:val="Hyperlink"/>
            <w:highlight w:val="green"/>
          </w:rPr>
          <w:t xml:space="preserve">47</w:t>
        </w:r>
      </w:hyperlink>
      <w:r>
        <w:rPr>
          <w:highlight w:val="green"/>
        </w:rPr>
        <w:t xml:space="preserve">] reaches a 40-unit fleet with full run-to-failure trajectories but exposes only 14 sensors. The Building Data Genome Project 2 [</w:t>
      </w:r>
      <w:hyperlink w:anchor="r-bdg2">
        <w:r>
          <w:rPr>
            <w:rStyle w:val="Hyperlink"/>
            <w:highlight w:val="green"/>
          </w:rPr>
          <w:t xml:space="preserve">11</w:t>
        </w:r>
      </w:hyperlink>
      <w:r>
        <w:rPr>
          <w:highlight w:val="green"/>
        </w:rPr>
        <w:t xml:space="preserve">], with 3,053 meters across 1,636 buildings over two years, and process historians that carry thousands to tens of thousands of tags, illustrate the operational scale these security benchmarks do not reach. A parallel line of work argues that benchmark realism, not model novelty, now limits measured progress (Wu and Keogh [</w:t>
      </w:r>
      <w:hyperlink w:anchor="r-wukeogh">
        <w:r>
          <w:rPr>
            <w:rStyle w:val="Hyperlink"/>
            <w:highlight w:val="green"/>
          </w:rPr>
          <w:t xml:space="preserve">9</w:t>
        </w:r>
      </w:hyperlink>
      <w:r>
        <w:rPr>
          <w:highlight w:val="green"/>
        </w:rPr>
        <w:t xml:space="preserve">]; Sarfraz et al. [</w:t>
      </w:r>
      <w:hyperlink w:anchor="r-sarfraz">
        <w:r>
          <w:rPr>
            <w:rStyle w:val="Hyperlink"/>
            <w:highlight w:val="green"/>
          </w:rPr>
          <w:t xml:space="preserve">25</w:t>
        </w:r>
      </w:hyperlink>
      <w:r>
        <w:rPr>
          <w:highlight w:val="green"/>
        </w:rPr>
        <w:t xml:space="preserve">]; TSB-UAD [</w:t>
      </w:r>
      <w:hyperlink w:anchor="r-tsbuad">
        <w:r>
          <w:rPr>
            <w:rStyle w:val="Hyperlink"/>
            <w:highlight w:val="green"/>
          </w:rPr>
          <w:t xml:space="preserve">48</w:t>
        </w:r>
      </w:hyperlink>
      <w:r>
        <w:rPr>
          <w:highlight w:val="green"/>
        </w:rPr>
        <w:t xml:space="preserve">]). We therefore read every method per dataset and per difficulty subset, and flag operational scale as the setting in which the trajectory assumptions A9 and A10 and the masking form of A8 become testable (§7).</w:t>
      </w:r>
    </w:p>
    <w:p>
      <w:pPr>
        <w:pStyle w:val="MDPI21heading1"/>
        <w:ind w:left="2608"/>
      </w:pPr>
      <w:r>
        <w:rPr/>
        <w:t xml:space="preserve">3  The MIIM assumptions about</w:t>
      </w:r>
      <w:r>
        <w:rPr/>
        <w:t xml:space="preserve"> </w:t>
      </w:r>
      <w:r>
        <w:rPr>
          <w:highlight w:val="yellow"/>
        </w:rPr>
        <w:t xml:space="preserve">IIoT/CPS normal telemetry</w:t>
      </w:r>
    </w:p>
    <w:p>
      <w:pPr>
        <w:pStyle w:val="MDPI32textnoindent"/>
        <w:ind w:left="2608"/>
      </w:pPr>
      <w:r>
        <w:rPr/>
        <w:t xml:space="preserve">We model the normal law of a CPS as a mixture over reachable operating regimes,</w:t>
      </w:r>
      <w:r>
        <w:rPr/>
        <w:t xml:space="preserve"> </w:t>
      </w:r>
      <w:r>
        <w:rPr/>
        <w:t xml:space="preserve">(1)</w:t>
      </w:r>
      <m:oMath>
        <m:r>
          <m:t>p</m:t>
        </m:r>
        <m:r>
          <m:rPr>
            <m:sty m:val="p"/>
          </m:rPr>
          <m:t>(</m:t>
        </m:r>
        <m:r>
          <m:t>x</m:t>
        </m:r>
        <m:r>
          <m:rPr>
            <m:sty m:val="p"/>
          </m:rPr>
          <m:t>)</m:t>
        </m:r>
        <m:r>
          <m:rPr>
            <m:sty m:val="p"/>
          </m:rPr>
          <m:t>=</m:t>
        </m:r>
        <m:nary>
          <m:naryPr>
            <m:chr m:val="∑"/>
            <m:limLoc m:val="undOvr"/>
            <m:subHide m:val="off"/>
            <m:supHide m:val="off"/>
          </m:naryPr>
          <m:sub>
            <m:r>
              <m:t>k</m:t>
            </m:r>
            <m:r>
              <m:rPr>
                <m:sty m:val="p"/>
              </m:rPr>
              <m:t>=</m:t>
            </m:r>
            <m:r>
              <m:t>1</m:t>
            </m:r>
          </m:sub>
          <m:sup>
            <m:r>
              <m:t>K</m:t>
            </m:r>
          </m:sup>
          <m:e>
            <m:sSub>
              <m:e>
                <m:r>
                  <m:t>π</m:t>
                </m:r>
              </m:e>
              <m:sub>
                <m:r>
                  <m:t>k</m:t>
                </m:r>
              </m:sub>
            </m:sSub>
          </m:e>
        </m:nary>
        <m:r>
          <m:t> </m:t>
        </m:r>
        <m:sSub>
          <m:e>
            <m:r>
              <m:t>p</m:t>
            </m:r>
          </m:e>
          <m:sub>
            <m:r>
              <m:t>k</m:t>
            </m:r>
          </m:sub>
        </m:sSub>
        <m:r>
          <m:rPr>
            <m:sty m:val="p"/>
          </m:rPr>
          <m:t>(</m:t>
        </m:r>
        <m:r>
          <m:t>x</m:t>
        </m:r>
        <m:r>
          <m:rPr>
            <m:sty m:val="p"/>
          </m:rPr>
          <m:t>)</m:t>
        </m:r>
      </m:oMath>
      <w:r>
        <w:rPr/>
        <w:t xml:space="preserve"> </w:t>
      </w:r>
      <w:r>
        <w:rPr/>
        <w:t xml:space="preserve">where each component</w:t>
      </w:r>
      <w:r>
        <w:rPr/>
        <w:t xml:space="preserve"> </w:t>
      </w:r>
      <m:oMath>
        <m:sSub>
          <m:e>
            <m:r>
              <m:t>p</m:t>
            </m:r>
          </m:e>
          <m:sub>
            <m:r>
              <m:t>k</m:t>
            </m:r>
          </m:sub>
        </m:sSub>
      </m:oMath>
      <w:r>
        <w:rPr/>
        <w:t xml:space="preserve"> </w:t>
      </w:r>
      <w:r>
        <w:rPr/>
        <w:t xml:space="preserve">is a bounded, oriented, curved patch of observation space. The ten</w:t>
      </w:r>
      <w:r>
        <w:rPr/>
        <w:t xml:space="preserve"> </w:t>
      </w:r>
      <w:r>
        <w:rPr/>
        <w:t xml:space="preserve">assumptions of Table 1 describe the qualitative structure of this mixture; each is grounded in a physical property</w:t>
      </w:r>
      <w:r>
        <w:rPr/>
        <w:t xml:space="preserve"> </w:t>
      </w:r>
      <w:r>
        <w:rPr/>
        <w:t xml:space="preserve">of CPS operation and each motivates a specific design choice in the detector of §4.</w:t>
      </w:r>
      <w:r>
        <w:rPr/>
        <w:t xml:space="preserve"> </w:t>
      </w:r>
      <w:r>
        <w:rPr>
          <w:highlight w:val="green"/>
        </w:rPr>
        <w:t xml:space="preserve">These properties are not a universal law but a checklist that CPS normal may exhibit to varying degrees: a given dataset realizes some strongly, others weakly or not at all. LatAD is built to exploit each property when it is present and to reduce to a standard latent-density model when it is absent.</w:t>
      </w:r>
      <w:r>
        <w:rPr>
          <w:strike w:val="true"/>
          <w:color w:val="C0392B"/>
        </w:rPr>
        <w:t xml:space="preserve"> A property that a corpus does not exhibit (here A8) simply leaves the corresponding component inactive rather than degrading the detector.</w:t>
      </w:r>
      <w:r>
        <w:rPr/>
        <w:t xml:space="preserve"> </w:t>
      </w:r>
      <w:r>
        <w:rPr/>
        <w:t xml:space="preserve">We call the resulting</w:t>
      </w:r>
      <w:r>
        <w:rPr/>
        <w:t xml:space="preserve"> </w:t>
      </w:r>
      <w:r>
        <w:rPr/>
        <w:t xml:space="preserve">property</w:t>
      </w:r>
      <w:r>
        <w:rPr/>
        <w:t xml:space="preserve"> </w:t>
      </w:r>
      <w:r>
        <w:rPr>
          <w:i/>
          <w:iCs/>
        </w:rPr>
        <w:t xml:space="preserve">MIIM</w:t>
      </w:r>
      <w:r>
        <w:rPr/>
        <w:t xml:space="preserve">: the sample is</w:t>
      </w:r>
      <w:r>
        <w:rPr/>
        <w:t xml:space="preserve"> </w:t>
      </w:r>
      <w:r>
        <w:rPr>
          <w:b/>
          <w:bCs/>
        </w:rPr>
        <w:t xml:space="preserve">M</w:t>
      </w:r>
      <w:r>
        <w:rPr/>
        <w:t xml:space="preserve">assive, the regime structure is</w:t>
      </w:r>
      <w:r>
        <w:rPr/>
        <w:t xml:space="preserve"> </w:t>
      </w:r>
      <w:r>
        <w:rPr>
          <w:b/>
          <w:bCs/>
        </w:rPr>
        <w:t xml:space="preserve">I</w:t>
      </w:r>
      <w:r>
        <w:rPr/>
        <w:t xml:space="preserve">mplicit</w:t>
      </w:r>
      <w:r>
        <w:rPr/>
        <w:t xml:space="preserve"> </w:t>
      </w:r>
      <w:r>
        <w:rPr/>
        <w:t xml:space="preserve">(unlabeled and only approximately recoverable), the regime occupancy is</w:t>
      </w:r>
      <w:r>
        <w:rPr/>
        <w:t xml:space="preserve"> </w:t>
      </w:r>
      <w:r>
        <w:rPr>
          <w:b/>
          <w:bCs/>
        </w:rPr>
        <w:t xml:space="preserve">I</w:t>
      </w:r>
      <w:r>
        <w:rPr/>
        <w:t xml:space="preserve">mbalanced, and normal</w:t>
      </w:r>
      <w:r>
        <w:rPr/>
        <w:t xml:space="preserve"> </w:t>
      </w:r>
      <w:r>
        <w:rPr/>
        <w:t xml:space="preserve">is</w:t>
      </w:r>
      <w:r>
        <w:rPr/>
        <w:t xml:space="preserve"> </w:t>
      </w:r>
      <w:r>
        <w:rPr>
          <w:b/>
          <w:bCs/>
        </w:rPr>
        <w:t xml:space="preserve">M</w:t>
      </w:r>
      <w:r>
        <w:rPr/>
        <w:t xml:space="preserve">ultimodal. Two consequences matter for detection. Normality is multimodal in regime space; and</w:t>
      </w:r>
      <w:r>
        <w:rPr/>
        <w:t xml:space="preserve"> </w:t>
      </w:r>
      <w:r>
        <w:rPr/>
        <w:t xml:space="preserve">because the few levers of A4 drive</w:t>
      </w:r>
      <w:r>
        <w:rPr/>
        <w:t xml:space="preserve"> </w:t>
      </w:r>
      <w:r>
        <w:rPr>
          <w:highlight w:val="green"/>
        </w:rPr>
        <w:t xml:space="preserve">correlated channel groups (A7)</w:t>
      </w:r>
      <w:r>
        <w:rPr/>
        <w:t xml:space="preserve">, deviations are often local to one tightly</w:t>
      </w:r>
      <w:r>
        <w:rPr/>
        <w:t xml:space="preserve"> </w:t>
      </w:r>
      <w:r>
        <w:rPr/>
        <w:t xml:space="preserve">coupled subsystem. LatAD therefore models regime probability at subsystem scale, not only at whole-plant scale</w:t>
      </w:r>
      <w:r>
        <w:rPr/>
        <w:t xml:space="preserve"> </w:t>
      </w:r>
      <w:r>
        <w:rPr/>
        <w:t xml:space="preserve">(§4.4).</w:t>
      </w:r>
    </w:p>
    <w:p>
      <w:pPr>
        <w:pStyle w:val="MDPI41tablecaption"/>
        <w:ind w:left="2608"/>
      </w:pPr>
      <w:r>
        <w:rPr>
          <w:b/>
          <w:bCs/>
        </w:rPr>
        <w:t xml:space="preserve">Table 1.</w:t>
      </w:r>
      <w:r>
        <w:rPr/>
        <w:t xml:space="preserve"> </w:t>
      </w:r>
      <w:r>
        <w:rPr/>
        <w:t xml:space="preserve">The ten CPS normal-data assumptions, their physical origin, and the detector</w:t>
      </w:r>
      <w:r>
        <w:rPr/>
        <w:t xml:space="preserve"> </w:t>
      </w:r>
      <w:r>
        <w:rPr/>
        <w:t xml:space="preserve">design choice each motivates. A1–A8 shape the instantaneous window; A9–A10 shape the trajectory.</w:t>
      </w:r>
      <w:r>
        <w:rPr/>
        <w:t xml:space="preserve"> </w:t>
      </w:r>
      <w:r>
        <w:rPr>
          <w:highlight w:val="green"/>
        </w:rPr>
        <w:t xml:space="preserve"> The last column names the LatAD design section and mechanism that realizes each assumption. Rows are grouped into A1–A7, realized and validated on the three real testbeds, and A8–A10, specified but not realized by the reported window-only model (A8’s precondition present but its heavy overlap not exercised, A9 present in the data, A10 measured absent). </w:t>
      </w:r>
      <w:r>
        <w:rPr/>
        <w:t xml:space="preserve"> </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499"/>
        <w:gridCol w:w="1549"/>
        <w:gridCol w:w="2334"/>
        <w:gridCol w:w="1866"/>
        <w:gridCol w:w="1610"/>
      </w:tblGrid>
      <w:tr>
        <w:trPr>
          <w:tblHeader w:val="on"/>
        </w:trPr>
        <w:tc>
          <w:tcPr>
            <w:tcBorders>
              <w:bottom w:val="single" w:sz="8" w:space="0" w:color="auto"/>
            </w:tcBorders>
            <w:vAlign w:val="center"/>
          </w:tcPr>
          <w:p>
            <w:pPr>
              <w:pStyle w:val="Compact"/>
              <w:suppressAutoHyphens/>
              <w:jc w:val="center"/>
            </w:pPr>
            <w:r>
              <w:rPr>
                <w:b/>
                <w:sz w:val="18"/>
                <w:szCs w:val="18"/>
              </w:rPr>
              <w:t xml:space="preserve">ID</w:t>
            </w:r>
          </w:p>
        </w:tc>
        <w:tc>
          <w:tcPr>
            <w:tcBorders>
              <w:bottom w:val="single" w:sz="8" w:space="0" w:color="auto"/>
            </w:tcBorders>
            <w:vAlign w:val="center"/>
          </w:tcPr>
          <w:p>
            <w:pPr>
              <w:pStyle w:val="Compact"/>
              <w:suppressAutoHyphens/>
              <w:jc w:val="center"/>
            </w:pPr>
            <w:r>
              <w:rPr>
                <w:b/>
                <w:sz w:val="18"/>
                <w:szCs w:val="18"/>
              </w:rPr>
              <w:t xml:space="preserve">Assumption</w:t>
            </w:r>
          </w:p>
        </w:tc>
        <w:tc>
          <w:tcPr>
            <w:tcBorders>
              <w:bottom w:val="single" w:sz="8" w:space="0" w:color="auto"/>
            </w:tcBorders>
            <w:vAlign w:val="center"/>
          </w:tcPr>
          <w:p>
            <w:pPr>
              <w:pStyle w:val="Compact"/>
              <w:suppressAutoHyphens/>
              <w:jc w:val="center"/>
            </w:pPr>
            <w:r>
              <w:rPr>
                <w:b/>
                <w:sz w:val="18"/>
                <w:szCs w:val="18"/>
              </w:rPr>
              <w:t xml:space="preserve">CPS rationale</w:t>
            </w:r>
          </w:p>
        </w:tc>
        <w:tc>
          <w:tcPr>
            <w:tcBorders>
              <w:bottom w:val="single" w:sz="8" w:space="0" w:color="auto"/>
            </w:tcBorders>
            <w:vAlign w:val="center"/>
          </w:tcPr>
          <w:p>
            <w:pPr>
              <w:pStyle w:val="Compact"/>
              <w:suppressAutoHyphens/>
              <w:jc w:val="center"/>
            </w:pPr>
            <w:r>
              <w:rPr>
                <w:b/>
                <w:sz w:val="18"/>
                <w:szCs w:val="18"/>
              </w:rPr>
              <w:t xml:space="preserve">Motivates (design choice)</w:t>
            </w:r>
          </w:p>
        </w:tc>
        <w:tc>
          <w:tcPr>
            <w:tcBorders>
              <w:bottom w:val="single" w:sz="8" w:space="0" w:color="auto"/>
            </w:tcBorders>
            <w:vAlign w:val="center"/>
          </w:tcPr>
          <w:p>
            <w:pPr>
              <w:pStyle w:val="Compact"/>
              <w:suppressAutoHyphens/>
              <w:jc w:val="center"/>
            </w:pPr>
            <w:r>
              <w:rPr>
                <w:b/>
                <w:sz w:val="18"/>
                <w:szCs w:val="18"/>
                <w:highlight w:val="green"/>
              </w:rPr>
              <w:t xml:space="preserve"> Realized by (§) </w:t>
            </w:r>
          </w:p>
        </w:tc>
      </w:tr>
      <w:tr>
        <w:tc>
          <w:tcPr>
            <w:gridSpan w:val="5"/>
            <w:vAlign w:val="center"/>
          </w:tcPr>
          <w:p>
            <w:pPr>
              <w:pStyle w:val="Compact"/>
              <w:suppressAutoHyphens/>
              <w:jc w:val="center"/>
            </w:pPr>
            <w:r>
              <w:rPr>
                <w:sz w:val="18"/>
                <w:szCs w:val="18"/>
                <w:highlight w:val="green"/>
              </w:rPr>
              <w:t xml:space="preserve"> </w:t>
            </w:r>
            <w:r>
              <w:rPr>
                <w:b/>
                <w:bCs/>
                <w:sz w:val="18"/>
                <w:szCs w:val="18"/>
                <w:highlight w:val="green"/>
              </w:rPr>
              <w:t xml:space="preserve">Realized and validated (A1–A7)</w:t>
            </w:r>
            <w:r>
              <w:rPr>
                <w:sz w:val="18"/>
                <w:szCs w:val="18"/>
                <w:highlight w:val="green"/>
              </w:rPr>
              <w:t xml:space="preserve"> </w:t>
            </w:r>
          </w:p>
        </w:tc>
      </w:tr>
      <w:tr>
        <w:tc>
          <w:tcPr>
            <w:vAlign w:val="center"/>
          </w:tcPr>
          <w:p>
            <w:pPr>
              <w:pStyle w:val="Compact"/>
              <w:suppressAutoHyphens/>
              <w:jc w:val="center"/>
            </w:pPr>
            <w:r>
              <w:rPr>
                <w:b/>
                <w:bCs/>
                <w:sz w:val="18"/>
                <w:szCs w:val="18"/>
              </w:rPr>
              <w:t xml:space="preserve">A1</w:t>
            </w:r>
          </w:p>
        </w:tc>
        <w:tc>
          <w:tcPr>
            <w:vAlign w:val="center"/>
          </w:tcPr>
          <w:p>
            <w:pPr>
              <w:pStyle w:val="Compact"/>
              <w:suppressAutoHyphens/>
              <w:jc w:val="center"/>
            </w:pPr>
            <w:r>
              <w:rPr>
                <w:b/>
                <w:bCs/>
                <w:sz w:val="18"/>
                <w:szCs w:val="18"/>
              </w:rPr>
              <w:t xml:space="preserve">Regime mixture</w:t>
            </w:r>
            <w:r>
              <w:rPr>
                <w:sz w:val="18"/>
                <w:szCs w:val="18"/>
              </w:rPr>
              <w:t xml:space="preserve"> </w:t>
            </w:r>
            <w:r>
              <w:rPr>
                <w:sz w:val="18"/>
                <w:szCs w:val="18"/>
              </w:rPr>
              <w:t xml:space="preserve">(multimodality)</w:t>
            </w:r>
          </w:p>
        </w:tc>
        <w:tc>
          <w:tcPr>
            <w:vAlign w:val="center"/>
          </w:tcPr>
          <w:p>
            <w:pPr>
              <w:pStyle w:val="Compact"/>
              <w:suppressAutoHyphens/>
              <w:jc w:val="center"/>
            </w:pPr>
            <w:r>
              <w:rPr>
                <w:sz w:val="18"/>
                <w:szCs w:val="18"/>
              </w:rPr>
              <w:t xml:space="preserve">A plant or vehicle cycles through discrete operating regimes (idle, cruise, load steps); normal is their union, not one blob.</w:t>
            </w:r>
          </w:p>
        </w:tc>
        <w:tc>
          <w:tcPr>
            <w:vAlign w:val="center"/>
          </w:tcPr>
          <w:p>
            <w:pPr>
              <w:pStyle w:val="Compact"/>
              <w:suppressAutoHyphens/>
              <w:jc w:val="center"/>
            </w:pPr>
            <w:r>
              <w:rPr>
                <w:sz w:val="18"/>
                <w:szCs w:val="18"/>
              </w:rPr>
              <w:t xml:space="preserve">Model normal as an explicit mixture, not a global density: the latent</w:t>
            </w:r>
            <w:r>
              <w:rPr>
                <w:sz w:val="18"/>
                <w:szCs w:val="18"/>
              </w:rPr>
              <w:t xml:space="preserve"> </w:t>
            </w:r>
            <w:r>
              <w:rPr>
                <w:sz w:val="18"/>
                <w:szCs w:val="18"/>
              </w:rPr>
              <w:t xml:space="preserve"> </w:t>
            </w:r>
            <w:r>
              <w:rPr>
                <w:sz w:val="18"/>
                <w:szCs w:val="18"/>
                <w:highlight w:val="green"/>
              </w:rPr>
              <w:t xml:space="preserve"> Gaussian mixture model (GMM) </w:t>
            </w:r>
            <w:r>
              <w:rPr>
                <w:sz w:val="18"/>
                <w:szCs w:val="18"/>
              </w:rPr>
              <w:t xml:space="preserve"> </w:t>
            </w:r>
            <w:r>
              <w:rPr>
                <w:sz w:val="18"/>
                <w:szCs w:val="18"/>
              </w:rPr>
              <w:t xml:space="preserve"> </w:t>
            </w:r>
            <w:r>
              <w:rPr>
                <w:sz w:val="18"/>
                <w:szCs w:val="18"/>
              </w:rPr>
              <w:t xml:space="preserve">prior of VaDE.</w:t>
            </w:r>
          </w:p>
        </w:tc>
        <w:tc>
          <w:tcPr>
            <w:vAlign w:val="center"/>
          </w:tcPr>
          <w:p>
            <w:pPr>
              <w:pStyle w:val="Compact"/>
              <w:suppressAutoHyphens/>
              <w:jc w:val="center"/>
            </w:pPr>
            <w:r>
              <w:rPr>
                <w:sz w:val="18"/>
                <w:szCs w:val="18"/>
                <w:highlight w:val="green"/>
              </w:rPr>
              <w:t xml:space="preserve"> VaDE latent Gaussian-mixture regimes (§4.1). </w:t>
            </w:r>
          </w:p>
        </w:tc>
      </w:tr>
      <w:tr>
        <w:tc>
          <w:tcPr>
            <w:vAlign w:val="center"/>
          </w:tcPr>
          <w:p>
            <w:pPr>
              <w:pStyle w:val="Compact"/>
              <w:suppressAutoHyphens/>
              <w:jc w:val="center"/>
            </w:pPr>
            <w:r>
              <w:rPr>
                <w:b/>
                <w:bCs/>
                <w:sz w:val="18"/>
                <w:szCs w:val="18"/>
              </w:rPr>
              <w:t xml:space="preserve">A2</w:t>
            </w:r>
          </w:p>
        </w:tc>
        <w:tc>
          <w:tcPr>
            <w:vAlign w:val="center"/>
          </w:tcPr>
          <w:p>
            <w:pPr>
              <w:pStyle w:val="Compact"/>
              <w:suppressAutoHyphens/>
              <w:jc w:val="center"/>
            </w:pPr>
            <w:r>
              <w:rPr>
                <w:b/>
                <w:bCs/>
                <w:sz w:val="18"/>
                <w:szCs w:val="18"/>
              </w:rPr>
              <w:t xml:space="preserve">Regime explosion</w:t>
            </w:r>
            <w:r>
              <w:rPr>
                <w:sz w:val="18"/>
                <w:szCs w:val="18"/>
              </w:rPr>
              <w:t xml:space="preserve"> </w:t>
            </w:r>
            <w:r>
              <w:rPr>
                <w:sz w:val="18"/>
                <w:szCs w:val="18"/>
              </w:rPr>
              <w:t xml:space="preserve">(exponential regime growth)</w:t>
            </w:r>
          </w:p>
        </w:tc>
        <w:tc>
          <w:tcPr>
            <w:vAlign w:val="center"/>
          </w:tcPr>
          <w:p>
            <w:pPr>
              <w:pStyle w:val="Compact"/>
              <w:suppressAutoHyphens/>
              <w:jc w:val="center"/>
            </w:pPr>
            <w:r>
              <w:rPr>
                <w:sz w:val="18"/>
                <w:szCs w:val="18"/>
              </w:rPr>
              <w:t xml:space="preserve">A CPS is built from many interacting subsystems; each added element multiplies reachable regimes, so regime count grows with complexity.</w:t>
            </w:r>
          </w:p>
        </w:tc>
        <w:tc>
          <w:tcPr>
            <w:vAlign w:val="center"/>
          </w:tcPr>
          <w:p>
            <w:pPr>
              <w:pStyle w:val="Compact"/>
              <w:suppressAutoHyphens/>
              <w:jc w:val="center"/>
            </w:pPr>
            <w:r>
              <w:rPr>
                <w:sz w:val="18"/>
                <w:szCs w:val="18"/>
              </w:rPr>
              <w:t xml:space="preserve">Use a high number of components</w:t>
            </w:r>
            <w:r>
              <w:rPr>
                <w:sz w:val="18"/>
                <w:szCs w:val="18"/>
              </w:rPr>
              <w:t xml:space="preserve"> </w:t>
            </w:r>
            <w:r>
              <w:rPr>
                <w:i/>
                <w:iCs/>
                <w:sz w:val="18"/>
                <w:szCs w:val="18"/>
              </w:rPr>
              <w:t xml:space="preserve">K</w:t>
            </w:r>
            <w:r>
              <w:rPr>
                <w:sz w:val="18"/>
                <w:szCs w:val="18"/>
              </w:rPr>
              <w:t xml:space="preserve"> </w:t>
            </w:r>
            <w:r>
              <w:rPr>
                <w:sz w:val="18"/>
                <w:szCs w:val="18"/>
              </w:rPr>
              <w:t xml:space="preserve">(and a high-resolution density head) rather than a handful.</w:t>
            </w:r>
          </w:p>
        </w:tc>
        <w:tc>
          <w:tcPr>
            <w:vAlign w:val="center"/>
          </w:tcPr>
          <w:p>
            <w:pPr>
              <w:pStyle w:val="Compact"/>
              <w:suppressAutoHyphens/>
              <w:jc w:val="center"/>
            </w:pPr>
            <w:r>
              <w:rPr>
                <w:sz w:val="18"/>
                <w:szCs w:val="18"/>
                <w:highlight w:val="green"/>
              </w:rPr>
              <w:t xml:space="preserve"> High component count</w:t>
            </w:r>
            <w:r>
              <w:rPr>
                <w:sz w:val="18"/>
                <w:szCs w:val="18"/>
                <w:highlight w:val="green"/>
              </w:rPr>
              <w:t xml:space="preserve"> </w:t>
            </w:r>
            <w:r>
              <w:rPr>
                <w:i/>
                <w:iCs/>
                <w:sz w:val="18"/>
                <w:szCs w:val="18"/>
                <w:highlight w:val="green"/>
              </w:rPr>
              <w:t xml:space="preserve">K</w:t>
            </w:r>
            <w:r>
              <w:rPr>
                <w:sz w:val="18"/>
                <w:szCs w:val="18"/>
                <w:highlight w:val="green"/>
              </w:rPr>
              <w:t xml:space="preserve"> </w:t>
            </w:r>
            <w:r>
              <w:rPr>
                <w:sz w:val="18"/>
                <w:szCs w:val="18"/>
                <w:highlight w:val="green"/>
              </w:rPr>
              <w:t xml:space="preserve">and mixture-density head (§4.1, §4.3). </w:t>
            </w:r>
          </w:p>
        </w:tc>
      </w:tr>
      <w:tr>
        <w:tc>
          <w:tcPr>
            <w:vAlign w:val="center"/>
          </w:tcPr>
          <w:p>
            <w:pPr>
              <w:pStyle w:val="Compact"/>
              <w:suppressAutoHyphens/>
              <w:jc w:val="center"/>
            </w:pPr>
            <w:r>
              <w:rPr>
                <w:b/>
                <w:bCs/>
                <w:sz w:val="18"/>
                <w:szCs w:val="18"/>
              </w:rPr>
              <w:t xml:space="preserve">A3</w:t>
            </w:r>
          </w:p>
        </w:tc>
        <w:tc>
          <w:tcPr>
            <w:vAlign w:val="center"/>
          </w:tcPr>
          <w:p>
            <w:pPr>
              <w:pStyle w:val="Compact"/>
              <w:suppressAutoHyphens/>
              <w:jc w:val="center"/>
            </w:pPr>
            <w:r>
              <w:rPr>
                <w:b/>
                <w:bCs/>
                <w:sz w:val="18"/>
                <w:szCs w:val="18"/>
              </w:rPr>
              <w:t xml:space="preserve">Thin fringes</w:t>
            </w:r>
            <w:r>
              <w:rPr>
                <w:sz w:val="18"/>
                <w:szCs w:val="18"/>
              </w:rPr>
              <w:t xml:space="preserve"> </w:t>
            </w:r>
            <w:r>
              <w:rPr>
                <w:sz w:val="18"/>
                <w:szCs w:val="18"/>
              </w:rPr>
              <w:t xml:space="preserve">(intra-regime sparsity)</w:t>
            </w:r>
          </w:p>
        </w:tc>
        <w:tc>
          <w:tcPr>
            <w:vAlign w:val="center"/>
          </w:tcPr>
          <w:p>
            <w:pPr>
              <w:pStyle w:val="Compact"/>
              <w:suppressAutoHyphens/>
              <w:jc w:val="center"/>
            </w:pPr>
            <w:r>
              <w:rPr>
                <w:sz w:val="18"/>
                <w:szCs w:val="18"/>
              </w:rPr>
              <w:t xml:space="preserve">Within a regime the system dwells near a typical operating point and reaches the edges only occasionally; each regime holds legitimate low-density regions near its boundary.</w:t>
            </w:r>
          </w:p>
        </w:tc>
        <w:tc>
          <w:tcPr>
            <w:vAlign w:val="center"/>
          </w:tcPr>
          <w:p>
            <w:pPr>
              <w:pStyle w:val="Compact"/>
              <w:suppressAutoHyphens/>
              <w:jc w:val="center"/>
            </w:pPr>
            <w:r>
              <w:rPr>
                <w:sz w:val="18"/>
                <w:szCs w:val="18"/>
              </w:rPr>
              <w:t xml:space="preserve">Density inside a regime is non-Gaussian → a parametric high-resolution mixture density head, not one Gaussian per regime.</w:t>
            </w:r>
          </w:p>
        </w:tc>
        <w:tc>
          <w:tcPr>
            <w:vAlign w:val="center"/>
          </w:tcPr>
          <w:p>
            <w:pPr>
              <w:pStyle w:val="Compact"/>
              <w:suppressAutoHyphens/>
              <w:jc w:val="center"/>
            </w:pPr>
            <w:r>
              <w:rPr>
                <w:sz w:val="18"/>
                <w:szCs w:val="18"/>
                <w:highlight w:val="green"/>
              </w:rPr>
              <w:t xml:space="preserve"> Mixture-density head (§4.3, i). </w:t>
            </w:r>
          </w:p>
        </w:tc>
      </w:tr>
      <w:tr>
        <w:tc>
          <w:tcPr>
            <w:vAlign w:val="center"/>
          </w:tcPr>
          <w:p>
            <w:pPr>
              <w:pStyle w:val="Compact"/>
              <w:suppressAutoHyphens/>
              <w:jc w:val="center"/>
            </w:pPr>
            <w:r>
              <w:rPr>
                <w:b/>
                <w:bCs/>
                <w:sz w:val="18"/>
                <w:szCs w:val="18"/>
              </w:rPr>
              <w:t xml:space="preserve">A4</w:t>
            </w:r>
          </w:p>
        </w:tc>
        <w:tc>
          <w:tcPr>
            <w:vAlign w:val="center"/>
          </w:tcPr>
          <w:p>
            <w:pPr>
              <w:pStyle w:val="Compact"/>
              <w:suppressAutoHyphens/>
              <w:jc w:val="center"/>
            </w:pPr>
            <w:r>
              <w:rPr>
                <w:b/>
                <w:bCs/>
                <w:sz w:val="18"/>
                <w:szCs w:val="18"/>
              </w:rPr>
              <w:t xml:space="preserve">Few levers</w:t>
            </w:r>
            <w:r>
              <w:rPr>
                <w:sz w:val="18"/>
                <w:szCs w:val="18"/>
              </w:rPr>
              <w:t xml:space="preserve"> </w:t>
            </w:r>
            <w:r>
              <w:rPr>
                <w:sz w:val="18"/>
                <w:szCs w:val="18"/>
              </w:rPr>
              <w:t xml:space="preserve">(low intrinsic dimension)</w:t>
            </w:r>
          </w:p>
        </w:tc>
        <w:tc>
          <w:tcPr>
            <w:vAlign w:val="center"/>
          </w:tcPr>
          <w:p>
            <w:pPr>
              <w:pStyle w:val="Compact"/>
              <w:suppressAutoHyphens/>
              <w:jc w:val="center"/>
            </w:pPr>
            <w:r>
              <w:rPr>
                <w:sz w:val="18"/>
                <w:szCs w:val="18"/>
              </w:rPr>
              <w:t xml:space="preserve">The independent control variables are far fewer than the observed channels; the rest follow deterministically or probabilistically.</w:t>
            </w:r>
          </w:p>
        </w:tc>
        <w:tc>
          <w:tcPr>
            <w:vAlign w:val="center"/>
          </w:tcPr>
          <w:p>
            <w:pPr>
              <w:pStyle w:val="Compact"/>
              <w:suppressAutoHyphens/>
              <w:jc w:val="center"/>
            </w:pPr>
            <w:r>
              <w:rPr>
                <w:sz w:val="18"/>
                <w:szCs w:val="18"/>
              </w:rPr>
              <w:t xml:space="preserve">A low-dimensional learned latent (dim 10–16 across datasets) suffices; faults appear as departures within that latent.</w:t>
            </w:r>
          </w:p>
        </w:tc>
        <w:tc>
          <w:tcPr>
            <w:vAlign w:val="center"/>
          </w:tcPr>
          <w:p>
            <w:pPr>
              <w:pStyle w:val="Compact"/>
              <w:suppressAutoHyphens/>
              <w:jc w:val="center"/>
            </w:pPr>
            <w:r>
              <w:rPr>
                <w:sz w:val="18"/>
                <w:szCs w:val="18"/>
                <w:highlight w:val="green"/>
              </w:rPr>
              <w:t xml:space="preserve"> Low-dimensional VaDE latent (§4.1). </w:t>
            </w:r>
          </w:p>
        </w:tc>
      </w:tr>
      <w:tr>
        <w:tc>
          <w:tcPr>
            <w:vAlign w:val="center"/>
          </w:tcPr>
          <w:p>
            <w:pPr>
              <w:pStyle w:val="Compact"/>
              <w:suppressAutoHyphens/>
              <w:jc w:val="center"/>
            </w:pPr>
            <w:r>
              <w:rPr>
                <w:b/>
                <w:bCs/>
                <w:sz w:val="18"/>
                <w:szCs w:val="18"/>
              </w:rPr>
              <w:t xml:space="preserve">A5</w:t>
            </w:r>
          </w:p>
        </w:tc>
        <w:tc>
          <w:tcPr>
            <w:vAlign w:val="center"/>
          </w:tcPr>
          <w:p>
            <w:pPr>
              <w:pStyle w:val="Compact"/>
              <w:suppressAutoHyphens/>
              <w:jc w:val="center"/>
            </w:pPr>
            <w:r>
              <w:rPr>
                <w:b/>
                <w:bCs/>
                <w:sz w:val="18"/>
                <w:szCs w:val="18"/>
              </w:rPr>
              <w:t xml:space="preserve">Heavy tail</w:t>
            </w:r>
            <w:r>
              <w:rPr>
                <w:sz w:val="18"/>
                <w:szCs w:val="18"/>
              </w:rPr>
              <w:t xml:space="preserve"> </w:t>
            </w:r>
            <w:r>
              <w:rPr>
                <w:sz w:val="18"/>
                <w:szCs w:val="18"/>
              </w:rPr>
              <w:t xml:space="preserve">(Zipf imbalance)</w:t>
            </w:r>
          </w:p>
        </w:tc>
        <w:tc>
          <w:tcPr>
            <w:vAlign w:val="center"/>
          </w:tcPr>
          <w:p>
            <w:pPr>
              <w:pStyle w:val="Compact"/>
              <w:suppressAutoHyphens/>
              <w:jc w:val="center"/>
            </w:pPr>
            <w:r>
              <w:rPr>
                <w:sz w:val="18"/>
                <w:szCs w:val="18"/>
              </w:rPr>
              <w:t xml:space="preserve">Machines spend most of the record in a few steady regimes; startup, shutdown and rare manoeuvres occupy little of it, so an infrequent-but-normal point is easily mistaken for a fault.</w:t>
            </w:r>
          </w:p>
        </w:tc>
        <w:tc>
          <w:tcPr>
            <w:vAlign w:val="center"/>
          </w:tcPr>
          <w:p>
            <w:pPr>
              <w:pStyle w:val="Compact"/>
              <w:suppressAutoHyphens/>
              <w:jc w:val="center"/>
            </w:pPr>
            <w:r>
              <w:rPr>
                <w:sz w:val="18"/>
                <w:szCs w:val="18"/>
              </w:rPr>
              <w:t xml:space="preserve">Score against the</w:t>
            </w:r>
            <w:r>
              <w:rPr>
                <w:sz w:val="18"/>
                <w:szCs w:val="18"/>
              </w:rPr>
              <w:t xml:space="preserve"> </w:t>
            </w:r>
            <w:r>
              <w:rPr>
                <w:i/>
                <w:iCs/>
                <w:sz w:val="18"/>
                <w:szCs w:val="18"/>
              </w:rPr>
              <w:t xml:space="preserve">nearest</w:t>
            </w:r>
            <w:r>
              <w:rPr>
                <w:sz w:val="18"/>
                <w:szCs w:val="18"/>
              </w:rPr>
              <w:t xml:space="preserve"> </w:t>
            </w:r>
            <w:r>
              <w:rPr>
                <w:sz w:val="18"/>
                <w:szCs w:val="18"/>
              </w:rPr>
              <w:t xml:space="preserve">component, never the π-weighted mixture, so a rare-but-valid regime is not penalized (ii).</w:t>
            </w:r>
          </w:p>
        </w:tc>
        <w:tc>
          <w:tcPr>
            <w:vAlign w:val="center"/>
          </w:tcPr>
          <w:p>
            <w:pPr>
              <w:pStyle w:val="Compact"/>
              <w:suppressAutoHyphens/>
              <w:jc w:val="center"/>
            </w:pPr>
            <w:r>
              <w:rPr>
                <w:sz w:val="18"/>
                <w:szCs w:val="18"/>
                <w:highlight w:val="green"/>
              </w:rPr>
              <w:t xml:space="preserve"> Nearest-component negative-log-likelihood (NLL) head (§4.3, ii). </w:t>
            </w:r>
          </w:p>
        </w:tc>
      </w:tr>
      <w:tr>
        <w:tc>
          <w:tcPr>
            <w:vAlign w:val="center"/>
          </w:tcPr>
          <w:p>
            <w:pPr>
              <w:pStyle w:val="Compact"/>
              <w:suppressAutoHyphens/>
              <w:jc w:val="center"/>
            </w:pPr>
            <w:r>
              <w:rPr>
                <w:b/>
                <w:bCs/>
                <w:sz w:val="18"/>
                <w:szCs w:val="18"/>
              </w:rPr>
              <w:t xml:space="preserve">A6</w:t>
            </w:r>
          </w:p>
        </w:tc>
        <w:tc>
          <w:tcPr>
            <w:vAlign w:val="center"/>
          </w:tcPr>
          <w:p>
            <w:pPr>
              <w:pStyle w:val="Compact"/>
              <w:suppressAutoHyphens/>
              <w:jc w:val="center"/>
            </w:pPr>
            <w:r>
              <w:rPr>
                <w:b/>
                <w:bCs/>
                <w:sz w:val="18"/>
                <w:szCs w:val="18"/>
              </w:rPr>
              <w:t xml:space="preserve">Hidden regimes</w:t>
            </w:r>
            <w:r>
              <w:rPr>
                <w:sz w:val="18"/>
                <w:szCs w:val="18"/>
              </w:rPr>
              <w:t xml:space="preserve"> </w:t>
            </w:r>
            <w:r>
              <w:rPr>
                <w:sz w:val="18"/>
                <w:szCs w:val="18"/>
              </w:rPr>
              <w:t xml:space="preserve">(latent, implicit regimes)</w:t>
            </w:r>
          </w:p>
        </w:tc>
        <w:tc>
          <w:tcPr>
            <w:vAlign w:val="center"/>
          </w:tcPr>
          <w:p>
            <w:pPr>
              <w:pStyle w:val="Compact"/>
              <w:suppressAutoHyphens/>
              <w:jc w:val="center"/>
            </w:pPr>
            <w:r>
              <w:rPr>
                <w:sz w:val="18"/>
                <w:szCs w:val="18"/>
              </w:rPr>
              <w:t xml:space="preserve">True regimes are an emergent artifact of coupling and are not logged; regimes must be discovered approximately from raw streams.</w:t>
            </w:r>
          </w:p>
        </w:tc>
        <w:tc>
          <w:tcPr>
            <w:vAlign w:val="center"/>
          </w:tcPr>
          <w:p>
            <w:pPr>
              <w:pStyle w:val="Compact"/>
              <w:suppressAutoHyphens/>
              <w:jc w:val="center"/>
            </w:pPr>
            <w:r>
              <w:rPr>
                <w:sz w:val="18"/>
                <w:szCs w:val="18"/>
              </w:rPr>
              <w:t xml:space="preserve">Discover regimes jointly with the representation (VaDE), unsupervised; never use regime labels.</w:t>
            </w:r>
          </w:p>
        </w:tc>
        <w:tc>
          <w:tcPr>
            <w:vAlign w:val="center"/>
          </w:tcPr>
          <w:p>
            <w:pPr>
              <w:pStyle w:val="Compact"/>
              <w:suppressAutoHyphens/>
              <w:jc w:val="center"/>
            </w:pPr>
            <w:r>
              <w:rPr>
                <w:sz w:val="18"/>
                <w:szCs w:val="18"/>
                <w:highlight w:val="green"/>
              </w:rPr>
              <w:t xml:space="preserve"> Joint VaDE clustering, unsupervised (§4.1). </w:t>
            </w:r>
          </w:p>
        </w:tc>
      </w:tr>
      <w:tr>
        <w:tc>
          <w:tcPr>
            <w:vAlign w:val="center"/>
          </w:tcPr>
          <w:p>
            <w:pPr>
              <w:pStyle w:val="Compact"/>
              <w:suppressAutoHyphens/>
              <w:jc w:val="center"/>
            </w:pPr>
            <w:r>
              <w:rPr>
                <w:b/>
                <w:bCs/>
                <w:sz w:val="18"/>
                <w:szCs w:val="18"/>
              </w:rPr>
              <w:t xml:space="preserve">A7</w:t>
            </w:r>
          </w:p>
        </w:tc>
        <w:tc>
          <w:tcPr>
            <w:vAlign w:val="center"/>
          </w:tcPr>
          <w:p>
            <w:pPr>
              <w:pStyle w:val="Compact"/>
              <w:suppressAutoHyphens/>
              <w:jc w:val="center"/>
            </w:pPr>
            <w:r>
              <w:rPr>
                <w:b/>
                <w:bCs/>
                <w:sz w:val="18"/>
                <w:szCs w:val="18"/>
              </w:rPr>
              <w:t xml:space="preserve">Mixed signals</w:t>
            </w:r>
            <w:r>
              <w:rPr>
                <w:sz w:val="18"/>
                <w:szCs w:val="18"/>
              </w:rPr>
              <w:t xml:space="preserve"> </w:t>
            </w:r>
            <w:r>
              <w:rPr>
                <w:sz w:val="18"/>
                <w:szCs w:val="18"/>
              </w:rPr>
              <w:t xml:space="preserve"> </w:t>
            </w:r>
            <w:r>
              <w:rPr>
                <w:sz w:val="18"/>
                <w:szCs w:val="18"/>
                <w:highlight w:val="green"/>
              </w:rPr>
              <w:t xml:space="preserve"> (heterogeneous scale and noise) </w:t>
            </w:r>
            <w:r>
              <w:rPr>
                <w:sz w:val="18"/>
                <w:szCs w:val="18"/>
              </w:rPr>
              <w:t xml:space="preserve"> </w:t>
            </w:r>
          </w:p>
        </w:tc>
        <w:tc>
          <w:tcPr>
            <w:vAlign w:val="center"/>
          </w:tcPr>
          <w:p>
            <w:pPr>
              <w:pStyle w:val="Compact"/>
              <w:suppressAutoHyphens/>
              <w:jc w:val="center"/>
            </w:pPr>
            <w:r>
              <w:rPr>
                <w:sz w:val="18"/>
                <w:szCs w:val="18"/>
              </w:rPr>
              <w:t xml:space="preserve">The bus carries sensors, actuators, discrete states and setpoints, each with its own range, resolution and correlated noise.</w:t>
            </w:r>
          </w:p>
        </w:tc>
        <w:tc>
          <w:tcPr>
            <w:vAlign w:val="center"/>
          </w:tcPr>
          <w:p>
            <w:pPr>
              <w:pStyle w:val="Compact"/>
              <w:suppressAutoHyphens/>
              <w:jc w:val="center"/>
            </w:pPr>
            <w:r>
              <w:rPr>
                <w:sz w:val="18"/>
                <w:szCs w:val="18"/>
              </w:rPr>
              <w:t xml:space="preserve"> </w:t>
            </w:r>
            <w:r>
              <w:rPr>
                <w:sz w:val="18"/>
                <w:szCs w:val="18"/>
                <w:highlight w:val="green"/>
              </w:rPr>
              <w:t xml:space="preserve"> Per-feature standardization on train-normal; a whitened (Mahalanobis) residual respecting per-channel scale and cross-channel correlation (iii). (All channels are standardized and Gaussian-modeled; no channel is given a categorical likelihood; native discrete-channel likelihoods are surveyed in §7.) </w:t>
            </w:r>
            <w:r>
              <w:rPr>
                <w:sz w:val="18"/>
                <w:szCs w:val="18"/>
              </w:rPr>
              <w:t xml:space="preserve"> </w:t>
            </w:r>
          </w:p>
        </w:tc>
        <w:tc>
          <w:tcPr>
            <w:vAlign w:val="center"/>
          </w:tcPr>
          <w:p>
            <w:pPr>
              <w:pStyle w:val="Compact"/>
              <w:suppressAutoHyphens/>
              <w:jc w:val="center"/>
            </w:pPr>
            <w:r>
              <w:rPr>
                <w:sz w:val="18"/>
                <w:szCs w:val="18"/>
                <w:highlight w:val="green"/>
              </w:rPr>
              <w:t xml:space="preserve"> Standardization and whitened residual (§4.3, iii); community factorization (§4.4). </w:t>
            </w:r>
          </w:p>
        </w:tc>
      </w:tr>
      <w:tr>
        <w:tc>
          <w:tcPr>
            <w:gridSpan w:val="5"/>
            <w:vAlign w:val="center"/>
          </w:tcPr>
          <w:p>
            <w:pPr>
              <w:pStyle w:val="Compact"/>
              <w:suppressAutoHyphens/>
              <w:jc w:val="center"/>
            </w:pPr>
            <w:r>
              <w:rPr>
                <w:sz w:val="18"/>
                <w:szCs w:val="18"/>
                <w:highlight w:val="green"/>
              </w:rPr>
              <w:t xml:space="preserve"> </w:t>
            </w:r>
            <w:r>
              <w:rPr>
                <w:b/>
                <w:bCs/>
                <w:sz w:val="18"/>
                <w:szCs w:val="18"/>
                <w:highlight w:val="green"/>
              </w:rPr>
              <w:t xml:space="preserve">Specified, not realized by the reported window-only model (A8–A10)</w:t>
            </w:r>
            <w:r>
              <w:rPr>
                <w:sz w:val="18"/>
                <w:szCs w:val="18"/>
                <w:highlight w:val="green"/>
              </w:rPr>
              <w:t xml:space="preserve"> </w:t>
            </w:r>
          </w:p>
        </w:tc>
      </w:tr>
      <w:tr>
        <w:tc>
          <w:tcPr>
            <w:vAlign w:val="center"/>
          </w:tcPr>
          <w:p>
            <w:pPr>
              <w:pStyle w:val="Compact"/>
              <w:suppressAutoHyphens/>
              <w:jc w:val="center"/>
            </w:pPr>
            <w:r>
              <w:rPr>
                <w:b/>
                <w:bCs/>
                <w:sz w:val="18"/>
                <w:szCs w:val="18"/>
              </w:rPr>
              <w:t xml:space="preserve">A8</w:t>
            </w:r>
          </w:p>
        </w:tc>
        <w:tc>
          <w:tcPr>
            <w:vAlign w:val="center"/>
          </w:tcPr>
          <w:p>
            <w:pPr>
              <w:pStyle w:val="Compact"/>
              <w:suppressAutoHyphens/>
              <w:jc w:val="center"/>
            </w:pPr>
            <w:r>
              <w:rPr>
                <w:b/>
                <w:bCs/>
                <w:sz w:val="18"/>
                <w:szCs w:val="18"/>
              </w:rPr>
              <w:t xml:space="preserve"> </w:t>
            </w:r>
            <w:r>
              <w:rPr>
                <w:b/>
                <w:bCs/>
                <w:sz w:val="18"/>
                <w:szCs w:val="18"/>
                <w:strike w:val="true"/>
                <w:color w:val="C0392B"/>
              </w:rPr>
              <w:t xml:space="preserve"> Hard envelopes </w:t>
            </w:r>
            <w:r>
              <w:rPr>
                <w:b/>
                <w:bCs/>
                <w:sz w:val="18"/>
                <w:szCs w:val="18"/>
              </w:rPr>
              <w:t xml:space="preserve"> </w:t>
            </w:r>
            <w:r>
              <w:rPr>
                <w:b/>
                <w:bCs/>
                <w:sz w:val="18"/>
                <w:szCs w:val="18"/>
              </w:rPr>
              <w:t xml:space="preserve"> </w:t>
            </w:r>
            <w:r>
              <w:rPr>
                <w:b/>
                <w:bCs/>
                <w:sz w:val="18"/>
                <w:szCs w:val="18"/>
              </w:rPr>
              <w:t xml:space="preserve"> </w:t>
            </w:r>
            <w:r>
              <w:rPr>
                <w:b/>
                <w:bCs/>
                <w:sz w:val="18"/>
                <w:szCs w:val="18"/>
                <w:highlight w:val="green"/>
              </w:rPr>
              <w:t xml:space="preserve"> Between-regime overlap </w:t>
            </w:r>
            <w:r>
              <w:rPr>
                <w:b/>
                <w:bCs/>
                <w:sz w:val="18"/>
                <w:szCs w:val="18"/>
              </w:rPr>
              <w:t xml:space="preserve"> </w:t>
            </w:r>
            <w:r>
              <w:rPr>
                <w:sz w:val="18"/>
                <w:szCs w:val="18"/>
              </w:rPr>
              <w:t xml:space="preserve"> </w:t>
            </w:r>
            <w:r>
              <w:rPr>
                <w:sz w:val="18"/>
                <w:szCs w:val="18"/>
              </w:rPr>
              <w:t xml:space="preserve"> </w:t>
            </w:r>
            <w:r>
              <w:rPr>
                <w:sz w:val="18"/>
                <w:szCs w:val="18"/>
                <w:highlight w:val="green"/>
              </w:rPr>
              <w:t xml:space="preserve"> (heavy mode overlap between regimes) </w:t>
            </w:r>
            <w:r>
              <w:rPr>
                <w:sz w:val="18"/>
                <w:szCs w:val="18"/>
              </w:rPr>
              <w:t xml:space="preserve"> </w:t>
            </w:r>
          </w:p>
        </w:tc>
        <w:tc>
          <w:tcPr>
            <w:vAlign w:val="center"/>
          </w:tcPr>
          <w:p>
            <w:pPr>
              <w:pStyle w:val="Compact"/>
              <w:suppressAutoHyphens/>
              <w:jc w:val="center"/>
            </w:pPr>
            <w:r>
              <w:rPr>
                <w:sz w:val="18"/>
                <w:szCs w:val="18"/>
              </w:rPr>
              <w:t xml:space="preserve"> </w:t>
            </w:r>
            <w:r>
              <w:rPr>
                <w:sz w:val="18"/>
                <w:szCs w:val="18"/>
                <w:strike w:val="true"/>
                <w:color w:val="C0392B"/>
              </w:rPr>
              <w:t xml:space="preserve"> Controllers hold each regime within setpoint/actuator bands; the space between regimes is passed through, rarely dwelt in, leaving thin anomalous pockets. </w:t>
            </w:r>
            <w:r>
              <w:rPr>
                <w:sz w:val="18"/>
                <w:szCs w:val="18"/>
              </w:rPr>
              <w:t xml:space="preserve"> </w:t>
            </w:r>
            <w:r>
              <w:rPr>
                <w:sz w:val="18"/>
                <w:szCs w:val="18"/>
              </w:rPr>
              <w:t xml:space="preserve"> </w:t>
            </w:r>
            <w:r>
              <w:rPr>
                <w:sz w:val="18"/>
                <w:szCs w:val="18"/>
                <w:highlight w:val="green"/>
              </w:rPr>
              <w:t xml:space="preserve"> Neighbouring regimes could overlap in observation space, so a window would fall in a zone of mode ambiguity while every channel stays in range. The precondition (adjacent-but-distinct regimes) holds on nearly every plant, but heavy mode overlap is absent under valid observation-space metrics, and the masking form is coupled to A10 (§7, Appendix C). </w:t>
            </w:r>
            <w:r>
              <w:rPr>
                <w:sz w:val="18"/>
                <w:szCs w:val="18"/>
              </w:rPr>
              <w:t xml:space="preserve"> </w:t>
            </w:r>
          </w:p>
        </w:tc>
        <w:tc>
          <w:tcPr>
            <w:vAlign w:val="center"/>
          </w:tcPr>
          <w:p>
            <w:pPr>
              <w:pStyle w:val="Compact"/>
              <w:suppressAutoHyphens/>
              <w:jc w:val="center"/>
            </w:pPr>
            <w:r>
              <w:rPr>
                <w:sz w:val="18"/>
                <w:szCs w:val="18"/>
              </w:rPr>
              <w:t xml:space="preserve"> </w:t>
            </w:r>
            <w:r>
              <w:rPr>
                <w:sz w:val="18"/>
                <w:szCs w:val="18"/>
                <w:strike w:val="true"/>
                <w:color w:val="C0392B"/>
              </w:rPr>
              <w:t xml:space="preserve"> A between-regime point must score anomalous even when every channel is in range: the basin-agreement head (iv). </w:t>
            </w:r>
            <w:r>
              <w:rPr>
                <w:sz w:val="18"/>
                <w:szCs w:val="18"/>
              </w:rPr>
              <w:t xml:space="preserve"> </w:t>
            </w:r>
            <w:r>
              <w:rPr>
                <w:sz w:val="18"/>
                <w:szCs w:val="18"/>
              </w:rPr>
              <w:t xml:space="preserve"> </w:t>
            </w:r>
            <w:r>
              <w:rPr>
                <w:sz w:val="18"/>
                <w:szCs w:val="18"/>
                <w:highlight w:val="green"/>
              </w:rPr>
              <w:t xml:space="preserve"> Specified for completeness; not realized by the reported model. Its over-coverage variant is defended by the high-resolution density head; its masking variant is left with A10 as future work. </w:t>
            </w:r>
            <w:r>
              <w:rPr>
                <w:sz w:val="18"/>
                <w:szCs w:val="18"/>
              </w:rPr>
              <w:t xml:space="preserve"> </w:t>
            </w:r>
          </w:p>
        </w:tc>
        <w:tc>
          <w:tcPr>
            <w:vAlign w:val="center"/>
          </w:tcPr>
          <w:p>
            <w:pPr>
              <w:pStyle w:val="Compact"/>
              <w:suppressAutoHyphens/>
              <w:jc w:val="center"/>
            </w:pPr>
            <w:r>
              <w:rPr>
                <w:sz w:val="18"/>
                <w:szCs w:val="18"/>
                <w:highlight w:val="green"/>
              </w:rPr>
              <w:t xml:space="preserve"> Specified, partly defended (§7, Appendix C). </w:t>
            </w:r>
          </w:p>
        </w:tc>
      </w:tr>
      <w:tr>
        <w:tc>
          <w:tcPr>
            <w:vAlign w:val="center"/>
          </w:tcPr>
          <w:p>
            <w:pPr>
              <w:pStyle w:val="Compact"/>
              <w:suppressAutoHyphens/>
              <w:jc w:val="center"/>
            </w:pPr>
            <w:r>
              <w:rPr>
                <w:b/>
                <w:bCs/>
                <w:sz w:val="18"/>
                <w:szCs w:val="18"/>
              </w:rPr>
              <w:t xml:space="preserve">A9</w:t>
            </w:r>
          </w:p>
        </w:tc>
        <w:tc>
          <w:tcPr>
            <w:vAlign w:val="center"/>
          </w:tcPr>
          <w:p>
            <w:pPr>
              <w:pStyle w:val="Compact"/>
              <w:suppressAutoHyphens/>
              <w:jc w:val="center"/>
            </w:pPr>
            <w:r>
              <w:rPr>
                <w:b/>
                <w:bCs/>
                <w:sz w:val="18"/>
                <w:szCs w:val="18"/>
              </w:rPr>
              <w:t xml:space="preserve">Many clocks</w:t>
            </w:r>
            <w:r>
              <w:rPr>
                <w:sz w:val="18"/>
                <w:szCs w:val="18"/>
              </w:rPr>
              <w:t xml:space="preserve"> </w:t>
            </w:r>
            <w:r>
              <w:rPr>
                <w:sz w:val="18"/>
                <w:szCs w:val="18"/>
              </w:rPr>
              <w:t xml:space="preserve">(multiscale dynamics)</w:t>
            </w:r>
          </w:p>
        </w:tc>
        <w:tc>
          <w:tcPr>
            <w:vAlign w:val="center"/>
          </w:tcPr>
          <w:p>
            <w:pPr>
              <w:pStyle w:val="Compact"/>
              <w:suppressAutoHyphens/>
              <w:jc w:val="center"/>
            </w:pPr>
            <w:r>
              <w:rPr>
                <w:sz w:val="18"/>
                <w:szCs w:val="18"/>
              </w:rPr>
              <w:t xml:space="preserve">Physical inertia sets per-channel time constants (thermal slow, electrical fast); only some regime→regime transitions are legal, each with a characteristic dwell.</w:t>
            </w:r>
          </w:p>
        </w:tc>
        <w:tc>
          <w:tcPr>
            <w:vAlign w:val="center"/>
          </w:tcPr>
          <w:p>
            <w:pPr>
              <w:pStyle w:val="Compact"/>
              <w:suppressAutoHyphens/>
              <w:jc w:val="center"/>
            </w:pPr>
            <w:r>
              <w:rPr>
                <w:sz w:val="18"/>
                <w:szCs w:val="18"/>
              </w:rPr>
              <w:t xml:space="preserve">Fixed-length windows with per-channel statistics as features; motivates explicit temporal features, left to future work (§7).</w:t>
            </w:r>
          </w:p>
        </w:tc>
        <w:tc>
          <w:tcPr>
            <w:vAlign w:val="center"/>
          </w:tcPr>
          <w:p>
            <w:pPr>
              <w:pStyle w:val="Compact"/>
              <w:suppressAutoHyphens/>
              <w:jc w:val="center"/>
            </w:pPr>
            <w:r>
              <w:rPr>
                <w:sz w:val="18"/>
                <w:szCs w:val="18"/>
                <w:highlight w:val="green"/>
              </w:rPr>
              <w:t xml:space="preserve"> Present in the data (per-channel timescales span 3.4–3.7 decades on all three); a complementary lever on HAI, explicit temporal features left to future work (§7). </w:t>
            </w:r>
          </w:p>
        </w:tc>
      </w:tr>
      <w:tr>
        <w:tc>
          <w:tcPr>
            <w:vAlign w:val="center"/>
          </w:tcPr>
          <w:p>
            <w:pPr>
              <w:pStyle w:val="Compact"/>
              <w:suppressAutoHyphens/>
              <w:jc w:val="center"/>
            </w:pPr>
            <w:r>
              <w:rPr>
                <w:b/>
                <w:bCs/>
                <w:sz w:val="18"/>
                <w:szCs w:val="18"/>
              </w:rPr>
              <w:t xml:space="preserve">A10</w:t>
            </w:r>
          </w:p>
        </w:tc>
        <w:tc>
          <w:tcPr>
            <w:vAlign w:val="center"/>
          </w:tcPr>
          <w:p>
            <w:pPr>
              <w:pStyle w:val="Compact"/>
              <w:suppressAutoHyphens/>
              <w:jc w:val="center"/>
            </w:pPr>
            <w:r>
              <w:rPr>
                <w:b/>
                <w:bCs/>
                <w:sz w:val="18"/>
                <w:szCs w:val="18"/>
              </w:rPr>
              <w:t xml:space="preserve">Path dependence</w:t>
            </w:r>
            <w:r>
              <w:rPr>
                <w:sz w:val="18"/>
                <w:szCs w:val="18"/>
              </w:rPr>
              <w:t xml:space="preserve"> </w:t>
            </w:r>
            <w:r>
              <w:rPr>
                <w:sz w:val="18"/>
                <w:szCs w:val="18"/>
              </w:rPr>
              <w:t xml:space="preserve">(history-conditioned normality)</w:t>
            </w:r>
          </w:p>
        </w:tc>
        <w:tc>
          <w:tcPr>
            <w:vAlign w:val="center"/>
          </w:tcPr>
          <w:p>
            <w:pPr>
              <w:pStyle w:val="Compact"/>
              <w:suppressAutoHyphens/>
              <w:jc w:val="center"/>
            </w:pPr>
            <w:r>
              <w:rPr>
                <w:sz w:val="18"/>
                <w:szCs w:val="18"/>
              </w:rPr>
              <w:t xml:space="preserve">A fault is defined relative to operational history: the same instantaneous state can be normal or faulty depending on how the system arrived there.</w:t>
            </w:r>
          </w:p>
        </w:tc>
        <w:tc>
          <w:tcPr>
            <w:vAlign w:val="center"/>
          </w:tcPr>
          <w:p>
            <w:pPr>
              <w:pStyle w:val="Compact"/>
              <w:suppressAutoHyphens/>
              <w:jc w:val="center"/>
            </w:pPr>
            <w:r>
              <w:rPr>
                <w:sz w:val="18"/>
                <w:szCs w:val="18"/>
              </w:rPr>
              <w:t xml:space="preserve">In principle a trajectory branch; on these snapshot-detectable public benchmarks (each fault visible in a single window, without history) it is inert (see §7), so the reported model is window-only.</w:t>
            </w:r>
          </w:p>
        </w:tc>
        <w:tc>
          <w:tcPr>
            <w:vAlign w:val="center"/>
          </w:tcPr>
          <w:p>
            <w:pPr>
              <w:pStyle w:val="Compact"/>
              <w:suppressAutoHyphens/>
              <w:jc w:val="center"/>
            </w:pPr>
            <w:r>
              <w:rPr>
                <w:sz w:val="18"/>
                <w:szCs w:val="18"/>
                <w:highlight w:val="green"/>
              </w:rPr>
              <w:t xml:space="preserve"> Measured absent (snapshot-detectable), with a passing synthetic positive control; future work (§7). </w:t>
            </w:r>
          </w:p>
        </w:tc>
      </w:tr>
    </w:tbl>
    <w:p>
      <w:pPr>
        <w:pStyle w:val="MDPI31text"/>
        <w:ind w:left="2608"/>
      </w:pPr>
      <w:r>
        <w:rPr/>
        <w:t xml:space="preserve">Two standing qualifiers apply throughout: the sample is</w:t>
      </w:r>
      <w:r>
        <w:rPr/>
        <w:t xml:space="preserve"> </w:t>
      </w:r>
      <w:r>
        <w:rPr>
          <w:b/>
          <w:bCs/>
        </w:rPr>
        <w:t xml:space="preserve">massive</w:t>
      </w:r>
      <w:r>
        <w:rPr/>
        <w:t xml:space="preserve"> </w:t>
      </w:r>
      <w:r>
        <w:rPr/>
        <w:t xml:space="preserve">(</w:t>
      </w:r>
      <m:oMath>
        <m:r>
          <m:t>N</m:t>
        </m:r>
      </m:oMath>
      <w:r>
        <w:rPr/>
        <w:t xml:space="preserve"> </w:t>
      </w:r>
      <w:r>
        <w:rPr/>
        <w:t xml:space="preserve">large) and the mixture is</w:t>
      </w:r>
      <w:r>
        <w:rPr/>
        <w:t xml:space="preserve"> </w:t>
      </w:r>
      <w:r>
        <w:rPr/>
        <w:t xml:space="preserve">approximately</w:t>
      </w:r>
      <w:r>
        <w:rPr/>
        <w:t xml:space="preserve"> </w:t>
      </w:r>
      <w:r>
        <w:rPr>
          <w:b/>
          <w:bCs/>
        </w:rPr>
        <w:t xml:space="preserve">stationary</w:t>
      </w:r>
      <w:r>
        <w:rPr/>
        <w:t xml:space="preserve"> </w:t>
      </w:r>
      <w:r>
        <w:rPr/>
        <w:t xml:space="preserve">within a run. Measured on train-normal, the MIIM structure is present but</w:t>
      </w:r>
      <w:r>
        <w:rPr/>
        <w:t xml:space="preserve"> </w:t>
      </w:r>
      <w:r>
        <w:rPr>
          <w:i/>
          <w:iCs/>
        </w:rPr>
        <w:t xml:space="preserve">implicit</w:t>
      </w:r>
      <w:r>
        <w:rPr/>
        <w:t xml:space="preserve"> </w:t>
      </w:r>
      <w:r>
        <w:rPr/>
        <w:t xml:space="preserve">(A6): cluster sizes are heavy-tailed, and Bayesian-information-criterion (BIC) regime counts keep</w:t>
      </w:r>
      <w:r>
        <w:rPr/>
        <w:t xml:space="preserve"> </w:t>
      </w:r>
      <w:r>
        <w:rPr/>
        <w:t xml:space="preserve">improving past two dozen components (BIC-optimal</w:t>
      </w:r>
      <w:r>
        <w:rPr/>
        <w:t xml:space="preserve"> </w:t>
      </w:r>
      <m:oMath>
        <m:sSup>
          <m:e>
            <m:r>
              <m:t>K</m:t>
            </m:r>
          </m:e>
          <m:sup>
            <m:r>
              <m:rPr>
                <m:sty m:val="p"/>
              </m:rPr>
              <m:t>*</m:t>
            </m:r>
          </m:sup>
        </m:sSup>
      </m:oMath>
      <w:r>
        <w:rPr/>
        <w:t xml:space="preserve"> </w:t>
      </w:r>
      <w:r>
        <w:rPr/>
        <w:t xml:space="preserve">of 22, 24, and 25 on WADI, HAI, and SWaT</w:t>
      </w:r>
      <w:r>
        <w:rPr>
          <w:highlight w:val="green"/>
        </w:rPr>
        <w:t xml:space="preserve">, on a component grid extended to 25</w:t>
      </w:r>
      <w:r>
        <w:rPr/>
        <w:t xml:space="preserve">). The</w:t>
      </w:r>
      <w:r>
        <w:rPr/>
        <w:t xml:space="preserve"> </w:t>
      </w:r>
      <w:r>
        <w:rPr/>
        <w:t xml:space="preserve">regimes are</w:t>
      </w:r>
      <w:r>
        <w:rPr/>
        <w:t xml:space="preserve"> </w:t>
      </w:r>
      <w:r>
        <w:rPr>
          <w:highlight w:val="green"/>
        </w:rPr>
        <w:t xml:space="preserve">least separated</w:t>
      </w:r>
      <w:r>
        <w:rPr/>
        <w:t xml:space="preserve"> </w:t>
      </w:r>
      <w:r>
        <w:rPr/>
        <w:t xml:space="preserve">on WADI and HAI (silhouette 0.06 and 0.08, on a scale where 1 is well-separated clusters and 0 is</w:t>
      </w:r>
      <w:r>
        <w:rPr/>
        <w:t xml:space="preserve"> </w:t>
      </w:r>
      <w:r>
        <w:rPr>
          <w:highlight w:val="green"/>
        </w:rPr>
        <w:t xml:space="preserve">adjacent, touching clusters</w:t>
      </w:r>
      <w:r>
        <w:rPr/>
        <w:t xml:space="preserve">) but separate more crisply on SWaT (0.29)</w:t>
      </w:r>
      <w:r>
        <w:rPr>
          <w:strike w:val="true"/>
          <w:color w:val="C0392B"/>
        </w:rPr>
        <w:t xml:space="preserve">, and this</w:t>
      </w:r>
      <w:r>
        <w:rPr>
          <w:highlight w:val="green"/>
        </w:rPr>
        <w:t xml:space="preserve">. This</w:t>
      </w:r>
      <w:r>
        <w:rPr/>
        <w:t xml:space="preserve"> </w:t>
      </w:r>
      <w:r>
        <w:rPr/>
        <w:t xml:space="preserve">ordering tracks where the design pays off:</w:t>
      </w:r>
      <w:r>
        <w:rPr/>
        <w:t xml:space="preserve"> </w:t>
      </w:r>
      <w:r>
        <w:rPr>
          <w:highlight w:val="green"/>
        </w:rPr>
        <w:t xml:space="preserve">the regime-community</w:t>
      </w:r>
      <w:r>
        <w:rPr>
          <w:highlight w:val="green"/>
        </w:rPr>
        <w:t xml:space="preserve"> </w:t>
      </w:r>
      <w:r>
        <w:rPr>
          <w:highlight w:val="green"/>
        </w:rPr>
        <w:t xml:space="preserve">factorization gains most on WADI, and by a similar margin on HAI and SWaT, since a single global density blurs local</w:t>
      </w:r>
      <w:r>
        <w:rPr>
          <w:highlight w:val="green"/>
        </w:rPr>
        <w:t xml:space="preserve"> </w:t>
      </w:r>
      <w:r>
        <w:rPr>
          <w:highlight w:val="green"/>
        </w:rPr>
        <w:t xml:space="preserve">structure (§6).</w:t>
      </w:r>
      <w:r>
        <w:rPr/>
        <w:t xml:space="preserve"> </w:t>
      </w:r>
      <w:r>
        <w:rPr/>
        <w:t xml:space="preserve">This is the regime in which a jointly learned latent, scored by a mixture density and</w:t>
      </w:r>
      <w:r>
        <w:rPr/>
        <w:t xml:space="preserve"> </w:t>
      </w:r>
      <w:r>
        <w:rPr/>
        <w:t xml:space="preserve">factorized over subsystems, pays off and a global detector or a raw reconstruction residual does not.</w:t>
      </w:r>
    </w:p>
    <w:p>
      <w:pPr>
        <w:pStyle w:val="MDPI21heading1"/>
        <w:ind w:left="2608"/>
      </w:pPr>
      <w:r>
        <w:rPr/>
        <w:t xml:space="preserve">4  Method</w:t>
      </w:r>
    </w:p>
    <w:p>
      <w:pPr>
        <w:pStyle w:val="MDPI32textnoindent"/>
        <w:ind w:left="2608"/>
      </w:pPr>
      <w:r>
        <w:rPr/>
        <w:t xml:space="preserve">We call the detector</w:t>
      </w:r>
      <w:r>
        <w:rPr/>
        <w:t xml:space="preserve"> </w:t>
      </w:r>
      <w:r>
        <w:rPr>
          <w:b/>
          <w:bCs/>
        </w:rPr>
        <w:t xml:space="preserve">LatAD</w:t>
      </w:r>
      <w:r>
        <w:rPr/>
        <w:t xml:space="preserve">, and preview its pipeline</w:t>
      </w:r>
      <w:r>
        <w:rPr/>
        <w:t xml:space="preserve"> </w:t>
      </w:r>
      <w:r>
        <w:rPr>
          <w:highlight w:val="green"/>
        </w:rPr>
        <w:t xml:space="preserve">(Figure 2)</w:t>
      </w:r>
      <w:r>
        <w:rPr/>
        <w:t xml:space="preserve"> </w:t>
      </w:r>
      <w:r>
        <w:rPr/>
        <w:t xml:space="preserve">before the details: windowed</w:t>
      </w:r>
      <w:r>
        <w:rPr/>
        <w:t xml:space="preserve"> </w:t>
      </w:r>
      <w:r>
        <w:rPr>
          <w:highlight w:val="yellow"/>
        </w:rPr>
        <w:t xml:space="preserve">multivariate IIoT telemetry</w:t>
      </w:r>
      <w:r>
        <w:rPr/>
        <w:t xml:space="preserve"> </w:t>
      </w:r>
      <w:r>
        <w:rPr/>
        <w:t xml:space="preserve">→ correlation-community subsystems → one regime-density model per community plus a global expert →</w:t>
      </w:r>
      <w:r>
        <w:rPr/>
        <w:t xml:space="preserve"> </w:t>
      </w:r>
      <w:r>
        <w:rPr/>
        <w:t xml:space="preserve">calibrated per-community tail probabilities → cohesion-weighted Higher Criticism → anomaly score. Two</w:t>
      </w:r>
      <w:r>
        <w:rPr/>
        <w:t xml:space="preserve"> </w:t>
      </w:r>
      <w:r>
        <w:rPr/>
        <w:t xml:space="preserve">stages implement it. A representation stage, a VaDE, jointly learns a latent and a Gaussian-mixture regime prior; a</w:t>
      </w:r>
      <w:r>
        <w:rPr/>
        <w:t xml:space="preserve"> </w:t>
      </w:r>
      <w:r>
        <w:rPr/>
        <w:t xml:space="preserve">scoring stage computes a stack of density heads in that latent, all calibrated on train-normal. The headline</w:t>
      </w:r>
      <w:r>
        <w:rPr/>
        <w:t xml:space="preserve"> </w:t>
      </w:r>
      <w:r>
        <w:rPr>
          <w:b/>
          <w:bCs/>
        </w:rPr>
        <w:t xml:space="preserve">LatAD (regime-community)</w:t>
      </w:r>
      <w:r>
        <w:rPr/>
        <w:t xml:space="preserve"> </w:t>
      </w:r>
      <w:r>
        <w:rPr/>
        <w:t xml:space="preserve">estimates this density per subsystem (§4.4); the base ablation</w:t>
      </w:r>
      <w:r>
        <w:rPr/>
        <w:t xml:space="preserve"> </w:t>
      </w:r>
      <w:r>
        <w:rPr>
          <w:b/>
          <w:bCs/>
        </w:rPr>
        <w:t xml:space="preserve">LatAD (global density)</w:t>
      </w:r>
      <w:r>
        <w:rPr/>
        <w:t xml:space="preserve"> </w:t>
      </w:r>
      <w:r>
        <w:rPr/>
        <w:t xml:space="preserve">estimates it once over the whole channel set. Because every community uses</w:t>
      </w:r>
      <w:r>
        <w:rPr/>
        <w:t xml:space="preserve"> </w:t>
      </w:r>
      <w:r>
        <w:rPr/>
        <w:t xml:space="preserve">the same representation and heads, we describe those first, then the regime-community realization.</w:t>
      </w:r>
    </w:p>
    <w:p xmlns:a="http://schemas.openxmlformats.org/drawingml/2006/main" xmlns:pic="http://schemas.openxmlformats.org/drawingml/2006/picture">
      <w:pPr>
        <w:pStyle w:val="MDPI52figure"/>
        <w:ind w:left="2608"/>
        <w:jc w:val="center"/>
      </w:pPr>
      <w:r>
        <w:rPr/>
        <w:drawing>
          <wp:inline>
            <wp:extent cx="4989830" cy="7684338"/>
            <wp:effectExtent b="0" l="0" r="0" t="0"/>
            <wp:docPr descr="figure" title="" id="22" name="Picture"/>
            <a:graphic>
              <a:graphicData uri="http://schemas.openxmlformats.org/drawingml/2006/picture">
                <pic:pic>
                  <pic:nvPicPr>
                    <pic:cNvPr descr="_inlinesvg_1.png" id="23" name="Picture"/>
                    <pic:cNvPicPr>
                      <a:picLocks noChangeArrowheads="1" noChangeAspect="1"/>
                    </pic:cNvPicPr>
                  </pic:nvPicPr>
                  <pic:blipFill>
                    <a:blip r:embed="rId20"/>
                    <a:stretch>
                      <a:fillRect/>
                    </a:stretch>
                  </pic:blipFill>
                  <pic:spPr bwMode="auto">
                    <a:xfrm>
                      <a:off x="0" y="0"/>
                      <a:ext cx="4989830" cy="7684338"/>
                    </a:xfrm>
                    <a:prstGeom prst="rect">
                      <a:avLst/>
                    </a:prstGeom>
                    <a:noFill/>
                    <a:ln w="9525">
                      <a:noFill/>
                      <a:headEnd/>
                      <a:tailEnd/>
                    </a:ln>
                  </pic:spPr>
                </pic:pic>
              </a:graphicData>
            </a:graphic>
          </wp:inline>
        </w:drawing>
      </w:r>
    </w:p>
    <w:p>
      <w:pPr>
        <w:pStyle w:val="MDPI51figurecaption"/>
        <w:ind w:left="2608"/>
      </w:pPr>
      <w:r>
        <w:rPr>
          <w:b/>
          <w:bCs/>
          <w:highlight w:val="green"/>
        </w:rPr>
        <w:t xml:space="preserve">Figure 2.</w:t>
      </w:r>
      <w:r>
        <w:rPr>
          <w:highlight w:val="green"/>
        </w:rPr>
        <w:t xml:space="preserve"> </w:t>
      </w:r>
      <w:r>
        <w:rPr>
          <w:highlight w:val="green"/>
        </w:rPr>
        <w:t xml:space="preserve">LatAD workflow. A window of multivariate telemetry is reduced to per-channel statistical features; the normal-data channel correlation graph is split into subsystems (communities, A7); and each community, together with a whole-plant expert, is scored by a VaDE latent Gaussian-mixture model of normal regimes (A1/A6) through two always-on base latent heads (mixture density, A3; nearest-component NLL, A5) and one optional auto-gated whitened-residual head (A7). Reconstruction is demoted and the base score is computed in the latent space. The per-community surprises are combined by cohesion-weighted Higher Criticism into the anomaly score and the most-surprised community. Bracketed tags mark the MIIM assumption each block realizes.</w:t>
      </w:r>
    </w:p>
    <w:p>
      <w:pPr>
        <w:pStyle w:val="MDPI31text"/>
        <w:ind w:left="2608"/>
      </w:pPr>
      <w:r>
        <w:rPr/>
        <w:t xml:space="preserve">The reported detector realizes assumptions A1–A7. The mixture representation (A1, A6), the high-resolution</w:t>
      </w:r>
      <w:r>
        <w:rPr/>
        <w:t xml:space="preserve"> </w:t>
      </w:r>
      <w:r>
        <w:rPr/>
        <w:t xml:space="preserve">density head (A2, A3), the low-dimensional latent (A4), the nearest-component score (A5) and per-feature</w:t>
      </w:r>
      <w:r>
        <w:rPr/>
        <w:t xml:space="preserve"> </w:t>
      </w:r>
      <w:r>
        <w:rPr/>
        <w:t xml:space="preserve">standardization (A7) are always active; the whitened-residual head (A7) is</w:t>
      </w:r>
      <w:r>
        <w:rPr/>
        <w:t xml:space="preserve"> </w:t>
      </w:r>
      <w:r>
        <w:rPr>
          <w:i/>
          <w:iCs/>
        </w:rPr>
        <w:t xml:space="preserve">auto-gated</w:t>
      </w:r>
      <w:r>
        <w:rPr/>
        <w:t xml:space="preserve"> </w:t>
      </w:r>
      <w:r>
        <w:rPr/>
        <w:t xml:space="preserve">on train-normal signals and</w:t>
      </w:r>
      <w:r>
        <w:rPr/>
        <w:t xml:space="preserve"> </w:t>
      </w:r>
      <w:r>
        <w:rPr>
          <w:highlight w:val="green"/>
        </w:rPr>
        <w:t xml:space="preserve">activates on HAI and SWaT (Table 6)</w:t>
      </w:r>
      <w:r>
        <w:rPr/>
        <w:t xml:space="preserve">.</w:t>
      </w:r>
      <w:r>
        <w:rPr/>
        <w:t xml:space="preserve"> </w:t>
      </w:r>
      <w:r>
        <w:rPr>
          <w:highlight w:val="green"/>
        </w:rPr>
        <w:t xml:space="preserve">A8 (between-regime overlap) is specified in Table 1, but the overlap it posits is absent from the datasets studied, so it is deferred to future work (§7, Appendix C).</w:t>
      </w:r>
      <w:r>
        <w:rPr/>
        <w:t xml:space="preserve"> </w:t>
      </w:r>
      <w:r>
        <w:rPr/>
        <w:t xml:space="preserve">The gated</w:t>
      </w:r>
      <w:r>
        <w:rPr/>
        <w:t xml:space="preserve"> </w:t>
      </w:r>
      <w:r>
        <w:rPr>
          <w:highlight w:val="green"/>
        </w:rPr>
        <w:t xml:space="preserve">residual head</w:t>
      </w:r>
      <w:r>
        <w:rPr/>
        <w:t xml:space="preserve"> </w:t>
      </w:r>
      <w:r>
        <w:rPr/>
        <w:t xml:space="preserve">did not reduce performance on any of these datasets, and the reported gains come from the always-active heads, with</w:t>
      </w:r>
      <w:r>
        <w:rPr/>
        <w:t xml:space="preserve"> </w:t>
      </w:r>
      <w:r>
        <w:rPr/>
        <w:t xml:space="preserve">the auto-gated residual head adding to them on HAI and SWaT (Table 6). Assumptions A9–A10 shape the trajectory rather than the window and are</w:t>
      </w:r>
      <w:r>
        <w:rPr/>
        <w:t xml:space="preserve"> </w:t>
      </w:r>
      <w:r>
        <w:rPr>
          <w:highlight w:val="green"/>
        </w:rPr>
        <w:t xml:space="preserve">only weakly exercised (A9) or measured absent (A10) on these</w:t>
      </w:r>
      <w:r>
        <w:rPr>
          <w:highlight w:val="green"/>
        </w:rPr>
        <w:t xml:space="preserve"> </w:t>
      </w:r>
      <w:r>
        <w:rPr>
          <w:highlight w:val="green"/>
        </w:rPr>
        <w:t xml:space="preserve">snapshot-detectable public benchmarks</w:t>
      </w:r>
      <w:r>
        <w:rPr/>
        <w:t xml:space="preserve">; extending the detector to explicit multiscale-temporal features (A9) and</w:t>
      </w:r>
      <w:r>
        <w:rPr/>
        <w:t xml:space="preserve"> </w:t>
      </w:r>
      <w:r>
        <w:rPr/>
        <w:t xml:space="preserve">history-conditioned, path-dependent scoring (A10) is left to future work (§7).</w:t>
      </w:r>
    </w:p>
    <w:p>
      <w:pPr>
        <w:pStyle w:val="MDPI31text"/>
        <w:ind w:left="2608"/>
      </w:pPr>
      <w:r>
        <w:rPr>
          <w:b/>
          <w:bCs/>
        </w:rPr>
        <w:t xml:space="preserve">One realization of the assumptions.</w:t>
      </w:r>
      <w:r>
        <w:rPr/>
        <w:t xml:space="preserve"> </w:t>
      </w:r>
      <w:r>
        <w:rPr/>
        <w:t xml:space="preserve">A1–A10 specify</w:t>
      </w:r>
      <w:r>
        <w:rPr/>
        <w:t xml:space="preserve"> </w:t>
      </w:r>
      <w:r>
        <w:rPr>
          <w:i/>
          <w:iCs/>
        </w:rPr>
        <w:t xml:space="preserve">what</w:t>
      </w:r>
      <w:r>
        <w:rPr/>
        <w:t xml:space="preserve"> </w:t>
      </w:r>
      <w:r>
        <w:rPr/>
        <w:t xml:space="preserve">a model of CPS normal must</w:t>
      </w:r>
      <w:r>
        <w:rPr/>
        <w:t xml:space="preserve"> </w:t>
      </w:r>
      <w:r>
        <w:rPr/>
        <w:t xml:space="preserve">capture, not</w:t>
      </w:r>
      <w:r>
        <w:rPr/>
        <w:t xml:space="preserve"> </w:t>
      </w:r>
      <w:r>
        <w:rPr>
          <w:i/>
          <w:iCs/>
        </w:rPr>
        <w:t xml:space="preserve">how</w:t>
      </w:r>
      <w:r>
        <w:rPr/>
        <w:t xml:space="preserve"> </w:t>
      </w:r>
      <w:r>
        <w:rPr/>
        <w:t xml:space="preserve">to implement it; the detector below is one concrete realization of</w:t>
      </w:r>
      <w:r>
        <w:rPr/>
        <w:t xml:space="preserve"> </w:t>
      </w:r>
      <w:r>
        <w:rPr>
          <w:highlight w:val="green"/>
        </w:rPr>
        <w:t xml:space="preserve">A1–A7</w:t>
      </w:r>
      <w:r>
        <w:rPr/>
        <w:t xml:space="preserve">, reported in</w:t>
      </w:r>
      <w:r>
        <w:rPr/>
        <w:t xml:space="preserve"> </w:t>
      </w:r>
      <w:r>
        <w:rPr/>
        <w:t xml:space="preserve">full so that every choice is auditable, and §7 surveys the design space the same assumptions admit.</w:t>
      </w:r>
    </w:p>
    <w:p>
      <w:pPr>
        <w:pStyle w:val="MDPI22heading2"/>
        <w:ind w:left="2608"/>
      </w:pPr>
      <w:r>
        <w:rPr/>
        <w:t xml:space="preserve">4.1  Representation: Variational Deep Embedding (VaDE)</w:t>
      </w:r>
      <w:r>
        <w:rPr/>
        <w:t xml:space="preserve"> </w:t>
      </w:r>
      <w:r>
        <w:rPr>
          <w:highlight w:val="green"/>
        </w:rPr>
        <w:t xml:space="preserve">(the representation stage; Figure 2, top)</w:t>
      </w:r>
    </w:p>
    <w:p>
      <w:pPr>
        <w:pStyle w:val="MDPI32textnoindent"/>
        <w:ind w:left="2608"/>
      </w:pPr>
      <w:r>
        <w:rPr/>
        <w:t xml:space="preserve">VaDE [</w:t>
      </w:r>
      <w:hyperlink w:anchor="r-vade">
        <w:r>
          <w:rPr>
            <w:rStyle w:val="Hyperlink"/>
            <w:highlight w:val="yellow"/>
          </w:rPr>
          <w:t xml:space="preserve">27</w:t>
        </w:r>
      </w:hyperlink>
      <w:r>
        <w:rPr/>
        <w:t xml:space="preserve">] is a variational autoencoder whose latent prior is a Gaussian mixture, so the</w:t>
      </w:r>
      <w:r>
        <w:rPr/>
        <w:t xml:space="preserve"> </w:t>
      </w:r>
      <w:r>
        <w:rPr/>
        <w:t xml:space="preserve">representation and the operating-regime clusters are learned</w:t>
      </w:r>
      <w:r>
        <w:rPr/>
        <w:t xml:space="preserve"> </w:t>
      </w:r>
      <w:r>
        <w:rPr>
          <w:i/>
          <w:iCs/>
        </w:rPr>
        <w:t xml:space="preserve">together</w:t>
      </w:r>
      <w:r>
        <w:rPr/>
        <w:t xml:space="preserve"> </w:t>
      </w:r>
      <w:r>
        <w:rPr/>
        <w:t xml:space="preserve">(A1, A6) rather than one after the</w:t>
      </w:r>
      <w:r>
        <w:rPr/>
        <w:t xml:space="preserve"> </w:t>
      </w:r>
      <w:r>
        <w:rPr/>
        <w:t xml:space="preserve">other. An encoder maps a window feature vector</w:t>
      </w:r>
      <w:r>
        <w:rPr/>
        <w:t xml:space="preserve"> </w:t>
      </w:r>
      <m:oMath>
        <m:r>
          <m:t>x</m:t>
        </m:r>
      </m:oMath>
      <w:r>
        <w:rPr/>
        <w:t xml:space="preserve"> </w:t>
      </w:r>
      <w:r>
        <w:rPr/>
        <w:t xml:space="preserve">to a latent Gaussian</w:t>
      </w:r>
      <w:r>
        <w:rPr/>
        <w:t xml:space="preserve"> </w:t>
      </w:r>
      <m:oMath>
        <m:r>
          <m:t>q</m:t>
        </m:r>
        <m:r>
          <m:rPr>
            <m:sty m:val="p"/>
          </m:rPr>
          <m:t>(</m:t>
        </m:r>
        <m:r>
          <m:t>z</m:t>
        </m:r>
        <m:r>
          <m:rPr>
            <m:sty m:val="p"/>
          </m:rPr>
          <m:t>∣</m:t>
        </m:r>
        <m:r>
          <m:t>x</m:t>
        </m:r>
        <m:r>
          <m:rPr>
            <m:sty m:val="p"/>
          </m:rPr>
          <m:t>)</m:t>
        </m:r>
        <m:r>
          <m:rPr>
            <m:sty m:val="p"/>
          </m:rPr>
          <m:t>=</m:t>
        </m:r>
        <m:r>
          <m:t>N</m:t>
        </m:r>
        <m:r>
          <m:rPr>
            <m:sty m:val="p"/>
          </m:rPr>
          <m:t>(</m:t>
        </m:r>
        <m:r>
          <m:t>μ</m:t>
        </m:r>
        <m:r>
          <m:rPr>
            <m:sty m:val="p"/>
          </m:rPr>
          <m:t>,</m:t>
        </m:r>
        <m:r>
          <m:rPr>
            <m:nor/>
            <m:sty m:val="p"/>
          </m:rPr>
          <m:t>diag</m:t>
        </m:r>
        <m:r>
          <m:t> </m:t>
        </m:r>
        <m:sSup>
          <m:e>
            <m:r>
              <m:t>σ</m:t>
            </m:r>
          </m:e>
          <m:sup>
            <m:r>
              <m:t>2</m:t>
            </m:r>
          </m:sup>
        </m:sSup>
        <m:r>
          <m:rPr>
            <m:sty m:val="p"/>
          </m:rPr>
          <m:t>)</m:t>
        </m:r>
      </m:oMath>
      <w:r>
        <w:rPr/>
        <w:t xml:space="preserve">; a decoder reconstructs</w:t>
      </w:r>
      <w:r>
        <w:rPr/>
        <w:t xml:space="preserve"> </w:t>
      </w:r>
      <m:oMath>
        <m:acc>
          <m:accPr>
            <m:chr m:val="̂"/>
          </m:accPr>
          <m:e>
            <m:r>
              <m:t>x</m:t>
            </m:r>
          </m:e>
        </m:acc>
      </m:oMath>
      <w:r>
        <w:rPr/>
        <w:t xml:space="preserve">; and the prior is</w:t>
      </w:r>
      <w:r>
        <w:rPr/>
        <w:t xml:space="preserve"> </w:t>
      </w:r>
      <w:r>
        <w:rPr/>
        <w:t xml:space="preserve">(2)</w:t>
      </w:r>
      <m:oMath>
        <m:r>
          <m:t>p</m:t>
        </m:r>
        <m:r>
          <m:rPr>
            <m:sty m:val="p"/>
          </m:rPr>
          <m:t>(</m:t>
        </m:r>
        <m:r>
          <m:t>z</m:t>
        </m:r>
        <m:r>
          <m:rPr>
            <m:sty m:val="p"/>
          </m:rPr>
          <m:t>)</m:t>
        </m:r>
        <m:r>
          <m:rPr>
            <m:sty m:val="p"/>
          </m:rPr>
          <m:t>=</m:t>
        </m:r>
        <m:nary>
          <m:naryPr>
            <m:chr m:val="∑"/>
            <m:limLoc m:val="undOvr"/>
            <m:subHide m:val="off"/>
            <m:supHide m:val="off"/>
          </m:naryPr>
          <m:sub>
            <m:r>
              <m:t>c</m:t>
            </m:r>
            <m:r>
              <m:rPr>
                <m:sty m:val="p"/>
              </m:rPr>
              <m:t>=</m:t>
            </m:r>
            <m:r>
              <m:t>1</m:t>
            </m:r>
          </m:sub>
          <m:sup>
            <m:r>
              <m:t>K</m:t>
            </m:r>
          </m:sup>
          <m:e>
            <m:sSub>
              <m:e>
                <m:r>
                  <m:t>π</m:t>
                </m:r>
              </m:e>
              <m:sub>
                <m:r>
                  <m:t>c</m:t>
                </m:r>
              </m:sub>
            </m:sSub>
          </m:e>
        </m:nary>
        <m:r>
          <m:t> </m:t>
        </m:r>
        <m:r>
          <m:t>N</m:t>
        </m:r>
        <m:r>
          <m:rPr>
            <m:sty m:val="p"/>
          </m:rPr>
          <m:t>(</m:t>
        </m:r>
        <m:r>
          <m:t>z</m:t>
        </m:r>
        <m:r>
          <m:rPr>
            <m:sty m:val="p"/>
          </m:rPr>
          <m:t>∣</m:t>
        </m:r>
        <m:sSub>
          <m:e>
            <m:r>
              <m:t>μ</m:t>
            </m:r>
          </m:e>
          <m:sub>
            <m:r>
              <m:t>c</m:t>
            </m:r>
          </m:sub>
        </m:sSub>
        <m:r>
          <m:rPr>
            <m:sty m:val="p"/>
          </m:rPr>
          <m:t>,</m:t>
        </m:r>
        <m:r>
          <m:rPr>
            <m:nor/>
            <m:sty m:val="p"/>
          </m:rPr>
          <m:t>diag</m:t>
        </m:r>
        <m:r>
          <m:t> </m:t>
        </m:r>
        <m:sSubSup>
          <m:e>
            <m:r>
              <m:t>σ</m:t>
            </m:r>
          </m:e>
          <m:sub>
            <m:r>
              <m:t>c</m:t>
            </m:r>
          </m:sub>
          <m:sup>
            <m:r>
              <m:t>2</m:t>
            </m:r>
          </m:sup>
        </m:sSubSup>
        <m:r>
          <m:rPr>
            <m:sty m:val="p"/>
          </m:rPr>
          <m:t>)</m:t>
        </m:r>
        <m:r>
          <m:rPr>
            <m:sty m:val="p"/>
          </m:rPr>
          <m:t>,</m:t>
        </m:r>
      </m:oMath>
      <w:r>
        <w:rPr/>
        <w:t xml:space="preserve"> </w:t>
      </w:r>
      <w:r>
        <w:rPr/>
        <w:t xml:space="preserve">with mixture parameters</w:t>
      </w:r>
      <w:r>
        <w:rPr/>
        <w:t xml:space="preserve"> </w:t>
      </w:r>
      <m:oMath>
        <m:d>
          <m:dPr>
            <m:begChr m:val="{"/>
            <m:sepChr m:val=""/>
            <m:endChr m:val="}"/>
            <m:grow/>
          </m:dPr>
          <m:e>
            <m:sSub>
              <m:e>
                <m:r>
                  <m:t>π</m:t>
                </m:r>
              </m:e>
              <m:sub>
                <m:r>
                  <m:t>c</m:t>
                </m:r>
              </m:sub>
            </m:sSub>
            <m:r>
              <m:rPr>
                <m:sty m:val="p"/>
              </m:rPr>
              <m:t>,</m:t>
            </m:r>
            <m:sSub>
              <m:e>
                <m:r>
                  <m:t>μ</m:t>
                </m:r>
              </m:e>
              <m:sub>
                <m:r>
                  <m:t>c</m:t>
                </m:r>
              </m:sub>
            </m:sSub>
            <m:r>
              <m:rPr>
                <m:sty m:val="p"/>
              </m:rPr>
              <m:t>,</m:t>
            </m:r>
            <m:sSub>
              <m:e>
                <m:r>
                  <m:t>σ</m:t>
                </m:r>
              </m:e>
              <m:sub>
                <m:r>
                  <m:t>c</m:t>
                </m:r>
              </m:sub>
            </m:sSub>
          </m:e>
        </m:d>
      </m:oMath>
      <w:r>
        <w:rPr/>
        <w:t xml:space="preserve"> </w:t>
      </w:r>
      <w:r>
        <w:rPr/>
        <w:t xml:space="preserve">learned jointly with the networks. The training</w:t>
      </w:r>
      <w:r>
        <w:rPr/>
        <w:t xml:space="preserve"> </w:t>
      </w:r>
      <w:r>
        <w:rPr/>
        <w:t xml:space="preserve">objective is the negative evidence lower bound; per window it is</w:t>
      </w:r>
    </w:p>
    <w:p>
      <w:pPr>
        <w:pStyle w:val="MDPI39equation"/>
        <w:ind w:left="2608"/>
      </w:pPr>
      <w:r>
        <w:rPr/>
        <w:t xml:space="preserve">(3)</w:t>
      </w:r>
      <m:oMathPara>
        <m:oMathParaPr>
          <m:jc m:val="center"/>
        </m:oMathParaPr>
        <m:oMath>
          <m:r>
            <m:rPr>
              <m:scr m:val="script"/>
              <m:sty m:val="p"/>
            </m:rPr>
            <m:t>L</m:t>
          </m:r>
          <m:r>
            <m:rPr>
              <m:sty m:val="p"/>
            </m:rPr>
            <m:t>=</m:t>
          </m:r>
          <m:nary>
            <m:naryPr>
              <m:chr m:val="∑"/>
              <m:limLoc m:val="undOvr"/>
              <m:subHide m:val="off"/>
              <m:supHide m:val="on"/>
            </m:naryPr>
            <m:sub>
              <m:r>
                <m:t>j</m:t>
              </m:r>
            </m:sub>
            <m:sup>
              <m:r>
                <m:t>​</m:t>
              </m:r>
            </m:sup>
            <m:e>
              <m:sSup>
                <m:e>
                  <m:r>
                    <m:rPr>
                      <m:sty m:val="p"/>
                    </m:rPr>
                    <m:t>(</m:t>
                  </m:r>
                  <m:sSub>
                    <m:e>
                      <m:r>
                        <m:t>x</m:t>
                      </m:r>
                    </m:e>
                    <m:sub>
                      <m:r>
                        <m:t>j</m:t>
                      </m:r>
                    </m:sub>
                  </m:sSub>
                  <m:r>
                    <m:rPr>
                      <m:sty m:val="p"/>
                    </m:rPr>
                    <m:t>−</m:t>
                  </m:r>
                  <m:sSub>
                    <m:e>
                      <m:acc>
                        <m:accPr>
                          <m:chr m:val="̂"/>
                        </m:accPr>
                        <m:e>
                          <m:r>
                            <m:t>x</m:t>
                          </m:r>
                        </m:e>
                      </m:acc>
                    </m:e>
                    <m:sub>
                      <m:r>
                        <m:t>j</m:t>
                      </m:r>
                    </m:sub>
                  </m:sSub>
                  <m:r>
                    <m:rPr>
                      <m:sty m:val="p"/>
                    </m:rPr>
                    <m:t>)</m:t>
                  </m:r>
                </m:e>
                <m:sup>
                  <m:r>
                    <m:t>2</m:t>
                  </m:r>
                </m:sup>
              </m:sSup>
            </m:e>
          </m:nary>
          <m:r>
            <m:rPr>
              <m:sty m:val="p"/>
            </m:rPr>
            <m:t>+</m:t>
          </m:r>
          <m:r>
            <m:t>β</m:t>
          </m:r>
          <m:nary>
            <m:naryPr>
              <m:chr m:val="∑"/>
              <m:limLoc m:val="undOvr"/>
              <m:subHide m:val="off"/>
              <m:supHide m:val="on"/>
            </m:naryPr>
            <m:sub>
              <m:r>
                <m:t>c</m:t>
              </m:r>
            </m:sub>
            <m:sup>
              <m:r>
                <m:t>​</m:t>
              </m:r>
            </m:sup>
            <m:e>
              <m:sSub>
                <m:e>
                  <m:r>
                    <m:t>γ</m:t>
                  </m:r>
                </m:e>
                <m:sub>
                  <m:r>
                    <m:t>c</m:t>
                  </m:r>
                </m:sub>
              </m:sSub>
            </m:e>
          </m:nary>
          <m:d>
            <m:dPr>
              <m:begChr m:val="["/>
              <m:sepChr m:val=""/>
              <m:endChr m:val="]"/>
              <m:grow/>
            </m:dPr>
            <m:e>
              <m:r>
                <m:rPr>
                  <m:nor/>
                  <m:sty m:val="p"/>
                </m:rPr>
                <m:t>KL</m:t>
              </m:r>
              <m:r>
                <m:rPr>
                  <m:sty m:val="p"/>
                </m:rPr>
                <m:t>(</m:t>
              </m:r>
              <m:r>
                <m:t>q</m:t>
              </m:r>
              <m:r>
                <m:rPr>
                  <m:sty m:val="p"/>
                </m:rPr>
                <m:t>∣</m:t>
              </m:r>
              <m:r>
                <m:rPr>
                  <m:sty m:val="p"/>
                </m:rPr>
                <m:t>∣</m:t>
              </m:r>
              <m:r>
                <m:t>N</m:t>
              </m:r>
              <m:r>
                <m:rPr>
                  <m:sty m:val="p"/>
                </m:rPr>
                <m:t>(</m:t>
              </m:r>
              <m:sSub>
                <m:e>
                  <m:r>
                    <m:t>μ</m:t>
                  </m:r>
                </m:e>
                <m:sub>
                  <m:r>
                    <m:t>c</m:t>
                  </m:r>
                </m:sub>
              </m:sSub>
              <m:r>
                <m:rPr>
                  <m:sty m:val="p"/>
                </m:rPr>
                <m:t>,</m:t>
              </m:r>
              <m:sSubSup>
                <m:e>
                  <m:r>
                    <m:t>σ</m:t>
                  </m:r>
                </m:e>
                <m:sub>
                  <m:r>
                    <m:t>c</m:t>
                  </m:r>
                </m:sub>
                <m:sup>
                  <m:r>
                    <m:t>2</m:t>
                  </m:r>
                </m:sup>
              </m:sSubSup>
              <m:r>
                <m:rPr>
                  <m:sty m:val="p"/>
                </m:rPr>
                <m:t>)</m:t>
              </m:r>
              <m:r>
                <m:rPr>
                  <m:sty m:val="p"/>
                </m:rPr>
                <m:t>)</m:t>
              </m:r>
              <m:r>
                <m:rPr>
                  <m:sty m:val="p"/>
                </m:rPr>
                <m:t>+</m:t>
              </m:r>
              <m:r>
                <m:rPr>
                  <m:sty m:val="p"/>
                </m:rPr>
                <m:t>log</m:t>
              </m:r>
              <m:f>
                <m:fPr>
                  <m:type m:val="bar"/>
                </m:fPr>
                <m:num>
                  <m:sSub>
                    <m:e>
                      <m:r>
                        <m:t>γ</m:t>
                      </m:r>
                    </m:e>
                    <m:sub>
                      <m:r>
                        <m:t>c</m:t>
                      </m:r>
                    </m:sub>
                  </m:sSub>
                </m:num>
                <m:den>
                  <m:sSub>
                    <m:e>
                      <m:r>
                        <m:t>π</m:t>
                      </m:r>
                    </m:e>
                    <m:sub>
                      <m:r>
                        <m:t>c</m:t>
                      </m:r>
                    </m:sub>
                  </m:sSub>
                </m:den>
              </m:f>
            </m:e>
          </m:d>
          <m:r>
            <m:rPr>
              <m:sty m:val="p"/>
            </m:rPr>
            <m:t>,</m:t>
          </m:r>
        </m:oMath>
      </m:oMathPara>
    </w:p>
    <w:p>
      <w:pPr>
        <w:pStyle w:val="MDPI32textnoindent"/>
        <w:ind w:left="2608"/>
      </w:pPr>
      <w:r>
        <w:rPr/>
        <w:t xml:space="preserve">where</w:t>
      </w:r>
      <w:r>
        <w:rPr/>
        <w:t xml:space="preserve"> </w:t>
      </w:r>
      <m:oMath>
        <m:sSub>
          <m:e>
            <m:r>
              <m:t>γ</m:t>
            </m:r>
          </m:e>
          <m:sub>
            <m:r>
              <m:t>c</m:t>
            </m:r>
          </m:sub>
        </m:sSub>
        <m:r>
          <m:rPr>
            <m:sty m:val="p"/>
          </m:rPr>
          <m:t>∝</m:t>
        </m:r>
        <m:sSub>
          <m:e>
            <m:r>
              <m:t>π</m:t>
            </m:r>
          </m:e>
          <m:sub>
            <m:r>
              <m:t>c</m:t>
            </m:r>
          </m:sub>
        </m:sSub>
        <m:r>
          <m:t> </m:t>
        </m:r>
        <m:r>
          <m:t>N</m:t>
        </m:r>
        <m:r>
          <m:rPr>
            <m:sty m:val="p"/>
          </m:rPr>
          <m:t>(</m:t>
        </m:r>
        <m:r>
          <m:t>z</m:t>
        </m:r>
        <m:r>
          <m:rPr>
            <m:sty m:val="p"/>
          </m:rPr>
          <m:t>∣</m:t>
        </m:r>
        <m:sSub>
          <m:e>
            <m:r>
              <m:t>μ</m:t>
            </m:r>
          </m:e>
          <m:sub>
            <m:r>
              <m:t>c</m:t>
            </m:r>
          </m:sub>
        </m:sSub>
        <m:r>
          <m:rPr>
            <m:sty m:val="p"/>
          </m:rPr>
          <m:t>,</m:t>
        </m:r>
        <m:sSubSup>
          <m:e>
            <m:r>
              <m:t>σ</m:t>
            </m:r>
          </m:e>
          <m:sub>
            <m:r>
              <m:t>c</m:t>
            </m:r>
          </m:sub>
          <m:sup>
            <m:r>
              <m:t>2</m:t>
            </m:r>
          </m:sup>
        </m:sSubSup>
        <m:r>
          <m:rPr>
            <m:sty m:val="p"/>
          </m:rPr>
          <m:t>)</m:t>
        </m:r>
      </m:oMath>
      <w:r>
        <w:rPr/>
        <w:t xml:space="preserve"> </w:t>
      </w:r>
      <w:r>
        <w:rPr/>
        <w:t xml:space="preserve">are the responsibilities (the posterior probability that a window belongs to regime</w:t>
      </w:r>
      <w:r>
        <w:rPr/>
        <w:t xml:space="preserve"> </w:t>
      </w:r>
      <w:r>
        <w:rPr>
          <w:i/>
          <w:iCs/>
        </w:rPr>
        <w:t xml:space="preserve">c</w:t>
      </w:r>
      <w:r>
        <w:rPr/>
        <w:t xml:space="preserve">). Three standard measures prevent the</w:t>
      </w:r>
      <w:r>
        <w:rPr/>
        <w:t xml:space="preserve"> </w:t>
      </w:r>
      <w:r>
        <w:rPr/>
        <w:t xml:space="preserve">well-known cluster collapse in which many components are abandoned during joint training: a KL/cluster</w:t>
      </w:r>
      <w:r>
        <w:rPr/>
        <w:t xml:space="preserve"> </w:t>
      </w:r>
      <w:r>
        <w:rPr>
          <w:i/>
          <w:iCs/>
        </w:rPr>
        <w:t xml:space="preserve">warm-up</w:t>
      </w:r>
      <w:r>
        <w:rPr/>
        <w:t xml:space="preserve"> </w:t>
      </w:r>
      <w:r>
        <w:rPr/>
        <w:t xml:space="preserve">that anneals</w:t>
      </w:r>
      <w:r>
        <w:rPr/>
        <w:t xml:space="preserve"> </w:t>
      </w:r>
      <m:oMath>
        <m:r>
          <m:t>β</m:t>
        </m:r>
      </m:oMath>
      <w:r>
        <w:rPr/>
        <w:t xml:space="preserve"> </w:t>
      </w:r>
      <w:r>
        <w:rPr/>
        <w:t xml:space="preserve">from 0 to 1 so the encoder settles on the pretrained mixture</w:t>
      </w:r>
      <w:r>
        <w:rPr/>
        <w:t xml:space="preserve"> </w:t>
      </w:r>
      <w:r>
        <w:rPr/>
        <w:t xml:space="preserve">initialisation before the prior is pulled around; a DAGMM-style [</w:t>
      </w:r>
      <w:hyperlink w:anchor="r-dagmm">
        <w:r>
          <w:rPr>
            <w:rStyle w:val="Hyperlink"/>
            <w:highlight w:val="yellow"/>
          </w:rPr>
          <w:t xml:space="preserve">28</w:t>
        </w:r>
      </w:hyperlink>
      <w:r>
        <w:rPr/>
        <w:t xml:space="preserve">] penalty on tiny</w:t>
      </w:r>
      <w:r>
        <w:rPr/>
        <w:t xml:space="preserve"> </w:t>
      </w:r>
      <w:r>
        <w:rPr/>
        <w:t xml:space="preserve">component variances (a variance floor plus a</w:t>
      </w:r>
      <w:r>
        <w:rPr/>
        <w:t xml:space="preserve"> </w:t>
      </w:r>
      <m:oMath>
        <m:nary>
          <m:naryPr>
            <m:chr m:val="∑"/>
            <m:limLoc m:val="undOvr"/>
            <m:subHide m:val="off"/>
            <m:supHide m:val="on"/>
          </m:naryPr>
          <m:sub>
            <m:r>
              <m:t>c</m:t>
            </m:r>
          </m:sub>
          <m:sup>
            <m:r>
              <m:t>​</m:t>
            </m:r>
          </m:sup>
          <m:e>
            <m:sSubSup>
              <m:e>
                <m:r>
                  <m:t>σ</m:t>
                </m:r>
              </m:e>
              <m:sub>
                <m:r>
                  <m:t>c</m:t>
                </m:r>
              </m:sub>
              <m:sup>
                <m:r>
                  <m:rPr>
                    <m:sty m:val="p"/>
                  </m:rPr>
                  <m:t>−</m:t>
                </m:r>
                <m:r>
                  <m:t>2</m:t>
                </m:r>
              </m:sup>
            </m:sSubSup>
          </m:e>
        </m:nary>
      </m:oMath>
      <w:r>
        <w:rPr/>
        <w:t xml:space="preserve"> </w:t>
      </w:r>
      <w:r>
        <w:rPr/>
        <w:t xml:space="preserve">term); and a slower learning rate on the mixture parameters so</w:t>
      </w:r>
      <w:r>
        <w:rPr/>
        <w:t xml:space="preserve"> </w:t>
      </w:r>
      <w:r>
        <w:rPr/>
        <w:t xml:space="preserve">the GMM initialisation (fitted on the pretrained latent) is refined, not destroyed. Training proceeds as</w:t>
      </w:r>
      <w:r>
        <w:rPr/>
        <w:t xml:space="preserve"> </w:t>
      </w:r>
      <w:r>
        <w:rPr/>
        <w:t xml:space="preserve">plain-VAE pretraining, GMM initialisation on the encoded means, then joint optimization of the full objective.</w:t>
      </w:r>
    </w:p>
    <w:p>
      <w:pPr>
        <w:pStyle w:val="MDPI22heading2"/>
        <w:ind w:left="2608"/>
      </w:pPr>
      <w:r>
        <w:rPr/>
        <w:t xml:space="preserve">4.2  Scoring: why we demote reconstruction</w:t>
      </w:r>
    </w:p>
    <w:p>
      <w:pPr>
        <w:pStyle w:val="MDPI32textnoindent"/>
        <w:ind w:left="2608"/>
      </w:pPr>
      <w:r>
        <w:rPr/>
        <w:t xml:space="preserve">The natural VaDE anomaly score is the joint negative log-likelihood</w:t>
      </w:r>
      <w:r>
        <w:rPr/>
        <w:t xml:space="preserve"> </w:t>
      </w:r>
      <w:r>
        <w:rPr>
          <w:highlight w:val="green"/>
        </w:rPr>
        <w:t xml:space="preserve">(NLL)</w:t>
      </w:r>
      <w:r>
        <w:rPr/>
        <w:t xml:space="preserve">: a whitened reconstruction residual plus</w:t>
      </w:r>
      <w:r>
        <w:rPr/>
        <w:t xml:space="preserve"> </w:t>
      </w:r>
      <w:r>
        <w:rPr/>
        <w:t xml:space="preserve">a latent term. On the</w:t>
      </w:r>
      <w:r>
        <w:rPr/>
        <w:t xml:space="preserve"> </w:t>
      </w:r>
      <w:r>
        <w:rPr>
          <w:i/>
          <w:iCs/>
        </w:rPr>
        <w:t xml:space="preserve">difficult</w:t>
      </w:r>
      <w:r>
        <w:rPr/>
        <w:t xml:space="preserve"> </w:t>
      </w:r>
      <w:r>
        <w:rPr/>
        <w:t xml:space="preserve">faults (correlation breaks and between-regime pockets) this</w:t>
      </w:r>
      <w:r>
        <w:rPr/>
        <w:t xml:space="preserve"> </w:t>
      </w:r>
      <w:r>
        <w:rPr>
          <w:highlight w:val="green"/>
        </w:rPr>
        <w:t xml:space="preserve">summed score can be counterproductive</w:t>
      </w:r>
      <w:r>
        <w:rPr/>
        <w:t xml:space="preserve">. Table 2 decomposes the two terms by their difficult-subset AUROC on a single trained model</w:t>
      </w:r>
      <w:r>
        <w:rPr/>
        <w:t xml:space="preserve"> </w:t>
      </w:r>
      <w:r>
        <w:rPr/>
        <w:t xml:space="preserve">per dataset.</w:t>
      </w:r>
    </w:p>
    <w:p>
      <w:pPr>
        <w:pStyle w:val="MDPI41tablecaption"/>
        <w:ind w:left="2608"/>
      </w:pPr>
      <w:r>
        <w:rPr>
          <w:b/>
          <w:bCs/>
        </w:rPr>
        <w:t xml:space="preserve">Table 2.</w:t>
      </w:r>
      <w:r>
        <w:rPr/>
        <w:t xml:space="preserve"> </w:t>
      </w:r>
      <w:r>
        <w:rPr/>
        <w:t xml:space="preserve">Difficult-subset AUROC of the two natural score terms (single trained model per</w:t>
      </w:r>
      <w:r>
        <w:rPr/>
        <w:t xml:space="preserve"> </w:t>
      </w:r>
      <w:r>
        <w:rPr/>
        <w:t xml:space="preserve">dataset).</w:t>
      </w:r>
      <w:r>
        <w:rPr/>
        <w:t xml:space="preserve"> </w:t>
      </w:r>
      <w:r>
        <w:rPr/>
        <w:t xml:space="preserve"> </w:t>
      </w:r>
      <w:r>
        <w:rPr>
          <w:highlight w:val="green"/>
        </w:rPr>
        <w:t xml:space="preserve"> On HAI the reconstruction residual (0.689) is informative but stays below the latent term (0.760) and drags</w:t>
      </w:r>
      <w:r>
        <w:rPr>
          <w:highlight w:val="green"/>
        </w:rPr>
        <w:t xml:space="preserve"> </w:t>
      </w:r>
      <w:r>
        <w:rPr>
          <w:highlight w:val="green"/>
        </w:rPr>
        <w:t xml:space="preserve">the summed joint score down to 0.689, so demoting reconstruction helps; on WADI the residual is in fact informative</w:t>
      </w:r>
      <w:r>
        <w:rPr>
          <w:highlight w:val="green"/>
        </w:rPr>
        <w:t xml:space="preserve"> </w:t>
      </w:r>
      <w:r>
        <w:rPr>
          <w:highlight w:val="green"/>
        </w:rPr>
        <w:t xml:space="preserve">(0.742), but (as Table 6 and §4.3 iii show) it does not generalize to held-out normal and is gated off the</w:t>
      </w:r>
      <w:r>
        <w:rPr>
          <w:highlight w:val="green"/>
        </w:rPr>
        <w:t xml:space="preserve"> </w:t>
      </w:r>
      <w:r>
        <w:rPr>
          <w:highlight w:val="green"/>
        </w:rPr>
        <w:t xml:space="preserve">reported model, whose gain instead comes from factorizing the latent density over subsystems. </w:t>
      </w:r>
      <w:r>
        <w:rPr/>
        <w:t xml:space="preserve"> </w:t>
      </w:r>
      <w:r>
        <w:rPr/>
        <w:t xml:space="preserve"> </w:t>
      </w:r>
      <w:r>
        <w:rPr/>
        <w:t xml:space="preserve">A multi-seed,</w:t>
      </w:r>
      <w:r>
        <w:rPr/>
        <w:t xml:space="preserve"> </w:t>
      </w:r>
      <w:r>
        <w:rPr/>
        <w:t xml:space="preserve">three-dataset head ablation is reported in Table 6.</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4178"/>
        <w:gridCol w:w="2766"/>
        <w:gridCol w:w="914"/>
      </w:tblGrid>
      <w:tr>
        <w:trPr>
          <w:tblHeader w:val="on"/>
        </w:trPr>
        <w:tc>
          <w:tcPr>
            <w:tcBorders>
              <w:bottom w:val="single" w:sz="8" w:space="0" w:color="auto"/>
            </w:tcBorders>
            <w:vAlign w:val="center"/>
          </w:tcPr>
          <w:p>
            <w:pPr>
              <w:pStyle w:val="Compact"/>
              <w:suppressAutoHyphens/>
              <w:jc w:val="center"/>
            </w:pPr>
            <w:r>
              <w:rPr>
                <w:b/>
                <w:sz w:val="18"/>
                <w:szCs w:val="18"/>
              </w:rPr>
              <w:t xml:space="preserve">Score term</w:t>
            </w:r>
          </w:p>
        </w:tc>
        <w:tc>
          <w:tcPr>
            <w:tcBorders>
              <w:bottom w:val="single" w:sz="8" w:space="0" w:color="auto"/>
            </w:tcBorders>
            <w:vAlign w:val="center"/>
          </w:tcPr>
          <w:p>
            <w:pPr>
              <w:pStyle w:val="Compact"/>
              <w:suppressAutoHyphens/>
              <w:jc w:val="center"/>
            </w:pPr>
            <w:r>
              <w:rPr>
                <w:b/>
                <w:sz w:val="18"/>
                <w:szCs w:val="18"/>
              </w:rPr>
              <w:t xml:space="preserve">WADI</w:t>
            </w:r>
          </w:p>
        </w:tc>
        <w:tc>
          <w:tcPr>
            <w:tcBorders>
              <w:bottom w:val="single" w:sz="8" w:space="0" w:color="auto"/>
            </w:tcBorders>
            <w:vAlign w:val="center"/>
          </w:tcPr>
          <w:p>
            <w:pPr>
              <w:pStyle w:val="Compact"/>
              <w:suppressAutoHyphens/>
              <w:jc w:val="center"/>
            </w:pPr>
            <w:r>
              <w:rPr>
                <w:b/>
                <w:sz w:val="18"/>
                <w:szCs w:val="18"/>
              </w:rPr>
              <w:t xml:space="preserve">HAI</w:t>
            </w:r>
          </w:p>
        </w:tc>
      </w:tr>
      <w:tr>
        <w:tc>
          <w:tcPr>
            <w:vAlign w:val="center"/>
          </w:tcPr>
          <w:p>
            <w:pPr>
              <w:pStyle w:val="Compact"/>
              <w:suppressAutoHyphens/>
              <w:jc w:val="center"/>
            </w:pPr>
            <w:r>
              <w:rPr>
                <w:sz w:val="18"/>
                <w:szCs w:val="18"/>
              </w:rPr>
              <w:t xml:space="preserve">(a) reconstruction residual</w:t>
            </w:r>
            <w:r>
              <w:rPr>
                <w:sz w:val="18"/>
                <w:szCs w:val="18"/>
              </w:rPr>
              <w:t xml:space="preserve"> </w:t>
            </w:r>
            <m:oMath>
              <m:f>
                <m:fPr>
                  <m:type m:val="bar"/>
                </m:fPr>
                <m:num>
                  <m:r>
                    <w:rPr>
                      <w:sz w:val="18"/>
                      <w:szCs w:val="18"/>
                    </w:rPr>
                    <m:t>1</m:t>
                  </m:r>
                </m:num>
                <m:den>
                  <m:r>
                    <w:rPr>
                      <w:sz w:val="18"/>
                      <w:szCs w:val="18"/>
                    </w:rPr>
                    <m:t>2</m:t>
                  </m:r>
                </m:den>
              </m:f>
              <m:sSup>
                <m:e>
                  <m:r>
                    <w:rPr>
                      <w:sz w:val="18"/>
                      <w:szCs w:val="18"/>
                    </w:rPr>
                    <m:t>r</m:t>
                  </m:r>
                </m:e>
                <m:sup>
                  <m:r>
                    <w:rPr>
                      <w:sz w:val="18"/>
                      <w:szCs w:val="18"/>
                    </w:rPr>
                    <m:rPr>
                      <m:sty m:val="p"/>
                    </m:rPr>
                    <m:t>⊤</m:t>
                  </m:r>
                </m:sup>
              </m:sSup>
              <m:sSup>
                <m:e>
                  <m:r>
                    <w:rPr>
                      <w:sz w:val="18"/>
                      <w:szCs w:val="18"/>
                    </w:rPr>
                    <m:rPr>
                      <m:sty m:val="p"/>
                    </m:rPr>
                    <m:t>Σ</m:t>
                  </m:r>
                </m:e>
                <m:sup>
                  <m:r>
                    <w:rPr>
                      <w:sz w:val="18"/>
                      <w:szCs w:val="18"/>
                    </w:rPr>
                    <m:rPr>
                      <m:sty m:val="p"/>
                    </m:rPr>
                    <m:t>−</m:t>
                  </m:r>
                  <m:r>
                    <w:rPr>
                      <w:sz w:val="18"/>
                      <w:szCs w:val="18"/>
                    </w:rPr>
                    <m:t>1</m:t>
                  </m:r>
                </m:sup>
              </m:sSup>
              <m:r>
                <w:rPr>
                  <w:sz w:val="18"/>
                  <w:szCs w:val="18"/>
                </w:rPr>
                <m:t>r</m:t>
              </m:r>
            </m:oMath>
          </w:p>
        </w:tc>
        <w:tc>
          <w:tcPr>
            <w:vAlign w:val="center"/>
          </w:tcPr>
          <w:p>
            <w:pPr>
              <w:pStyle w:val="Compact"/>
              <w:suppressAutoHyphens/>
              <w:jc w:val="center"/>
            </w:pPr>
            <w:r>
              <w:rPr>
                <w:sz w:val="18"/>
                <w:szCs w:val="18"/>
                <w:highlight w:val="green"/>
              </w:rPr>
              <w:t xml:space="preserve"> 0.742 </w:t>
            </w:r>
          </w:p>
        </w:tc>
        <w:tc>
          <w:tcPr>
            <w:vAlign w:val="center"/>
          </w:tcPr>
          <w:p>
            <w:pPr>
              <w:pStyle w:val="Compact"/>
              <w:suppressAutoHyphens/>
              <w:jc w:val="center"/>
            </w:pPr>
            <w:r>
              <w:rPr>
                <w:sz w:val="18"/>
                <w:szCs w:val="18"/>
              </w:rPr>
              <w:t xml:space="preserve">0.689</w:t>
            </w:r>
          </w:p>
        </w:tc>
      </w:tr>
      <w:tr>
        <w:tc>
          <w:tcPr>
            <w:vAlign w:val="center"/>
          </w:tcPr>
          <w:p>
            <w:pPr>
              <w:pStyle w:val="Compact"/>
              <w:suppressAutoHyphens/>
              <w:jc w:val="center"/>
            </w:pPr>
            <w:r>
              <w:rPr>
                <w:sz w:val="18"/>
                <w:szCs w:val="18"/>
              </w:rPr>
              <w:t xml:space="preserve">(b) latent NLL (nearest diagonal component)</w:t>
            </w:r>
          </w:p>
        </w:tc>
        <w:tc>
          <w:tcPr>
            <w:vAlign w:val="center"/>
          </w:tcPr>
          <w:p>
            <w:pPr>
              <w:pStyle w:val="Compact"/>
              <w:suppressAutoHyphens/>
              <w:jc w:val="center"/>
            </w:pPr>
            <w:r>
              <w:rPr>
                <w:sz w:val="18"/>
                <w:szCs w:val="18"/>
                <w:highlight w:val="green"/>
              </w:rPr>
              <w:t xml:space="preserve"> 0.621 </w:t>
            </w:r>
          </w:p>
        </w:tc>
        <w:tc>
          <w:tcPr>
            <w:vAlign w:val="center"/>
          </w:tcPr>
          <w:p>
            <w:pPr>
              <w:pStyle w:val="Compact"/>
              <w:suppressAutoHyphens/>
              <w:jc w:val="center"/>
            </w:pPr>
            <w:r>
              <w:rPr>
                <w:sz w:val="18"/>
                <w:szCs w:val="18"/>
              </w:rPr>
              <w:t xml:space="preserve">0.760</w:t>
            </w:r>
          </w:p>
        </w:tc>
      </w:tr>
      <w:tr>
        <w:tc>
          <w:tcPr>
            <w:vAlign w:val="center"/>
          </w:tcPr>
          <w:p>
            <w:pPr>
              <w:pStyle w:val="Compact"/>
              <w:suppressAutoHyphens/>
              <w:jc w:val="center"/>
            </w:pPr>
            <w:r>
              <w:rPr>
                <w:sz w:val="18"/>
                <w:szCs w:val="18"/>
              </w:rPr>
              <w:t xml:space="preserve">(a)+(b) joint NLL (naive VaDE score)</w:t>
            </w:r>
          </w:p>
        </w:tc>
        <w:tc>
          <w:tcPr>
            <w:vAlign w:val="center"/>
          </w:tcPr>
          <w:p>
            <w:pPr>
              <w:pStyle w:val="Compact"/>
              <w:suppressAutoHyphens/>
              <w:jc w:val="center"/>
            </w:pPr>
            <w:r>
              <w:rPr>
                <w:sz w:val="18"/>
                <w:szCs w:val="18"/>
                <w:highlight w:val="green"/>
              </w:rPr>
              <w:t xml:space="preserve"> 0.733 </w:t>
            </w:r>
          </w:p>
        </w:tc>
        <w:tc>
          <w:tcPr>
            <w:vAlign w:val="center"/>
          </w:tcPr>
          <w:p>
            <w:pPr>
              <w:pStyle w:val="Compact"/>
              <w:suppressAutoHyphens/>
              <w:jc w:val="center"/>
            </w:pPr>
            <w:r>
              <w:rPr>
                <w:sz w:val="18"/>
                <w:szCs w:val="18"/>
              </w:rPr>
              <w:t xml:space="preserve">0.689</w:t>
            </w:r>
          </w:p>
        </w:tc>
      </w:tr>
    </w:tbl>
    <w:p>
      <w:pPr>
        <w:pStyle w:val="MDPI31text"/>
        <w:ind w:left="2608"/>
      </w:pPr>
      <w:r>
        <w:rPr>
          <w:highlight w:val="green"/>
        </w:rPr>
        <w:t xml:space="preserve">The mechanism is that a flexible decoder can</w:t>
      </w:r>
      <w:r>
        <w:rPr>
          <w:highlight w:val="green"/>
        </w:rPr>
        <w:t xml:space="preserve"> </w:t>
      </w:r>
      <w:r>
        <w:rPr>
          <w:i/>
          <w:iCs/>
          <w:highlight w:val="green"/>
        </w:rPr>
        <w:t xml:space="preserve">reconstruct a fault faithfully</w:t>
      </w:r>
      <w:r>
        <w:rPr>
          <w:highlight w:val="green"/>
        </w:rPr>
        <w:t xml:space="preserve">: a correlation-break</w:t>
      </w:r>
      <w:r>
        <w:rPr>
          <w:highlight w:val="green"/>
        </w:rPr>
        <w:t xml:space="preserve"> </w:t>
      </w:r>
      <w:r>
        <w:rPr>
          <w:highlight w:val="green"/>
        </w:rPr>
        <w:t xml:space="preserve">window has in-range marginals, so the decoder rebuilds it and the residual carries little signal.</w:t>
      </w:r>
      <w:r>
        <w:rPr/>
        <w:t xml:space="preserve"> </w:t>
      </w:r>
      <w:r>
        <w:rPr>
          <w:highlight w:val="green"/>
        </w:rPr>
        <w:t xml:space="preserve">This is what</w:t>
      </w:r>
      <w:r>
        <w:rPr>
          <w:highlight w:val="green"/>
        </w:rPr>
        <w:t xml:space="preserve"> </w:t>
      </w:r>
      <w:r>
        <w:rPr>
          <w:highlight w:val="green"/>
        </w:rPr>
        <w:t xml:space="preserve">happens on HAI, where the residual term (0.689) trails the latent term (0.760) and drags the summed joint score</w:t>
      </w:r>
      <w:r>
        <w:rPr>
          <w:highlight w:val="green"/>
        </w:rPr>
        <w:t xml:space="preserve"> </w:t>
      </w:r>
      <w:r>
        <w:rPr>
          <w:highlight w:val="green"/>
        </w:rPr>
        <w:t xml:space="preserve">down, so demoting reconstruction helps.</w:t>
      </w:r>
      <w:r>
        <w:rPr/>
        <w:t xml:space="preserve"> </w:t>
      </w:r>
      <w:r>
        <w:rPr/>
        <w:t xml:space="preserve">The base scoring stack therefore works entirely in the jointly learned latent; reconstruction re-enters</w:t>
      </w:r>
      <w:r>
        <w:rPr/>
        <w:t xml:space="preserve"> </w:t>
      </w:r>
      <w:r>
        <w:rPr/>
        <w:t xml:space="preserve">only through the optional, auto-gated residual head (§4.3 iii), which fires only where it</w:t>
      </w:r>
      <w:r>
        <w:rPr/>
        <w:t xml:space="preserve"> </w:t>
      </w:r>
      <w:r>
        <w:rPr>
          <w:highlight w:val="green"/>
        </w:rPr>
        <w:t xml:space="preserve">demonstrably</w:t>
      </w:r>
      <w:r>
        <w:rPr/>
        <w:t xml:space="preserve"> </w:t>
      </w:r>
      <w:r>
        <w:rPr/>
        <w:t xml:space="preserve">generalizes to held-out normal</w:t>
      </w:r>
      <w:r>
        <w:rPr/>
        <w:t xml:space="preserve"> </w:t>
      </w:r>
      <w:r>
        <w:rPr>
          <w:highlight w:val="green"/>
        </w:rPr>
        <w:t xml:space="preserve">(HAI and SWaT here, not WADI, where the residual separates the difficult subset but</w:t>
      </w:r>
      <w:r>
        <w:rPr>
          <w:highlight w:val="green"/>
        </w:rPr>
        <w:t xml:space="preserve"> </w:t>
      </w:r>
      <w:r>
        <w:rPr>
          <w:highlight w:val="green"/>
        </w:rPr>
        <w:t xml:space="preserve">overfits the normal reference and is gated off)</w:t>
      </w:r>
      <w:r>
        <w:rPr/>
        <w:t xml:space="preserve">.</w:t>
      </w:r>
    </w:p>
    <w:p>
      <w:pPr>
        <w:pStyle w:val="MDPI22heading2"/>
        <w:ind w:left="2608"/>
      </w:pPr>
      <w:r>
        <w:rPr/>
        <w:t xml:space="preserve">4.3  The scoring stack</w:t>
      </w:r>
      <w:r>
        <w:rPr/>
        <w:t xml:space="preserve"> </w:t>
      </w:r>
      <w:r>
        <w:rPr>
          <w:highlight w:val="green"/>
        </w:rPr>
        <w:t xml:space="preserve">(the scoring stage; Figure 2, per-community heads)</w:t>
      </w:r>
    </w:p>
    <w:p>
      <w:pPr>
        <w:pStyle w:val="MDPI32textnoindent"/>
        <w:ind w:left="2608"/>
      </w:pPr>
      <w:r>
        <w:rPr/>
        <w:t xml:space="preserve">Let</w:t>
      </w:r>
      <w:r>
        <w:rPr/>
        <w:t xml:space="preserve"> </w:t>
      </w:r>
      <m:oMath>
        <m:r>
          <m:t>z</m:t>
        </m:r>
        <m:r>
          <m:rPr>
            <m:sty m:val="p"/>
          </m:rPr>
          <m:t>=</m:t>
        </m:r>
        <m:r>
          <m:t>μ</m:t>
        </m:r>
        <m:r>
          <m:rPr>
            <m:sty m:val="p"/>
          </m:rPr>
          <m:t>(</m:t>
        </m:r>
        <m:r>
          <m:t>x</m:t>
        </m:r>
        <m:r>
          <m:rPr>
            <m:sty m:val="p"/>
          </m:rPr>
          <m:t>)</m:t>
        </m:r>
      </m:oMath>
      <w:r>
        <w:rPr/>
        <w:t xml:space="preserve"> </w:t>
      </w:r>
      <w:r>
        <w:rPr/>
        <w:t xml:space="preserve">be the encoder mean. The base score sums two latent heads, each</w:t>
      </w:r>
      <w:r>
        <w:rPr/>
        <w:t xml:space="preserve"> </w:t>
      </w:r>
      <w:r>
        <w:rPr>
          <w:highlight w:val="green"/>
        </w:rPr>
        <w:t xml:space="preserve">standardized (recentered and rescaled)</w:t>
      </w:r>
      <w:r>
        <w:rPr/>
        <w:t xml:space="preserve"> </w:t>
      </w:r>
      <w:r>
        <w:rPr/>
        <w:t xml:space="preserve">against its train-normal mean and standard deviation, so the operating scale is set by normal, not</w:t>
      </w:r>
      <w:r>
        <w:rPr/>
        <w:t xml:space="preserve"> </w:t>
      </w:r>
      <w:r>
        <w:rPr/>
        <w:t xml:space="preserve">by the test batch.</w:t>
      </w:r>
    </w:p>
    <w:p>
      <w:pPr>
        <w:pStyle w:val="MDPI23heading3"/>
        <w:ind w:left="2608"/>
      </w:pPr>
      <w:r>
        <w:rPr/>
        <w:t xml:space="preserve">(i) Latent mixture-density head (parametric kernel-density estimate, KDE, for non-Gaussian pockets)</w:t>
      </w:r>
    </w:p>
    <w:p>
      <w:pPr>
        <w:pStyle w:val="MDPI32textnoindent"/>
        <w:ind w:left="2608"/>
      </w:pPr>
      <w:r>
        <w:rPr/>
        <w:t xml:space="preserve">Because each regime has a non-uniform interior with thin fringes (A3), one Gaussian per regime is too coarse. We</w:t>
      </w:r>
      <w:r>
        <w:rPr/>
        <w:t xml:space="preserve"> </w:t>
      </w:r>
      <w:r>
        <w:rPr/>
        <w:t xml:space="preserve">fit a high-resolution diagonal Gaussian mixture on the train-normal latent (</w:t>
      </w:r>
      <m:oMath>
        <m:r>
          <m:t>M</m:t>
        </m:r>
        <m:r>
          <m:rPr>
            <m:sty m:val="p"/>
          </m:rPr>
          <m:t>=</m:t>
        </m:r>
        <m:r>
          <m:t>80</m:t>
        </m:r>
      </m:oMath>
      <w:r>
        <w:rPr/>
        <w:t xml:space="preserve"> </w:t>
      </w:r>
      <w:r>
        <w:rPr/>
        <w:t xml:space="preserve">components by default, distinct from the VaDE regime count</w:t>
      </w:r>
      <w:r>
        <w:rPr/>
        <w:t xml:space="preserve"> </w:t>
      </w:r>
      <m:oMath>
        <m:r>
          <m:t>K</m:t>
        </m:r>
      </m:oMath>
      <w:r>
        <w:rPr/>
        <w:t xml:space="preserve">)</w:t>
      </w:r>
      <w:r>
        <w:rPr/>
        <w:t xml:space="preserve"> </w:t>
      </w:r>
      <w:r>
        <w:rPr/>
        <w:t xml:space="preserve">as a parametric kernel-density estimate, and score a window by its density negative</w:t>
      </w:r>
      <w:r>
        <w:rPr/>
        <w:t xml:space="preserve"> </w:t>
      </w:r>
      <w:r>
        <w:rPr/>
        <w:t xml:space="preserve">log-likelihood:</w:t>
      </w:r>
    </w:p>
    <w:p>
      <w:pPr>
        <w:pStyle w:val="MDPI39equation"/>
        <w:ind w:left="2608"/>
      </w:pPr>
      <w:r>
        <w:rPr/>
        <w:t xml:space="preserve">(4)</w:t>
      </w:r>
      <m:oMathPara>
        <m:oMathParaPr>
          <m:jc m:val="center"/>
        </m:oMathParaPr>
        <m:oMath>
          <m:sSub>
            <m:e>
              <m:r>
                <m:t>s</m:t>
              </m:r>
            </m:e>
            <m:sub>
              <m:r>
                <m:rPr>
                  <m:nor/>
                  <m:sty m:val="p"/>
                </m:rPr>
                <m:t>dens</m:t>
              </m:r>
            </m:sub>
          </m:sSub>
          <m:r>
            <m:rPr>
              <m:sty m:val="p"/>
            </m:rPr>
            <m:t>(</m:t>
          </m:r>
          <m:r>
            <m:t>x</m:t>
          </m:r>
          <m:r>
            <m:rPr>
              <m:sty m:val="p"/>
            </m:rPr>
            <m:t>)</m:t>
          </m:r>
          <m:r>
            <m:rPr>
              <m:sty m:val="p"/>
            </m:rPr>
            <m:t>=</m:t>
          </m:r>
          <m:r>
            <m:rPr>
              <m:sty m:val="p"/>
            </m:rPr>
            <m:t>−</m:t>
          </m:r>
          <m:r>
            <m:rPr>
              <m:sty m:val="p"/>
            </m:rPr>
            <m:t>log</m:t>
          </m:r>
          <m:nary>
            <m:naryPr>
              <m:chr m:val="∑"/>
              <m:limLoc m:val="undOvr"/>
              <m:subHide m:val="off"/>
              <m:supHide m:val="off"/>
            </m:naryPr>
            <m:sub>
              <m:r>
                <m:t>m</m:t>
              </m:r>
              <m:r>
                <m:rPr>
                  <m:sty m:val="p"/>
                </m:rPr>
                <m:t>=</m:t>
              </m:r>
              <m:r>
                <m:t>1</m:t>
              </m:r>
            </m:sub>
            <m:sup>
              <m:r>
                <m:t>80</m:t>
              </m:r>
            </m:sup>
            <m:e>
              <m:sSub>
                <m:e>
                  <m:r>
                    <m:t>w</m:t>
                  </m:r>
                </m:e>
                <m:sub>
                  <m:r>
                    <m:t>m</m:t>
                  </m:r>
                </m:sub>
              </m:sSub>
            </m:e>
          </m:nary>
          <m:r>
            <m:t> </m:t>
          </m:r>
          <m:r>
            <m:t>N</m:t>
          </m:r>
          <m:r>
            <m:rPr>
              <m:sty m:val="p"/>
            </m:rPr>
            <m:t>(</m:t>
          </m:r>
          <m:r>
            <m:t>z</m:t>
          </m:r>
          <m:r>
            <m:rPr>
              <m:sty m:val="p"/>
            </m:rPr>
            <m:t>∣</m:t>
          </m:r>
          <m:sSub>
            <m:e>
              <m:r>
                <m:t>a</m:t>
              </m:r>
            </m:e>
            <m:sub>
              <m:r>
                <m:t>m</m:t>
              </m:r>
            </m:sub>
          </m:sSub>
          <m:r>
            <m:rPr>
              <m:sty m:val="p"/>
            </m:rPr>
            <m:t>,</m:t>
          </m:r>
          <m:r>
            <m:rPr>
              <m:nor/>
              <m:sty m:val="p"/>
            </m:rPr>
            <m:t>diag</m:t>
          </m:r>
          <m:r>
            <m:t> </m:t>
          </m:r>
          <m:sSubSup>
            <m:e>
              <m:r>
                <m:t>b</m:t>
              </m:r>
            </m:e>
            <m:sub>
              <m:r>
                <m:t>m</m:t>
              </m:r>
            </m:sub>
            <m:sup>
              <m:r>
                <m:t>2</m:t>
              </m:r>
            </m:sup>
          </m:sSubSup>
          <m:r>
            <m:rPr>
              <m:sty m:val="p"/>
            </m:rPr>
            <m:t>)</m:t>
          </m:r>
          <m:r>
            <m:rPr>
              <m:sty m:val="p"/>
            </m:rPr>
            <m:t>.</m:t>
          </m:r>
        </m:oMath>
      </m:oMathPara>
    </w:p>
    <w:p>
      <w:pPr>
        <w:pStyle w:val="MDPI23heading3"/>
        <w:ind w:left="2608"/>
      </w:pPr>
      <w:r>
        <w:rPr/>
        <w:t xml:space="preserve">(ii) Nearest-component NLL (rare-regime-safe)</w:t>
      </w:r>
    </w:p>
    <w:p>
      <w:pPr>
        <w:pStyle w:val="MDPI32textnoindent"/>
        <w:ind w:left="2608"/>
      </w:pPr>
      <w:r>
        <w:rPr/>
        <w:t xml:space="preserve">Under heavy-tailed imbalance (A5) a valid point in a rare, low-</w:t>
      </w:r>
      <m:oMath>
        <m:r>
          <m:t>π</m:t>
        </m:r>
      </m:oMath>
      <w:r>
        <w:rPr/>
        <w:t xml:space="preserve"> </w:t>
      </w:r>
      <w:r>
        <w:rPr/>
        <w:t xml:space="preserve">regime must not be flagged</w:t>
      </w:r>
      <w:r>
        <w:rPr/>
        <w:t xml:space="preserve"> </w:t>
      </w:r>
      <w:r>
        <w:rPr/>
        <w:t xml:space="preserve">solely for being rare. We therefore use the</w:t>
      </w:r>
      <w:r>
        <w:rPr/>
        <w:t xml:space="preserve"> </w:t>
      </w:r>
      <w:r>
        <w:rPr>
          <w:i/>
          <w:iCs/>
        </w:rPr>
        <w:t xml:space="preserve">closest</w:t>
      </w:r>
      <w:r>
        <w:rPr/>
        <w:t xml:space="preserve"> </w:t>
      </w:r>
      <w:r>
        <w:rPr/>
        <w:t xml:space="preserve">component, not the π-weighted mixture:</w:t>
      </w:r>
    </w:p>
    <w:p>
      <w:pPr>
        <w:pStyle w:val="MDPI39equation"/>
        <w:ind w:left="2608"/>
      </w:pPr>
      <w:r>
        <w:rPr/>
        <w:t xml:space="preserve">(5)</w:t>
      </w:r>
      <m:oMathPara>
        <m:oMathParaPr>
          <m:jc m:val="center"/>
        </m:oMathParaPr>
        <m:oMath>
          <m:sSub>
            <m:e>
              <m:r>
                <m:t>s</m:t>
              </m:r>
            </m:e>
            <m:sub>
              <m:r>
                <m:rPr>
                  <m:nor/>
                  <m:sty m:val="p"/>
                </m:rPr>
                <m:t>near</m:t>
              </m:r>
            </m:sub>
          </m:sSub>
          <m:r>
            <m:rPr>
              <m:sty m:val="p"/>
            </m:rPr>
            <m:t>(</m:t>
          </m:r>
          <m:r>
            <m:t>x</m:t>
          </m:r>
          <m:r>
            <m:rPr>
              <m:sty m:val="p"/>
            </m:rPr>
            <m:t>)</m:t>
          </m:r>
          <m:r>
            <m:rPr>
              <m:sty m:val="p"/>
            </m:rPr>
            <m:t>=</m:t>
          </m:r>
          <m:r>
            <m:rPr>
              <m:sty m:val="p"/>
            </m:rPr>
            <m:t>−</m:t>
          </m:r>
          <m:limLow>
            <m:e>
              <m:r>
                <m:rPr>
                  <m:sty m:val="p"/>
                </m:rPr>
                <m:t>max</m:t>
              </m:r>
            </m:e>
            <m:lim>
              <m:r>
                <m:t>c</m:t>
              </m:r>
            </m:lim>
          </m:limLow>
          <m:r>
            <m:rPr>
              <m:sty m:val="p"/>
            </m:rPr>
            <m:t>log</m:t>
          </m:r>
          <m:r>
            <m:t> </m:t>
          </m:r>
          <m:r>
            <m:t>N</m:t>
          </m:r>
          <m:r>
            <m:rPr>
              <m:sty m:val="p"/>
            </m:rPr>
            <m:t>(</m:t>
          </m:r>
          <m:r>
            <m:t>z</m:t>
          </m:r>
          <m:r>
            <m:rPr>
              <m:sty m:val="p"/>
            </m:rPr>
            <m:t>∣</m:t>
          </m:r>
          <m:sSub>
            <m:e>
              <m:r>
                <m:t>μ</m:t>
              </m:r>
            </m:e>
            <m:sub>
              <m:r>
                <m:t>c</m:t>
              </m:r>
            </m:sub>
          </m:sSub>
          <m:r>
            <m:rPr>
              <m:sty m:val="p"/>
            </m:rPr>
            <m:t>,</m:t>
          </m:r>
          <m:r>
            <m:rPr>
              <m:nor/>
              <m:sty m:val="p"/>
            </m:rPr>
            <m:t>diag</m:t>
          </m:r>
          <m:r>
            <m:t> </m:t>
          </m:r>
          <m:sSubSup>
            <m:e>
              <m:r>
                <m:t>σ</m:t>
              </m:r>
            </m:e>
            <m:sub>
              <m:r>
                <m:t>c</m:t>
              </m:r>
            </m:sub>
            <m:sup>
              <m:r>
                <m:t>2</m:t>
              </m:r>
            </m:sup>
          </m:sSubSup>
          <m:r>
            <m:rPr>
              <m:sty m:val="p"/>
            </m:rPr>
            <m:t>)</m:t>
          </m:r>
          <m:r>
            <m:rPr>
              <m:sty m:val="p"/>
            </m:rPr>
            <m:t>.</m:t>
          </m:r>
        </m:oMath>
      </m:oMathPara>
    </w:p>
    <w:p>
      <w:pPr>
        <w:pStyle w:val="MDPI32textnoindent"/>
        <w:ind w:left="2608"/>
      </w:pPr>
      <w:r>
        <w:rPr/>
        <w:t xml:space="preserve">Using the maximum over components rather than the Bayesian mixture sum keeps a rare-regime signal that the</w:t>
      </w:r>
      <w:r>
        <w:rPr/>
        <w:t xml:space="preserve"> </w:t>
      </w:r>
      <w:r>
        <w:rPr/>
        <w:t xml:space="preserve">mixture sum washes out (A5): the nearest-component distance retains a deviation confined to a single sparsely</w:t>
      </w:r>
      <w:r>
        <w:rPr/>
        <w:t xml:space="preserve"> </w:t>
      </w:r>
      <w:r>
        <w:rPr/>
        <w:t xml:space="preserve">populated regime, whereas the mixture sum averages it away.</w:t>
      </w:r>
      <w:r>
        <w:rPr/>
        <w:t xml:space="preserve"> </w:t>
      </w:r>
      <w:r>
        <w:rPr>
          <w:highlight w:val="green"/>
        </w:rPr>
        <w:t xml:space="preserve">This term is a rare-regime safety head: its role is to</w:t>
      </w:r>
      <w:r>
        <w:rPr>
          <w:highlight w:val="green"/>
        </w:rPr>
        <w:t xml:space="preserve"> </w:t>
      </w:r>
      <w:r>
        <w:rPr>
          <w:highlight w:val="green"/>
        </w:rPr>
        <w:t xml:space="preserve">keep a valid window in a sparsely populated regime from being flagged for rarity alone (A5), not to maximize</w:t>
      </w:r>
      <w:r>
        <w:rPr>
          <w:highlight w:val="green"/>
        </w:rPr>
        <w:t xml:space="preserve"> </w:t>
      </w:r>
      <w:r>
        <w:rPr>
          <w:highlight w:val="green"/>
        </w:rPr>
        <w:t xml:space="preserve">difficult-subset AUROC. On a dataset without such rare-regime false alarms it can leave the base score marginally below</w:t>
      </w:r>
      <w:r>
        <w:rPr>
          <w:highlight w:val="green"/>
        </w:rPr>
        <w:t xml:space="preserve"> </w:t>
      </w:r>
      <w:r>
        <w:rPr>
          <w:highlight w:val="green"/>
        </w:rPr>
        <w:t xml:space="preserve">the density head alone (Table 6, WADI), and it earns its place by protecting the false-alarm rate on rare regimes rather</w:t>
      </w:r>
      <w:r>
        <w:rPr>
          <w:highlight w:val="green"/>
        </w:rPr>
        <w:t xml:space="preserve"> </w:t>
      </w:r>
      <w:r>
        <w:rPr>
          <w:highlight w:val="green"/>
        </w:rPr>
        <w:t xml:space="preserve">than by raising the aggregate score.</w:t>
      </w:r>
      <w:r>
        <w:rPr/>
        <w:t xml:space="preserve"> </w:t>
      </w:r>
      <w:r>
        <w:rPr/>
        <w:t xml:space="preserve">The base</w:t>
      </w:r>
      <w:r>
        <w:rPr/>
        <w:t xml:space="preserve"> </w:t>
      </w:r>
      <w:r>
        <w:rPr/>
        <w:t xml:space="preserve">score is the sum of the two</w:t>
      </w:r>
      <w:r>
        <w:rPr/>
        <w:t xml:space="preserve"> </w:t>
      </w:r>
      <w:r>
        <w:rPr>
          <w:highlight w:val="green"/>
        </w:rPr>
        <w:t xml:space="preserve">standardized</w:t>
      </w:r>
      <w:r>
        <w:rPr/>
        <w:t xml:space="preserve"> </w:t>
      </w:r>
      <w:r>
        <w:rPr/>
        <w:t xml:space="preserve">heads,</w:t>
      </w:r>
      <w:r>
        <w:rPr/>
        <w:t xml:space="preserve"> </w:t>
      </w:r>
      <m:oMath>
        <m:sSub>
          <m:e>
            <m:r>
              <m:t>s</m:t>
            </m:r>
          </m:e>
          <m:sub>
            <m:r>
              <m:t>0</m:t>
            </m:r>
          </m:sub>
        </m:sSub>
        <m:r>
          <m:rPr>
            <m:sty m:val="p"/>
          </m:rPr>
          <m:t>=</m:t>
        </m:r>
        <m:r>
          <m:rPr>
            <m:nor/>
            <m:sty m:val="p"/>
          </m:rPr>
          <m:t>std</m:t>
        </m:r>
        <m:r>
          <m:rPr>
            <m:sty m:val="p"/>
          </m:rPr>
          <m:t>(</m:t>
        </m:r>
        <m:sSub>
          <m:e>
            <m:r>
              <m:t>s</m:t>
            </m:r>
          </m:e>
          <m:sub>
            <m:r>
              <m:rPr>
                <m:nor/>
                <m:sty m:val="p"/>
              </m:rPr>
              <m:t>dens</m:t>
            </m:r>
          </m:sub>
        </m:sSub>
        <m:r>
          <m:rPr>
            <m:sty m:val="p"/>
          </m:rPr>
          <m:t>)</m:t>
        </m:r>
        <m:r>
          <m:rPr>
            <m:sty m:val="p"/>
          </m:rPr>
          <m:t>+</m:t>
        </m:r>
        <m:r>
          <m:rPr>
            <m:nor/>
            <m:sty m:val="p"/>
          </m:rPr>
          <m:t>std</m:t>
        </m:r>
        <m:r>
          <m:rPr>
            <m:sty m:val="p"/>
          </m:rPr>
          <m:t>(</m:t>
        </m:r>
        <m:sSub>
          <m:e>
            <m:r>
              <m:t>s</m:t>
            </m:r>
          </m:e>
          <m:sub>
            <m:r>
              <m:rPr>
                <m:nor/>
                <m:sty m:val="p"/>
              </m:rPr>
              <m:t>near</m:t>
            </m:r>
          </m:sub>
        </m:sSub>
        <m:r>
          <m:rPr>
            <m:sty m:val="p"/>
          </m:rPr>
          <m:t>)</m:t>
        </m:r>
      </m:oMath>
      <w:r>
        <w:rPr/>
        <w:t xml:space="preserve">.</w:t>
      </w:r>
    </w:p>
    <w:p>
      <w:pPr>
        <w:pStyle w:val="MDPI23heading3"/>
        <w:ind w:left="2608"/>
      </w:pPr>
      <w:r>
        <w:rPr/>
        <w:t xml:space="preserve">(iii) Optional responsibility-weighted whitened residual, auto-gated</w:t>
      </w:r>
    </w:p>
    <w:p>
      <w:pPr>
        <w:pStyle w:val="MDPI32textnoindent"/>
        <w:ind w:left="2608"/>
      </w:pPr>
      <w:r>
        <w:rPr/>
        <w:t xml:space="preserve">On some datasets the fault</w:t>
      </w:r>
      <w:r>
        <w:rPr/>
        <w:t xml:space="preserve"> </w:t>
      </w:r>
      <w:r>
        <w:rPr>
          <w:i/>
          <w:iCs/>
        </w:rPr>
        <w:t xml:space="preserve">does</w:t>
      </w:r>
      <w:r>
        <w:rPr/>
        <w:t xml:space="preserve"> </w:t>
      </w:r>
      <w:r>
        <w:rPr/>
        <w:t xml:space="preserve">surface in reconstruction. The optional residual head reduces the</w:t>
      </w:r>
      <w:r>
        <w:rPr/>
        <w:t xml:space="preserve"> </w:t>
      </w:r>
      <w:r>
        <w:rPr/>
        <w:t xml:space="preserve">per-channel residual</w:t>
      </w:r>
      <w:r>
        <w:rPr/>
        <w:t xml:space="preserve"> </w:t>
      </w:r>
      <m:oMath>
        <m:r>
          <m:t>r</m:t>
        </m:r>
      </m:oMath>
      <w:r>
        <w:rPr/>
        <w:t xml:space="preserve"> </w:t>
      </w:r>
      <w:r>
        <w:rPr/>
        <w:t xml:space="preserve">by</w:t>
      </w:r>
      <w:r>
        <w:rPr/>
        <w:t xml:space="preserve"> </w:t>
      </w:r>
      <w:r>
        <w:rPr/>
        <w:t xml:space="preserve">principal-component analysis (fit on train-normal) to</w:t>
      </w:r>
      <w:r>
        <w:rPr/>
        <w:t xml:space="preserve"> </w:t>
      </w:r>
      <m:oMath>
        <m:r>
          <m:t>30</m:t>
        </m:r>
      </m:oMath>
      <w:r>
        <w:rPr/>
        <w:t xml:space="preserve"> </w:t>
      </w:r>
      <w:r>
        <w:rPr/>
        <w:t xml:space="preserve">dimensions, fits a</w:t>
      </w:r>
      <w:r>
        <w:rPr/>
        <w:t xml:space="preserve"> </w:t>
      </w:r>
      <w:r>
        <w:rPr/>
        <w:t xml:space="preserve">Ledoit–Wolf-shrunk [</w:t>
      </w:r>
      <w:hyperlink w:anchor="r-lw">
        <w:r>
          <w:rPr>
            <w:rStyle w:val="Hyperlink"/>
            <w:highlight w:val="yellow"/>
          </w:rPr>
          <w:t xml:space="preserve">33</w:t>
        </w:r>
      </w:hyperlink>
      <w:r>
        <w:rPr/>
        <w:t xml:space="preserve">]</w:t>
      </w:r>
      <w:r>
        <w:rPr/>
        <w:t xml:space="preserve"> </w:t>
      </w:r>
      <w:r>
        <w:rPr>
          <w:highlight w:val="green"/>
        </w:rPr>
        <w:t xml:space="preserve">(a covariance estimate regularized toward the identity, stable when channels outnumber samples)</w:t>
      </w:r>
      <w:r>
        <w:rPr/>
        <w:t xml:space="preserve"> </w:t>
      </w:r>
      <w:r>
        <w:rPr/>
        <w:t xml:space="preserve">precision</w:t>
      </w:r>
      <w:r>
        <w:rPr/>
        <w:t xml:space="preserve"> </w:t>
      </w:r>
      <m:oMath>
        <m:sSub>
          <m:e>
            <m:r>
              <m:rPr>
                <m:sty m:val="p"/>
              </m:rPr>
              <m:t>Σ</m:t>
            </m:r>
          </m:e>
          <m:sub>
            <m:r>
              <m:t>k</m:t>
            </m:r>
          </m:sub>
        </m:sSub>
      </m:oMath>
      <w:r>
        <w:rPr/>
        <w:t xml:space="preserve"> </w:t>
      </w:r>
      <w:r>
        <w:rPr/>
        <w:t xml:space="preserve">per regime, and combines the per-regime whitened</w:t>
      </w:r>
      <w:r>
        <w:rPr/>
        <w:t xml:space="preserve"> </w:t>
      </w:r>
      <w:r>
        <w:rPr/>
        <w:t xml:space="preserve">energies of that reduced residual by responsibility:</w:t>
      </w:r>
    </w:p>
    <w:p>
      <w:pPr>
        <w:pStyle w:val="MDPI39equation"/>
        <w:ind w:left="2608"/>
      </w:pPr>
      <w:r>
        <w:rPr/>
        <w:t xml:space="preserve">(6)</w:t>
      </w:r>
      <m:oMathPara>
        <m:oMathParaPr>
          <m:jc m:val="center"/>
        </m:oMathParaPr>
        <m:oMath>
          <m:sSub>
            <m:e>
              <m:r>
                <m:t>s</m:t>
              </m:r>
            </m:e>
            <m:sub>
              <m:r>
                <m:rPr>
                  <m:nor/>
                  <m:sty m:val="p"/>
                </m:rPr>
                <m:t>resid</m:t>
              </m:r>
            </m:sub>
          </m:sSub>
          <m:r>
            <m:rPr>
              <m:sty m:val="p"/>
            </m:rPr>
            <m:t>(</m:t>
          </m:r>
          <m:r>
            <m:t>x</m:t>
          </m:r>
          <m:r>
            <m:rPr>
              <m:sty m:val="p"/>
            </m:rPr>
            <m:t>)</m:t>
          </m:r>
          <m:r>
            <m:rPr>
              <m:sty m:val="p"/>
            </m:rPr>
            <m:t>=</m:t>
          </m:r>
          <m:nary>
            <m:naryPr>
              <m:chr m:val="∑"/>
              <m:limLoc m:val="undOvr"/>
              <m:subHide m:val="off"/>
              <m:supHide m:val="off"/>
            </m:naryPr>
            <m:sub>
              <m:r>
                <m:t>k</m:t>
              </m:r>
              <m:r>
                <m:rPr>
                  <m:sty m:val="p"/>
                </m:rPr>
                <m:t>=</m:t>
              </m:r>
              <m:r>
                <m:t>1</m:t>
              </m:r>
            </m:sub>
            <m:sup>
              <m:r>
                <m:t>K</m:t>
              </m:r>
            </m:sup>
            <m:e>
              <m:sSub>
                <m:e>
                  <m:r>
                    <m:t>γ</m:t>
                  </m:r>
                </m:e>
                <m:sub>
                  <m:r>
                    <m:t>k</m:t>
                  </m:r>
                </m:sub>
              </m:sSub>
            </m:e>
          </m:nary>
          <m:r>
            <m:t> </m:t>
          </m:r>
          <m:sSubSup>
            <m:e>
              <m:r>
                <m:t>r</m:t>
              </m:r>
            </m:e>
            <m:sub>
              <m:r>
                <m:t>k</m:t>
              </m:r>
            </m:sub>
            <m:sup>
              <m:r>
                <m:rPr>
                  <m:sty m:val="p"/>
                </m:rPr>
                <m:t>⊤</m:t>
              </m:r>
            </m:sup>
          </m:sSubSup>
          <m:sSubSup>
            <m:e>
              <m:r>
                <m:rPr>
                  <m:sty m:val="p"/>
                </m:rPr>
                <m:t>Σ</m:t>
              </m:r>
            </m:e>
            <m:sub>
              <m:r>
                <m:t>k</m:t>
              </m:r>
            </m:sub>
            <m:sup>
              <m:r>
                <m:rPr>
                  <m:sty m:val="p"/>
                </m:rPr>
                <m:t>−</m:t>
              </m:r>
              <m:r>
                <m:t>1</m:t>
              </m:r>
            </m:sup>
          </m:sSubSup>
          <m:sSub>
            <m:e>
              <m:r>
                <m:t>r</m:t>
              </m:r>
            </m:e>
            <m:sub>
              <m:r>
                <m:t>k</m:t>
              </m:r>
            </m:sub>
          </m:sSub>
          <m:r>
            <m:rPr>
              <m:sty m:val="p"/>
            </m:rPr>
            <m:t>.</m:t>
          </m:r>
        </m:oMath>
      </m:oMathPara>
    </w:p>
    <w:p>
      <w:pPr>
        <w:pStyle w:val="MDPI32textnoindent"/>
        <w:ind w:left="2608"/>
      </w:pPr>
      <w:r>
        <w:rPr/>
        <w:t xml:space="preserve">Here</w:t>
      </w:r>
      <w:r>
        <w:rPr/>
        <w:t xml:space="preserve"> </w:t>
      </w:r>
      <m:oMath>
        <m:sSub>
          <m:e>
            <m:r>
              <m:t>r</m:t>
            </m:r>
          </m:e>
          <m:sub>
            <m:r>
              <m:t>k</m:t>
            </m:r>
          </m:sub>
        </m:sSub>
      </m:oMath>
      <w:r>
        <w:rPr/>
        <w:t xml:space="preserve"> </w:t>
      </w:r>
      <w:r>
        <w:rPr/>
        <w:t xml:space="preserve">is the reduced residual whitened by regime</w:t>
      </w:r>
      <w:r>
        <w:rPr/>
        <w:t xml:space="preserve"> </w:t>
      </w:r>
      <m:oMath>
        <m:r>
          <m:t>k</m:t>
        </m:r>
      </m:oMath>
      <w:r>
        <w:rPr/>
        <w:t xml:space="preserve">’s precision</w:t>
      </w:r>
      <w:r>
        <w:rPr/>
        <w:t xml:space="preserve"> </w:t>
      </w:r>
      <m:oMath>
        <m:sSub>
          <m:e>
            <m:r>
              <m:rPr>
                <m:sty m:val="p"/>
              </m:rPr>
              <m:t>Σ</m:t>
            </m:r>
          </m:e>
          <m:sub>
            <m:r>
              <m:t>k</m:t>
            </m:r>
          </m:sub>
        </m:sSub>
      </m:oMath>
      <w:r>
        <w:rPr/>
        <w:t xml:space="preserve">, and</w:t>
      </w:r>
      <w:r>
        <w:rPr/>
        <w:t xml:space="preserve"> </w:t>
      </w:r>
      <m:oMath>
        <m:sSub>
          <m:e>
            <m:r>
              <m:t>γ</m:t>
            </m:r>
          </m:e>
          <m:sub>
            <m:r>
              <m:t>k</m:t>
            </m:r>
          </m:sub>
        </m:sSub>
      </m:oMath>
      <w:r>
        <w:rPr/>
        <w:t xml:space="preserve"> </w:t>
      </w:r>
      <w:r>
        <w:rPr/>
        <w:t xml:space="preserve">is the window’s responsibility for regime</w:t>
      </w:r>
      <w:r>
        <w:rPr/>
        <w:t xml:space="preserve"> </w:t>
      </w:r>
      <m:oMath>
        <m:r>
          <m:t>k</m:t>
        </m:r>
      </m:oMath>
      <w:r>
        <w:rPr/>
        <w:t xml:space="preserve">. The head is</w:t>
      </w:r>
      <w:r>
        <w:rPr/>
        <w:t xml:space="preserve"> </w:t>
      </w:r>
      <w:r>
        <w:rPr>
          <w:i/>
          <w:iCs/>
        </w:rPr>
        <w:t xml:space="preserve">auto-gated</w:t>
      </w:r>
      <w:r>
        <w:rPr/>
        <w:t xml:space="preserve"> </w:t>
      </w:r>
      <w:r>
        <w:rPr/>
        <w:t xml:space="preserve">by a held-out-normal generalization test: per-regime precisions are fitted on</w:t>
      </w:r>
      <w:r>
        <w:rPr/>
        <w:t xml:space="preserve"> </w:t>
      </w:r>
      <w:r>
        <w:rPr/>
        <w:t xml:space="preserve">the first 80% of train-normal (split A) and scored on the last 20% (split B); if held-out normal scores much higher</w:t>
      </w:r>
      <w:r>
        <w:rPr/>
        <w:t xml:space="preserve"> </w:t>
      </w:r>
      <w:r>
        <w:rPr/>
        <w:t xml:space="preserve">(the residual overfits or drifts), the ratio</w:t>
      </w:r>
      <w:r>
        <w:rPr/>
        <w:t xml:space="preserve"> </w:t>
      </w:r>
      <m:oMath>
        <m:sSub>
          <m:e>
            <m:r>
              <m:t>q</m:t>
            </m:r>
          </m:e>
          <m:sub>
            <m:r>
              <m:t>95</m:t>
            </m:r>
          </m:sub>
        </m:sSub>
        <m:r>
          <m:rPr>
            <m:sty m:val="p"/>
          </m:rPr>
          <m:t>(</m:t>
        </m:r>
        <m:r>
          <m:t>B</m:t>
        </m:r>
        <m:r>
          <m:rPr>
            <m:sty m:val="p"/>
          </m:rPr>
          <m:t>)</m:t>
        </m:r>
        <m:r>
          <m:rPr>
            <m:sty m:val="p"/>
          </m:rPr>
          <m:t>/</m:t>
        </m:r>
        <m:sSub>
          <m:e>
            <m:r>
              <m:t>q</m:t>
            </m:r>
          </m:e>
          <m:sub>
            <m:r>
              <m:t>95</m:t>
            </m:r>
          </m:sub>
        </m:sSub>
        <m:r>
          <m:rPr>
            <m:sty m:val="p"/>
          </m:rPr>
          <m:t>(</m:t>
        </m:r>
        <m:r>
          <m:t>A</m:t>
        </m:r>
        <m:r>
          <m:rPr>
            <m:sty m:val="p"/>
          </m:rPr>
          <m:t>)</m:t>
        </m:r>
      </m:oMath>
      <w:r>
        <w:rPr/>
        <w:t xml:space="preserve"> </w:t>
      </w:r>
      <w:r>
        <w:rPr/>
        <w:t xml:space="preserve">exceeds 1.5 and the head is switched off. Empirically the ratio is</w:t>
      </w:r>
      <w:r>
        <w:rPr/>
        <w:t xml:space="preserve"> </w:t>
      </w:r>
      <w:r>
        <w:rPr>
          <w:highlight w:val="green"/>
        </w:rPr>
        <w:t xml:space="preserve">3.41 on WADI (off), 1.22 on HAI (on), and 0.76 on SWaT (on): the residual generalizes to held-out normal on HAI and</w:t>
      </w:r>
      <w:r>
        <w:rPr>
          <w:highlight w:val="green"/>
        </w:rPr>
        <w:t xml:space="preserve"> </w:t>
      </w:r>
      <w:r>
        <w:rPr>
          <w:highlight w:val="green"/>
        </w:rPr>
        <w:t xml:space="preserve">SWaT but not on WADI, and the gate recovers this pattern from train-normal alone</w:t>
      </w:r>
      <w:r>
        <w:rPr/>
        <w:t xml:space="preserve">.</w:t>
      </w:r>
    </w:p>
    <w:p>
      <w:pPr>
        <w:pStyle w:val="MDPI23heading3"/>
        <w:ind w:left="2608"/>
      </w:pPr>
      <w:r>
        <w:rPr/>
        <w:t xml:space="preserve">(iv) </w:t>
      </w:r>
      <w:r>
        <w:rPr>
          <w:highlight w:val="green"/>
        </w:rPr>
        <w:t xml:space="preserve">The combined window score</w:t>
      </w:r>
    </w:p>
    <w:p>
      <w:pPr>
        <w:pStyle w:val="MDPI32textnoindent"/>
        <w:ind w:left="2608"/>
      </w:pPr>
      <w:r>
        <w:rPr>
          <w:highlight w:val="green"/>
        </w:rPr>
        <w:t xml:space="preserve">The reported detector scores a window by summing the base score and, where the residual head is gated on, the whitened residual:</w:t>
      </w:r>
    </w:p>
    <w:p>
      <w:pPr>
        <w:pStyle w:val="MDPI39equation"/>
        <w:ind w:left="2608"/>
      </w:pPr>
      <w:r>
        <w:rPr/>
        <w:t xml:space="preserve">(7)</w:t>
      </w:r>
      <m:oMathPara>
        <m:oMathParaPr>
          <m:jc m:val="center"/>
        </m:oMathParaPr>
        <m:oMath>
          <m:r>
            <m:t>s</m:t>
          </m:r>
          <m:r>
            <m:rPr>
              <m:sty m:val="p"/>
            </m:rPr>
            <m:t>(</m:t>
          </m:r>
          <m:r>
            <m:t>x</m:t>
          </m:r>
          <m:r>
            <m:rPr>
              <m:sty m:val="p"/>
            </m:rPr>
            <m:t>)</m:t>
          </m:r>
          <m:r>
            <m:rPr>
              <m:sty m:val="p"/>
            </m:rPr>
            <m:t>=</m:t>
          </m:r>
          <m:sSub>
            <m:e>
              <m:r>
                <m:t>s</m:t>
              </m:r>
            </m:e>
            <m:sub>
              <m:r>
                <m:t>0</m:t>
              </m:r>
            </m:sub>
          </m:sSub>
          <m:r>
            <m:rPr>
              <m:sty m:val="p"/>
            </m:rPr>
            <m:t>+</m:t>
          </m:r>
          <m:sSub>
            <m:e>
              <m:r>
                <m:t>s</m:t>
              </m:r>
            </m:e>
            <m:sub>
              <m:r>
                <m:rPr>
                  <m:nor/>
                  <m:sty m:val="p"/>
                </m:rPr>
                <m:t>resid</m:t>
              </m:r>
            </m:sub>
          </m:sSub>
          <m:r>
            <m:rPr>
              <m:sty m:val="p"/>
            </m:rPr>
            <m:t>.</m:t>
          </m:r>
        </m:oMath>
      </m:oMathPara>
    </w:p>
    <w:p>
      <w:pPr>
        <w:pStyle w:val="MDPI32textnoindent"/>
        <w:ind w:left="2608"/>
      </w:pPr>
      <w:r>
        <w:rPr>
          <w:strike w:val="true"/>
          <w:color w:val="C0392B"/>
        </w:rPr>
        <w:t xml:space="preserve">[An optional basin-agreement rescue head that subtracted a scaled, train-normal-calibrated regime-agreement term was described here.]</w:t>
      </w:r>
      <w:r>
        <w:rPr/>
        <w:t xml:space="preserve"> </w:t>
      </w:r>
      <w:r>
        <w:rPr>
          <w:highlight w:val="green"/>
        </w:rPr>
        <w:t xml:space="preserve">The stack has no head for A8 (between-regime overlap): that assumption is specified in Table 1 (§3) but not realized by this model, so Equation (7) is the detector's complete window score.</w:t>
      </w:r>
      <w:r>
        <w:rPr/>
        <w:t xml:space="preserve"> </w:t>
      </w:r>
      <w:r>
        <w:rPr/>
        <w:t xml:space="preserve">The reported model configures its heads purely from train-normal statistics, with no test-set tuning: the residual head fires on HAI and SWaT and stays off on WADI.</w:t>
      </w:r>
    </w:p>
    <w:p>
      <w:pPr>
        <w:pStyle w:val="MDPI31text"/>
        <w:ind w:left="2608"/>
      </w:pPr>
      <w:r>
        <w:rPr>
          <w:b/>
          <w:bCs/>
        </w:rPr>
        <w:t xml:space="preserve">Auto-gating summary.</w:t>
      </w:r>
      <w:r>
        <w:rPr/>
        <w:t xml:space="preserve"> </w:t>
      </w:r>
      <w:r>
        <w:rPr/>
        <w:t xml:space="preserve">Base heads (i–ii) run on every dataset. The</w:t>
      </w:r>
      <w:r>
        <w:rPr/>
        <w:t xml:space="preserve"> </w:t>
      </w:r>
      <w:r>
        <w:rPr/>
        <w:t xml:space="preserve">residual head (iii) fires when it generalizes to held-out normal (HAI and SWaT: on; WADI: off). All calibration uses train-normal only.</w:t>
      </w:r>
    </w:p>
    <w:p>
      <w:pPr>
        <w:pStyle w:val="MDPI22heading2"/>
        <w:ind w:left="2608"/>
      </w:pPr>
      <w:r>
        <w:rPr/>
        <w:t xml:space="preserve">4.4  Regime-community density (the headline realization)</w:t>
      </w:r>
      <w:r>
        <w:rPr/>
        <w:t xml:space="preserve"> </w:t>
      </w:r>
      <w:r>
        <w:rPr>
          <w:highlight w:val="green"/>
        </w:rPr>
        <w:t xml:space="preserve">(the subsystem-factorization stage; Figure 2, community fan-out and HC combiner)</w:t>
      </w:r>
    </w:p>
    <w:p>
      <w:pPr>
        <w:pStyle w:val="MDPI32textnoindent"/>
        <w:ind w:left="2608"/>
      </w:pPr>
      <w:r>
        <w:rPr/>
        <w:t xml:space="preserve">The stack of §4.1–4.3 estimates one density over the whole channel set. Its headline realization</w:t>
      </w:r>
      <w:r>
        <w:rPr/>
        <w:t xml:space="preserve"> </w:t>
      </w:r>
      <w:r>
        <w:rPr/>
        <w:t xml:space="preserve">estimates density</w:t>
      </w:r>
      <w:r>
        <w:rPr/>
        <w:t xml:space="preserve"> </w:t>
      </w:r>
      <w:r>
        <w:rPr>
          <w:i/>
          <w:iCs/>
        </w:rPr>
        <w:t xml:space="preserve">per subsystem</w:t>
      </w:r>
      <w:r>
        <w:rPr/>
        <w:t xml:space="preserve"> </w:t>
      </w:r>
      <w:r>
        <w:rPr/>
        <w:t xml:space="preserve">instead, and the reason is physical. A CPS is an assembly of coupled</w:t>
      </w:r>
      <w:r>
        <w:rPr/>
        <w:t xml:space="preserve"> </w:t>
      </w:r>
      <w:r>
        <w:rPr/>
        <w:t xml:space="preserve">subsystems, process units, control loops, and conservation-linked flows, each binding a small group of sensors and</w:t>
      </w:r>
      <w:r>
        <w:rPr/>
        <w:t xml:space="preserve"> </w:t>
      </w:r>
      <w:r>
        <w:rPr/>
        <w:t xml:space="preserve">actuators through tight local correlation while remaining only loosely coupled to the rest of the plant (WADI’s</w:t>
      </w:r>
      <w:r>
        <w:rPr/>
        <w:t xml:space="preserve"> </w:t>
      </w:r>
      <w:r>
        <w:rPr/>
        <w:t xml:space="preserve">parallel treatment trains, SWaT’s six sequential stages, HAI’s coupled boiler, turbine, and water</w:t>
      </w:r>
      <w:r>
        <w:rPr/>
        <w:t xml:space="preserve"> </w:t>
      </w:r>
      <w:r>
        <w:rPr/>
        <w:t xml:space="preserve">processes). Mass and energy balances correlate the channels within a unit, a control loop ties a measurement to its</w:t>
      </w:r>
      <w:r>
        <w:rPr/>
        <w:t xml:space="preserve"> </w:t>
      </w:r>
      <w:r>
        <w:rPr/>
        <w:t xml:space="preserve">setpoint, and a shared control lever drives its dependent channels together, so the few independent levers of A4 and</w:t>
      </w:r>
      <w:r>
        <w:rPr/>
        <w:t xml:space="preserve"> </w:t>
      </w:r>
      <w:r>
        <w:rPr/>
        <w:t xml:space="preserve">the</w:t>
      </w:r>
      <w:r>
        <w:rPr/>
        <w:t xml:space="preserve"> </w:t>
      </w:r>
      <w:r>
        <w:rPr>
          <w:highlight w:val="green"/>
        </w:rPr>
        <w:t xml:space="preserve">heterogeneous, correlated channels of A7</w:t>
      </w:r>
      <w:r>
        <w:rPr/>
        <w:t xml:space="preserve"> </w:t>
      </w:r>
      <w:r>
        <w:rPr/>
        <w:t xml:space="preserve">surface as blocks of the channel correlation graph. Agglomerative clustering on</w:t>
      </w:r>
      <w:r>
        <w:rPr/>
        <w:t xml:space="preserve"> </w:t>
      </w:r>
      <w:r>
        <w:rPr/>
        <w:t xml:space="preserve">the train-normal correlation graph groups the channels into nested communities</w:t>
      </w:r>
      <w:r>
        <w:rPr/>
        <w:t xml:space="preserve"> </w:t>
      </w:r>
      <m:oMath>
        <m:r>
          <m:t>G</m:t>
        </m:r>
      </m:oMath>
      <w:r>
        <w:rPr/>
        <w:t xml:space="preserve"> </w:t>
      </w:r>
      <w:r>
        <w:rPr/>
        <w:t xml:space="preserve">(dendrogram subtrees of size 3 to 25</w:t>
      </w:r>
      <w:r>
        <w:rPr/>
        <w:t xml:space="preserve"> </w:t>
      </w:r>
      <w:r>
        <w:rPr/>
        <w:t xml:space="preserve">channels) that serve as data-driven proxies for these subsystems, with no supervision and no plant schematic.</w:t>
      </w:r>
    </w:p>
    <w:p>
      <w:pPr>
        <w:pStyle w:val="MDPI31text"/>
        <w:ind w:left="2608"/>
      </w:pPr>
      <w:r>
        <w:rPr/>
        <w:t xml:space="preserve">Faults inherit the same locality: a stuck valve, a drifting analyzer, or a fouled sensor perturbs its own</w:t>
      </w:r>
      <w:r>
        <w:rPr/>
        <w:t xml:space="preserve"> </w:t>
      </w:r>
      <w:r>
        <w:rPr/>
        <w:t xml:space="preserve">subsystem while the rest of the plant runs normally, so an incipient fault is typically confined to one community, a</w:t>
      </w:r>
      <w:r>
        <w:rPr/>
        <w:t xml:space="preserve"> </w:t>
      </w:r>
      <w:r>
        <w:rPr/>
        <w:t xml:space="preserve">handful of channels out of hundreds. A single global density dilutes such a local violation across the full</w:t>
      </w:r>
      <w:r>
        <w:rPr/>
        <w:t xml:space="preserve"> </w:t>
      </w:r>
      <w:r>
        <w:rPr/>
        <w:t xml:space="preserve">dimensionality (a single-group shift is a vanishing fraction of WADI’s</w:t>
      </w:r>
      <w:r>
        <w:rPr/>
        <w:t xml:space="preserve"> </w:t>
      </w:r>
      <w:r>
        <w:rPr>
          <w:highlight w:val="green"/>
        </w:rPr>
        <w:t xml:space="preserve">732-dimensional feature, 122 channels</w:t>
      </w:r>
      <w:r>
        <w:rPr>
          <w:highlight w:val="green"/>
        </w:rPr>
        <w:t xml:space="preserve"> </w:t>
      </w:r>
      <w:r>
        <w:rPr>
          <w:highlight w:val="green"/>
        </w:rPr>
        <w:t xml:space="preserve">× 6 statistics</w:t>
      </w:r>
      <w:r>
        <w:rPr/>
        <w:t xml:space="preserve">), whereas a</w:t>
      </w:r>
      <w:r>
        <w:rPr/>
        <w:t xml:space="preserve"> </w:t>
      </w:r>
      <w:r>
        <w:rPr/>
        <w:t xml:space="preserve">per-community density concentrates it. For each community</w:t>
      </w:r>
      <w:r>
        <w:rPr/>
        <w:t xml:space="preserve"> </w:t>
      </w:r>
      <m:oMath>
        <m:r>
          <m:t>G</m:t>
        </m:r>
      </m:oMath>
      <w:r>
        <w:rPr/>
        <w:t xml:space="preserve"> </w:t>
      </w:r>
      <w:r>
        <w:rPr/>
        <w:t xml:space="preserve">we therefore fit the full detector of §4.1–4.3 on that</w:t>
      </w:r>
      <w:r>
        <w:rPr/>
        <w:t xml:space="preserve"> </w:t>
      </w:r>
      <w:r>
        <w:rPr/>
        <w:t xml:space="preserve">community’s channels alone</w:t>
      </w:r>
      <w:r>
        <w:rPr/>
        <w:t xml:space="preserve"> </w:t>
      </w:r>
      <w:r>
        <w:rPr>
          <w:highlight w:val="green"/>
        </w:rPr>
        <w:t xml:space="preserve">(a</w:t>
      </w:r>
      <w:r>
        <w:rPr>
          <w:highlight w:val="green"/>
        </w:rPr>
        <w:t xml:space="preserve"> </w:t>
      </w:r>
      <w:r>
        <w:rPr>
          <w:i/>
          <w:iCs/>
          <w:highlight w:val="green"/>
        </w:rPr>
        <w:t xml:space="preserve">separate</w:t>
      </w:r>
      <w:r>
        <w:rPr>
          <w:highlight w:val="green"/>
        </w:rPr>
        <w:t xml:space="preserve"> </w:t>
      </w:r>
      <w:r>
        <w:rPr>
          <w:highlight w:val="green"/>
        </w:rPr>
        <w:t xml:space="preserve">small VaDE per community, each with its own encoder, Gaussian mixture, and scoring heads, its regime count and latent dimension scaled to the community size</w:t>
      </w:r>
      <w:r>
        <w:rPr>
          <w:highlight w:val="green"/>
        </w:rPr>
        <w:t xml:space="preserve"> </w:t>
      </w:r>
      <m:oMath>
        <m:r>
          <m:rPr>
            <m:sty m:val="p"/>
          </m:rPr>
          <m:t>∣</m:t>
        </m:r>
        <m:r>
          <m:t>G</m:t>
        </m:r>
        <m:r>
          <m:rPr>
            <m:sty m:val="p"/>
          </m:rPr>
          <m:t>∣</m:t>
        </m:r>
      </m:oMath>
      <w:r>
        <w:rPr>
          <w:highlight w:val="green"/>
        </w:rPr>
        <w:t xml:space="preserve">; nothing is shared across communities except the input window features, so the model is a stack of independent per-subsystem experts, tens per plant, plus one global expert)</w:t>
      </w:r>
      <w:r>
        <w:rPr>
          <w:strike w:val="true"/>
          <w:color w:val="C0392B"/>
        </w:rPr>
        <w:t xml:space="preserve"> and read</w:t>
      </w:r>
      <w:r>
        <w:rPr>
          <w:highlight w:val="green"/>
        </w:rPr>
        <w:t xml:space="preserve">. We read</w:t>
      </w:r>
      <w:r>
        <w:rPr/>
        <w:t xml:space="preserve"> </w:t>
      </w:r>
      <w:r>
        <w:rPr/>
        <w:t xml:space="preserve">its calibrated surprise</w:t>
      </w:r>
      <w:r>
        <w:rPr/>
        <w:t xml:space="preserve"> </w:t>
      </w:r>
      <m:oMath>
        <m:sSub>
          <m:e>
            <m:r>
              <m:t>s</m:t>
            </m:r>
          </m:e>
          <m:sub>
            <m:r>
              <m:t>G</m:t>
            </m:r>
          </m:sub>
        </m:sSub>
      </m:oMath>
      <w:r>
        <w:rPr/>
        <w:t xml:space="preserve"> </w:t>
      </w:r>
      <w:r>
        <w:rPr/>
        <w:t xml:space="preserve">(the train-normal upper-tail negative log-probability),</w:t>
      </w:r>
      <w:r>
        <w:rPr/>
        <w:t xml:space="preserve"> </w:t>
      </w:r>
      <w:r>
        <w:rPr/>
        <w:t xml:space="preserve">and we include the global detector as an unfactorized</w:t>
      </w:r>
      <w:r>
        <w:rPr/>
        <w:t xml:space="preserve"> </w:t>
      </w:r>
      <w:r>
        <w:rPr>
          <w:i/>
          <w:iCs/>
          <w:strike w:val="true"/>
          <w:color w:val="C0392B"/>
        </w:rPr>
        <w:t xml:space="preserve">null</w:t>
      </w:r>
      <w:r>
        <w:rPr>
          <w:i/>
          <w:iCs/>
          <w:highlight w:val="green"/>
        </w:rPr>
        <w:t xml:space="preserve">whole-plant</w:t>
      </w:r>
      <w:r>
        <w:rPr/>
        <w:t xml:space="preserve"> </w:t>
      </w:r>
      <w:r>
        <w:rPr/>
        <w:t xml:space="preserve">expert so the detector retains sensitivity to</w:t>
      </w:r>
      <w:r>
        <w:rPr/>
        <w:t xml:space="preserve"> </w:t>
      </w:r>
      <w:r>
        <w:rPr/>
        <w:t xml:space="preserve">dense whole-system faults. Summing the per-community surprises gives a simple pooled score (because the communities</w:t>
      </w:r>
      <w:r>
        <w:rPr/>
        <w:t xml:space="preserve"> </w:t>
      </w:r>
      <w:r>
        <w:rPr/>
        <w:t xml:space="preserve">are nested subtrees and can overlap, this sum is an over-complete pooling rather than an exact factorization),</w:t>
      </w:r>
    </w:p>
    <w:p>
      <w:pPr>
        <w:pStyle w:val="MDPI39equation"/>
        <w:ind w:left="2608"/>
      </w:pPr>
      <w:r>
        <w:rPr/>
        <w:t xml:space="preserve">(8)</w:t>
      </w:r>
      <m:oMathPara>
        <m:oMathParaPr>
          <m:jc m:val="center"/>
        </m:oMathParaPr>
        <m:oMath>
          <m:r>
            <m:rPr>
              <m:sty m:val="p"/>
            </m:rPr>
            <m:t>−</m:t>
          </m:r>
          <m:r>
            <m:rPr>
              <m:sty m:val="p"/>
            </m:rPr>
            <m:t>log</m:t>
          </m:r>
          <m:r>
            <m:t> </m:t>
          </m:r>
          <m:r>
            <m:t>p</m:t>
          </m:r>
          <m:r>
            <m:rPr>
              <m:sty m:val="p"/>
            </m:rPr>
            <m:t>(</m:t>
          </m:r>
          <m:r>
            <m:t>x</m:t>
          </m:r>
          <m:r>
            <m:rPr>
              <m:sty m:val="p"/>
            </m:rPr>
            <m:t>)</m:t>
          </m:r>
          <m:r>
            <m:rPr>
              <m:sty m:val="p"/>
            </m:rPr>
            <m:t>≈</m:t>
          </m:r>
          <m:nary>
            <m:naryPr>
              <m:chr m:val="∑"/>
              <m:limLoc m:val="undOvr"/>
              <m:subHide m:val="off"/>
              <m:supHide m:val="on"/>
            </m:naryPr>
            <m:sub>
              <m:r>
                <m:t>G</m:t>
              </m:r>
              <m:r>
                <m:rPr>
                  <m:sty m:val="p"/>
                </m:rPr>
                <m:t>∈</m:t>
              </m:r>
              <m:r>
                <m:rPr>
                  <m:scr m:val="script"/>
                  <m:sty m:val="p"/>
                </m:rPr>
                <m:t>C</m:t>
              </m:r>
            </m:sub>
            <m:sup>
              <m:r>
                <m:t>​</m:t>
              </m:r>
            </m:sup>
            <m:e>
              <m:sSub>
                <m:e>
                  <m:r>
                    <m:t>s</m:t>
                  </m:r>
                </m:e>
                <m:sub>
                  <m:r>
                    <m:t>G</m:t>
                  </m:r>
                </m:sub>
              </m:sSub>
            </m:e>
          </m:nary>
          <m:r>
            <m:rPr>
              <m:sty m:val="p"/>
            </m:rPr>
            <m:t>(</m:t>
          </m:r>
          <m:r>
            <m:t>x</m:t>
          </m:r>
          <m:r>
            <m:rPr>
              <m:sty m:val="p"/>
            </m:rPr>
            <m:t>)</m:t>
          </m:r>
          <m:r>
            <m:rPr>
              <m:sty m:val="p"/>
            </m:rPr>
            <m:t>,</m:t>
          </m:r>
        </m:oMath>
      </m:oMathPara>
    </w:p>
    <w:p>
      <w:pPr>
        <w:pStyle w:val="MDPI32textnoindent"/>
        <w:ind w:left="2608"/>
      </w:pPr>
      <w:r>
        <w:rPr/>
        <w:t xml:space="preserve">and the detector scores a window by a weighted combination</w:t>
      </w:r>
      <w:r>
        <w:rPr/>
        <w:t xml:space="preserve"> </w:t>
      </w:r>
      <m:oMath>
        <m:r>
          <m:t>s</m:t>
        </m:r>
        <m:r>
          <m:rPr>
            <m:sty m:val="p"/>
          </m:rPr>
          <m:t>(</m:t>
        </m:r>
        <m:r>
          <m:t>x</m:t>
        </m:r>
        <m:r>
          <m:rPr>
            <m:sty m:val="p"/>
          </m:rPr>
          <m:t>)</m:t>
        </m:r>
        <m:r>
          <m:rPr>
            <m:sty m:val="p"/>
          </m:rPr>
          <m:t>=</m:t>
        </m:r>
        <m:sSub>
          <m:e>
            <m:r>
              <m:rPr>
                <m:sty m:val="p"/>
              </m:rPr>
              <m:t>⊕</m:t>
            </m:r>
          </m:e>
          <m:sub>
            <m:r>
              <m:t>G</m:t>
            </m:r>
            <m:r>
              <m:rPr>
                <m:sty m:val="p"/>
              </m:rPr>
              <m:t>∈</m:t>
            </m:r>
            <m:r>
              <m:rPr>
                <m:scr m:val="script"/>
                <m:sty m:val="p"/>
              </m:rPr>
              <m:t>C</m:t>
            </m:r>
          </m:sub>
        </m:sSub>
        <m:sSub>
          <m:e>
            <m:r>
              <m:t>w</m:t>
            </m:r>
          </m:e>
          <m:sub>
            <m:r>
              <m:t>G</m:t>
            </m:r>
          </m:sub>
        </m:sSub>
        <m:r>
          <m:t> </m:t>
        </m:r>
        <m:sSub>
          <m:e>
            <m:r>
              <m:t>s</m:t>
            </m:r>
          </m:e>
          <m:sub>
            <m:r>
              <m:t>G</m:t>
            </m:r>
          </m:sub>
        </m:sSub>
        <m:r>
          <m:rPr>
            <m:sty m:val="p"/>
          </m:rPr>
          <m:t>(</m:t>
        </m:r>
        <m:r>
          <m:t>x</m:t>
        </m:r>
        <m:r>
          <m:rPr>
            <m:sty m:val="p"/>
          </m:rPr>
          <m:t>)</m:t>
        </m:r>
      </m:oMath>
      <w:r>
        <w:rPr/>
        <w:t xml:space="preserve">.</w:t>
      </w:r>
      <w:r>
        <w:rPr/>
        <w:t xml:space="preserve"> </w:t>
      </w:r>
      <w:r>
        <w:rPr/>
        <w:t xml:space="preserve">The weight</w:t>
      </w:r>
      <w:r>
        <w:rPr/>
        <w:t xml:space="preserve"> </w:t>
      </w:r>
      <m:oMath>
        <m:sSub>
          <m:e>
            <m:r>
              <m:t>w</m:t>
            </m:r>
          </m:e>
          <m:sub>
            <m:r>
              <m:t>G</m:t>
            </m:r>
          </m:sub>
        </m:sSub>
      </m:oMath>
      <w:r>
        <w:rPr/>
        <w:t xml:space="preserve"> </w:t>
      </w:r>
      <w:r>
        <w:rPr/>
        <w:t xml:space="preserve">grows with the community’s internal cohesion (its mean absolute pairwise channel correlation), because a density violation</w:t>
      </w:r>
      <w:r>
        <w:rPr/>
        <w:t xml:space="preserve"> </w:t>
      </w:r>
      <w:r>
        <w:rPr/>
        <w:t xml:space="preserve">inside a tightly coupled subsystem (A7) is more diagnostic than the same deviation in a loosely coupled one. The</w:t>
      </w:r>
      <w:r>
        <w:rPr/>
        <w:t xml:space="preserve"> </w:t>
      </w:r>
      <w:r>
        <w:rPr/>
        <w:t xml:space="preserve">combiner</w:t>
      </w:r>
      <w:r>
        <w:rPr/>
        <w:t xml:space="preserve"> </w:t>
      </w:r>
      <m:oMath>
        <m:r>
          <m:rPr>
            <m:sty m:val="p"/>
          </m:rPr>
          <m:t>⊕</m:t>
        </m:r>
      </m:oMath>
      <w:r>
        <w:rPr/>
        <w:t xml:space="preserve"> </w:t>
      </w:r>
      <w:r>
        <w:rPr/>
        <w:t xml:space="preserve">must adapt to the</w:t>
      </w:r>
      <w:r>
        <w:rPr/>
        <w:t xml:space="preserve"> </w:t>
      </w:r>
      <w:r>
        <w:rPr/>
        <w:t xml:space="preserve">fault’s unknown extent: summation is optimal when the fault perturbs many communities, a maximum when it is</w:t>
      </w:r>
      <w:r>
        <w:rPr/>
        <w:t xml:space="preserve"> </w:t>
      </w:r>
      <w:r>
        <w:rPr/>
        <w:t xml:space="preserve">confined to one, and Higher Criticism [</w:t>
      </w:r>
      <w:hyperlink w:anchor="r-hc">
        <w:r>
          <w:rPr>
            <w:rStyle w:val="Hyperlink"/>
            <w:highlight w:val="yellow"/>
          </w:rPr>
          <w:t xml:space="preserve">49</w:t>
        </w:r>
      </w:hyperlink>
      <w:r>
        <w:rPr/>
        <w:t xml:space="preserve">], a sparse-signal statistic that asks whether more communities are</w:t>
      </w:r>
      <w:r>
        <w:rPr/>
        <w:t xml:space="preserve"> </w:t>
      </w:r>
      <w:r>
        <w:rPr/>
        <w:t xml:space="preserve">mildly surprised than chance allows, interpolates between the two without assuming the extent in advance. Writing the</w:t>
      </w:r>
      <w:r>
        <w:rPr/>
        <w:t xml:space="preserve"> </w:t>
      </w:r>
      <w:r>
        <w:rPr/>
        <w:t xml:space="preserve">per-community upper-tail p-values for the</w:t>
      </w:r>
      <w:r>
        <w:rPr/>
        <w:t xml:space="preserve"> </w:t>
      </w:r>
      <m:oMath>
        <m:r>
          <m:t>S</m:t>
        </m:r>
      </m:oMath>
      <w:r>
        <w:rPr/>
        <w:t xml:space="preserve"> </w:t>
      </w:r>
      <w:r>
        <w:rPr/>
        <w:t xml:space="preserve">community experts in ascending order</w:t>
      </w:r>
      <w:r>
        <w:rPr/>
        <w:t xml:space="preserve"> </w:t>
      </w:r>
      <m:oMath>
        <m:sSub>
          <m:e>
            <m:r>
              <m:t>p</m:t>
            </m:r>
          </m:e>
          <m:sub>
            <m:r>
              <m:rPr>
                <m:sty m:val="p"/>
              </m:rPr>
              <m:t>(</m:t>
            </m:r>
            <m:r>
              <m:t>1</m:t>
            </m:r>
            <m:r>
              <m:rPr>
                <m:sty m:val="p"/>
              </m:rPr>
              <m:t>)</m:t>
            </m:r>
          </m:sub>
        </m:sSub>
        <m:r>
          <m:rPr>
            <m:sty m:val="p"/>
          </m:rPr>
          <m:t>≤</m:t>
        </m:r>
        <m:r>
          <m:rPr>
            <m:sty m:val="p"/>
          </m:rPr>
          <m:t>⋯</m:t>
        </m:r>
        <m:r>
          <m:rPr>
            <m:sty m:val="p"/>
          </m:rPr>
          <m:t>≤</m:t>
        </m:r>
        <m:sSub>
          <m:e>
            <m:r>
              <m:t>p</m:t>
            </m:r>
          </m:e>
          <m:sub>
            <m:r>
              <m:rPr>
                <m:sty m:val="p"/>
              </m:rPr>
              <m:t>(</m:t>
            </m:r>
            <m:r>
              <m:t>S</m:t>
            </m:r>
            <m:r>
              <m:rPr>
                <m:sty m:val="p"/>
              </m:rPr>
              <m:t>)</m:t>
            </m:r>
          </m:sub>
        </m:sSub>
      </m:oMath>
      <w:r>
        <w:rPr/>
        <w:t xml:space="preserve">, the statistic is</w:t>
      </w:r>
    </w:p>
    <w:p>
      <w:pPr>
        <w:pStyle w:val="MDPI39equation"/>
        <w:ind w:left="2608"/>
      </w:pPr>
      <w:r>
        <w:rPr/>
        <w:t xml:space="preserve">(9)</w:t>
      </w:r>
      <m:oMathPara>
        <m:oMathParaPr>
          <m:jc m:val="center"/>
        </m:oMathParaPr>
        <m:oMath>
          <m:r>
            <m:rPr>
              <m:nor/>
              <m:sty m:val="p"/>
            </m:rPr>
            <m:t>HC</m:t>
          </m:r>
          <m:r>
            <m:rPr>
              <m:sty m:val="p"/>
            </m:rPr>
            <m:t>=</m:t>
          </m:r>
          <m:limLow>
            <m:e>
              <m:r>
                <m:rPr>
                  <m:sty m:val="p"/>
                </m:rPr>
                <m:t>max</m:t>
              </m:r>
            </m:e>
            <m:lim>
              <m:r>
                <m:t>i</m:t>
              </m:r>
              <m:r>
                <m:rPr>
                  <m:sty m:val="p"/>
                </m:rPr>
                <m:t>:</m:t>
              </m:r>
              <m:sSub>
                <m:e>
                  <m:r>
                    <m:t>p</m:t>
                  </m:r>
                </m:e>
                <m:sub>
                  <m:r>
                    <m:rPr>
                      <m:sty m:val="p"/>
                    </m:rPr>
                    <m:t>(</m:t>
                  </m:r>
                  <m:r>
                    <m:t>i</m:t>
                  </m:r>
                  <m:r>
                    <m:rPr>
                      <m:sty m:val="p"/>
                    </m:rPr>
                    <m:t>)</m:t>
                  </m:r>
                </m:sub>
              </m:sSub>
              <m:r>
                <m:rPr>
                  <m:sty m:val="p"/>
                </m:rPr>
                <m:t>&lt;</m:t>
              </m:r>
              <m:r>
                <m:t>1</m:t>
              </m:r>
              <m:r>
                <m:rPr>
                  <m:sty m:val="p"/>
                </m:rPr>
                <m:t>/</m:t>
              </m:r>
              <m:r>
                <m:t>2</m:t>
              </m:r>
            </m:lim>
          </m:limLow>
          <m:f>
            <m:fPr>
              <m:type m:val="bar"/>
            </m:fPr>
            <m:num>
              <m:rad>
                <m:radPr>
                  <m:degHide m:val="on"/>
                </m:radPr>
                <m:deg/>
                <m:e>
                  <m:r>
                    <m:t>S</m:t>
                  </m:r>
                </m:e>
              </m:rad>
              <m:r>
                <m:t> </m:t>
              </m:r>
              <m:r>
                <m:rPr>
                  <m:sty m:val="p"/>
                </m:rPr>
                <m:t>(</m:t>
              </m:r>
              <m:r>
                <m:t>i</m:t>
              </m:r>
              <m:r>
                <m:rPr>
                  <m:sty m:val="p"/>
                </m:rPr>
                <m:t>/</m:t>
              </m:r>
              <m:r>
                <m:t>S</m:t>
              </m:r>
              <m:r>
                <m:rPr>
                  <m:sty m:val="p"/>
                </m:rPr>
                <m:t>−</m:t>
              </m:r>
              <m:sSub>
                <m:e>
                  <m:r>
                    <m:t>p</m:t>
                  </m:r>
                </m:e>
                <m:sub>
                  <m:r>
                    <m:rPr>
                      <m:sty m:val="p"/>
                    </m:rPr>
                    <m:t>(</m:t>
                  </m:r>
                  <m:r>
                    <m:t>i</m:t>
                  </m:r>
                  <m:r>
                    <m:rPr>
                      <m:sty m:val="p"/>
                    </m:rPr>
                    <m:t>)</m:t>
                  </m:r>
                </m:sub>
              </m:sSub>
              <m:r>
                <m:rPr>
                  <m:sty m:val="p"/>
                </m:rPr>
                <m:t>)</m:t>
              </m:r>
            </m:num>
            <m:den>
              <m:rad>
                <m:radPr>
                  <m:degHide m:val="on"/>
                </m:radPr>
                <m:deg/>
                <m:e>
                  <m:sSub>
                    <m:e>
                      <m:r>
                        <m:t>p</m:t>
                      </m:r>
                    </m:e>
                    <m:sub>
                      <m:r>
                        <m:rPr>
                          <m:sty m:val="p"/>
                        </m:rPr>
                        <m:t>(</m:t>
                      </m:r>
                      <m:r>
                        <m:t>i</m:t>
                      </m:r>
                      <m:r>
                        <m:rPr>
                          <m:sty m:val="p"/>
                        </m:rPr>
                        <m:t>)</m:t>
                      </m:r>
                    </m:sub>
                  </m:sSub>
                  <m:r>
                    <m:rPr>
                      <m:sty m:val="p"/>
                    </m:rPr>
                    <m:t>(</m:t>
                  </m:r>
                  <m:r>
                    <m:t>1</m:t>
                  </m:r>
                  <m:r>
                    <m:rPr>
                      <m:sty m:val="p"/>
                    </m:rPr>
                    <m:t>−</m:t>
                  </m:r>
                  <m:sSub>
                    <m:e>
                      <m:r>
                        <m:t>p</m:t>
                      </m:r>
                    </m:e>
                    <m:sub>
                      <m:r>
                        <m:rPr>
                          <m:sty m:val="p"/>
                        </m:rPr>
                        <m:t>(</m:t>
                      </m:r>
                      <m:r>
                        <m:t>i</m:t>
                      </m:r>
                      <m:r>
                        <m:rPr>
                          <m:sty m:val="p"/>
                        </m:rPr>
                        <m:t>)</m:t>
                      </m:r>
                    </m:sub>
                  </m:sSub>
                  <m:r>
                    <m:rPr>
                      <m:sty m:val="p"/>
                    </m:rPr>
                    <m:t>)</m:t>
                  </m:r>
                </m:e>
              </m:rad>
            </m:den>
          </m:f>
          <m:r>
            <m:rPr>
              <m:sty m:val="p"/>
            </m:rPr>
            <m:t>,</m:t>
          </m:r>
        </m:oMath>
      </m:oMathPara>
    </w:p>
    <w:p>
      <w:pPr>
        <w:pStyle w:val="MDPI32textnoindent"/>
        <w:ind w:left="2608"/>
      </w:pPr>
      <w:r>
        <w:rPr/>
        <w:t xml:space="preserve">over the surprising tail. Cohesion weighting raises each p-value to the power</w:t>
      </w:r>
      <w:r>
        <w:rPr/>
        <w:t xml:space="preserve"> </w:t>
      </w:r>
      <m:oMath>
        <m:sSub>
          <m:e>
            <m:r>
              <m:t>w</m:t>
            </m:r>
          </m:e>
          <m:sub>
            <m:r>
              <m:t>G</m:t>
            </m:r>
          </m:sub>
        </m:sSub>
        <m:r>
          <m:rPr>
            <m:sty m:val="p"/>
          </m:rPr>
          <m:t>/</m:t>
        </m:r>
        <m:acc>
          <m:accPr>
            <m:chr m:val="‾"/>
          </m:accPr>
          <m:e>
            <m:r>
              <m:t>w</m:t>
            </m:r>
          </m:e>
        </m:acc>
      </m:oMath>
      <w:r>
        <w:rPr/>
        <w:t xml:space="preserve"> </w:t>
      </w:r>
      <w:r>
        <w:rPr/>
        <w:t xml:space="preserve">before sorting, with</w:t>
      </w:r>
      <w:r>
        <w:rPr/>
        <w:t xml:space="preserve"> </w:t>
      </w:r>
      <m:oMath>
        <m:sSub>
          <m:e>
            <m:r>
              <m:t>w</m:t>
            </m:r>
          </m:e>
          <m:sub>
            <m:r>
              <m:t>G</m:t>
            </m:r>
          </m:sub>
        </m:sSub>
        <m:r>
          <m:rPr>
            <m:sty m:val="p"/>
          </m:rPr>
          <m:t>=</m:t>
        </m:r>
        <m:sSub>
          <m:e>
            <m:r>
              <m:rPr>
                <m:nor/>
                <m:sty m:val="p"/>
              </m:rPr>
              <m:t>coh</m:t>
            </m:r>
          </m:e>
          <m:sub>
            <m:r>
              <m:t>G</m:t>
            </m:r>
          </m:sub>
        </m:sSub>
        <m:rad>
          <m:radPr>
            <m:degHide m:val="on"/>
          </m:radPr>
          <m:deg/>
          <m:e>
            <m:r>
              <m:rPr>
                <m:sty m:val="p"/>
              </m:rPr>
              <m:t>∣</m:t>
            </m:r>
            <m:r>
              <m:t>G</m:t>
            </m:r>
            <m:r>
              <m:rPr>
                <m:sty m:val="p"/>
              </m:rPr>
              <m:t>∣</m:t>
            </m:r>
          </m:e>
        </m:rad>
      </m:oMath>
      <w:r>
        <w:rPr/>
        <w:t xml:space="preserve"> </w:t>
      </w:r>
      <w:r>
        <w:rPr/>
        <w:t xml:space="preserve">(community cohesion times root size) and</w:t>
      </w:r>
      <w:r>
        <w:rPr/>
        <w:t xml:space="preserve"> </w:t>
      </w:r>
      <m:oMath>
        <m:acc>
          <m:accPr>
            <m:chr m:val="‾"/>
          </m:accPr>
          <m:e>
            <m:r>
              <m:t>w</m:t>
            </m:r>
          </m:e>
        </m:acc>
      </m:oMath>
      <w:r>
        <w:rPr/>
        <w:t xml:space="preserve"> </w:t>
      </w:r>
      <w:r>
        <w:rPr/>
        <w:t xml:space="preserve">their mean, so a violation in a tight, large subsystem</w:t>
      </w:r>
      <w:r>
        <w:rPr/>
        <w:t xml:space="preserve"> </w:t>
      </w:r>
      <w:r>
        <w:rPr/>
        <w:t xml:space="preserve">weighs more; every p-value is a train-normal upper-tail probability, so the combiner is calibrated on normal alone.</w:t>
      </w:r>
      <w:r>
        <w:rPr/>
        <w:t xml:space="preserve"> </w:t>
      </w:r>
      <w:r>
        <w:rPr/>
        <w:t xml:space="preserve">The factorization also localizes: the per-community surprises rank the plant’s subsystems by how implicated they</w:t>
      </w:r>
      <w:r>
        <w:rPr/>
        <w:t xml:space="preserve"> </w:t>
      </w:r>
      <w:r>
        <w:rPr/>
        <w:t xml:space="preserve">are, turning a plant-wide alarm into a subsystem-level lead for the operator. The reported</w:t>
      </w:r>
      <w:r>
        <w:rPr/>
        <w:t xml:space="preserve"> </w:t>
      </w:r>
      <w:r>
        <w:rPr>
          <w:b/>
          <w:bCs/>
        </w:rPr>
        <w:t xml:space="preserve">LatAD (regime-community)</w:t>
      </w:r>
      <w:r>
        <w:rPr/>
        <w:t xml:space="preserve"> </w:t>
      </w:r>
      <w:r>
        <w:rPr/>
        <w:t xml:space="preserve">combines the communities by cohesion-weighted Higher Criticism and fuses</w:t>
      </w:r>
      <w:r>
        <w:rPr/>
        <w:t xml:space="preserve"> </w:t>
      </w:r>
      <w:r>
        <w:rPr/>
        <w:t xml:space="preserve">that with the</w:t>
      </w:r>
      <w:r>
        <w:rPr/>
        <w:t xml:space="preserve"> </w:t>
      </w:r>
      <w:r>
        <w:rPr>
          <w:strike w:val="true"/>
          <w:color w:val="C0392B"/>
        </w:rPr>
        <w:t xml:space="preserve">null</w:t>
      </w:r>
      <w:r>
        <w:rPr>
          <w:highlight w:val="green"/>
        </w:rPr>
        <w:t xml:space="preserve">whole-plant</w:t>
      </w:r>
      <w:r>
        <w:rPr/>
        <w:t xml:space="preserve"> </w:t>
      </w:r>
      <w:r>
        <w:rPr/>
        <w:t xml:space="preserve">expert by summing the two in train-normal standardized units; the single-latent</w:t>
      </w:r>
      <w:r>
        <w:rPr/>
        <w:t xml:space="preserve"> </w:t>
      </w:r>
      <w:r>
        <w:rPr>
          <w:b/>
          <w:bCs/>
        </w:rPr>
        <w:t xml:space="preserve">LatAD (global</w:t>
      </w:r>
      <w:r>
        <w:rPr>
          <w:b/>
          <w:bCs/>
        </w:rPr>
        <w:t xml:space="preserve"> </w:t>
      </w:r>
      <w:r>
        <w:rPr>
          <w:b/>
          <w:bCs/>
        </w:rPr>
        <w:t xml:space="preserve">density)</w:t>
      </w:r>
      <w:r>
        <w:rPr/>
        <w:t xml:space="preserve"> </w:t>
      </w:r>
      <w:r>
        <w:rPr/>
        <w:t xml:space="preserve">of §4.1–4.3 is the degenerate case</w:t>
      </w:r>
      <w:r>
        <w:rPr/>
        <w:t xml:space="preserve"> </w:t>
      </w:r>
      <m:oMath>
        <m:r>
          <m:rPr>
            <m:scr m:val="script"/>
            <m:sty m:val="p"/>
          </m:rPr>
          <m:t>C</m:t>
        </m:r>
        <m:r>
          <m:rPr>
            <m:sty m:val="p"/>
          </m:rPr>
          <m:t>=</m:t>
        </m:r>
        <m:d>
          <m:dPr>
            <m:begChr m:val="{"/>
            <m:sepChr m:val=""/>
            <m:endChr m:val="}"/>
            <m:grow/>
          </m:dPr>
          <m:e>
            <m:r>
              <m:rPr>
                <m:nor/>
                <m:sty m:val="p"/>
              </m:rPr>
              <m:t>all channels</m:t>
            </m:r>
          </m:e>
        </m:d>
      </m:oMath>
      <w:r>
        <w:rPr/>
        <w:t xml:space="preserve"> </w:t>
      </w:r>
      <w:r>
        <w:rPr/>
        <w:t xml:space="preserve">and is reported as the base ablation. The detector occupies one point on each of four design axes: representation</w:t>
      </w:r>
      <w:r>
        <w:rPr/>
        <w:t xml:space="preserve"> </w:t>
      </w:r>
      <w:r>
        <w:rPr/>
        <w:t xml:space="preserve">(VaDE), density estimation (itself two decisions, community construction and surprise aggregation), scoring heads,</w:t>
      </w:r>
      <w:r>
        <w:rPr/>
        <w:t xml:space="preserve"> </w:t>
      </w:r>
      <w:r>
        <w:rPr/>
        <w:t xml:space="preserve">and calibration. Appendix A ablates the density-estimation axis.</w:t>
      </w:r>
    </w:p>
    <w:p>
      <w:pPr>
        <w:pStyle w:val="MDPI21heading1"/>
        <w:ind w:left="2608"/>
      </w:pPr>
      <w:r>
        <w:rPr/>
        <w:t xml:space="preserve">5  Experimental methodology</w:t>
      </w:r>
    </w:p>
    <w:p>
      <w:pPr>
        <w:pStyle w:val="MDPI22heading2"/>
        <w:ind w:left="2608"/>
      </w:pPr>
      <w:r>
        <w:rPr/>
        <w:t xml:space="preserve">5.1  Datasets</w:t>
      </w:r>
    </w:p>
    <w:p>
      <w:pPr>
        <w:pStyle w:val="MDPI32textnoindent"/>
        <w:ind w:left="2608"/>
      </w:pPr>
      <w:r>
        <w:rPr/>
        <w:t xml:space="preserve">We use three real CPS datasets and no synthetic data in the results tables.</w:t>
      </w:r>
      <w:r>
        <w:rPr/>
        <w:t xml:space="preserve"> </w:t>
      </w:r>
      <w:r>
        <w:rPr>
          <w:highlight w:val="yellow"/>
        </w:rPr>
        <w:t xml:space="preserve">All three are instrumented Industrial-IoT / industrial-control-system testbeds: networked sensors, actuators, and programmable logic controllers stream multivariate telemetry from a live physical process, and each carries real executed attacks, making them standard proxies for IIoT security-monitoring and condition-monitoring workloads.</w:t>
      </w:r>
    </w:p>
    <w:p>
      <w:pPr>
        <w:pStyle w:val="MDPI38bullet"/>
        <w:numPr>
          <w:ilvl w:val="0"/>
          <w:numId w:val="2"/>
        </w:numPr>
        <w:ind w:left="3328" w:hanging="360"/>
      </w:pPr>
      <w:r>
        <w:rPr>
          <w:b/>
          <w:bCs/>
        </w:rPr>
        <w:t xml:space="preserve">WADI</w:t>
      </w:r>
      <w:r>
        <w:rPr/>
        <w:t xml:space="preserve"> </w:t>
      </w:r>
      <w:r>
        <w:rPr/>
        <w:t xml:space="preserve">[</w:t>
      </w:r>
      <w:hyperlink w:anchor="r-wadi">
        <w:r>
          <w:rPr>
            <w:rStyle w:val="Hyperlink"/>
            <w:highlight w:val="yellow"/>
          </w:rPr>
          <w:t xml:space="preserve">50</w:t>
        </w:r>
      </w:hyperlink>
      <w:r>
        <w:rPr/>
        <w:t xml:space="preserve">], a water-distribution testbed</w:t>
      </w:r>
      <w:r>
        <w:rPr/>
        <w:t xml:space="preserve"> </w:t>
      </w:r>
      <w:r>
        <w:rPr>
          <w:highlight w:val="green"/>
        </w:rPr>
        <w:t xml:space="preserve">(the WADI.A1 April-2017 release)</w:t>
      </w:r>
      <w:r>
        <w:rPr/>
        <w:t xml:space="preserve">,</w:t>
      </w:r>
      <w:r>
        <w:rPr/>
        <w:t xml:space="preserve"> </w:t>
      </w:r>
      <w:r>
        <w:rPr>
          <w:highlight w:val="green"/>
        </w:rPr>
        <w:t xml:space="preserve">122 sensor/actuator</w:t>
      </w:r>
      <w:r>
        <w:rPr>
          <w:highlight w:val="green"/>
        </w:rPr>
        <w:t xml:space="preserve"> </w:t>
      </w:r>
      <w:r>
        <w:rPr>
          <w:highlight w:val="green"/>
        </w:rPr>
        <w:t xml:space="preserve">channels</w:t>
      </w:r>
      <w:r>
        <w:rPr/>
        <w:t xml:space="preserve">. Roughly a quarter of channels are near-constant in normal operation; these are attack</w:t>
      </w:r>
      <w:r>
        <w:rPr/>
        <w:t xml:space="preserve"> </w:t>
      </w:r>
      <w:r>
        <w:rPr>
          <w:i/>
          <w:iCs/>
        </w:rPr>
        <w:t xml:space="preserve">carriers</w:t>
      </w:r>
      <w:r>
        <w:rPr/>
        <w:t xml:space="preserve">,</w:t>
      </w:r>
      <w:r>
        <w:rPr/>
        <w:t xml:space="preserve"> </w:t>
      </w:r>
      <w:r>
        <w:rPr/>
        <w:t xml:space="preserve">not noise, and are kept.</w:t>
      </w:r>
      <w:r>
        <w:rPr/>
        <w:t xml:space="preserve"> </w:t>
      </w:r>
      <w:r>
        <w:rPr>
          <w:highlight w:val="green"/>
        </w:rPr>
        <w:t xml:space="preserve">One channel,</w:t>
      </w:r>
      <w:r>
        <w:rPr>
          <w:highlight w:val="green"/>
        </w:rPr>
        <w:t xml:space="preserve"> </w:t>
      </w:r>
      <w:r>
        <w:rPr>
          <w:rStyle w:val="VerbatimChar"/>
          <w:highlight w:val="green"/>
        </w:rPr>
        <w:t xml:space="preserve">2B_AIT_002_PV</w:t>
      </w:r>
      <w:r>
        <w:rPr>
          <w:highlight w:val="green"/>
        </w:rPr>
        <w:t xml:space="preserve">, is rescaled between the normal and attack</w:t>
      </w:r>
      <w:r>
        <w:rPr>
          <w:highlight w:val="green"/>
        </w:rPr>
        <w:t xml:space="preserve"> </w:t>
      </w:r>
      <w:r>
        <w:rPr>
          <w:highlight w:val="green"/>
        </w:rPr>
        <w:t xml:space="preserve">recordings (its train-normal mean 9.09 and standard deviation 0.16 shift to a test-normal mean of 4503, a</w:t>
      </w:r>
      <w:r>
        <w:rPr>
          <w:highlight w:val="green"/>
        </w:rPr>
        <w:t xml:space="preserve"> </w:t>
      </w:r>
      <w:r>
        <w:rPr>
          <w:highlight w:val="green"/>
        </w:rPr>
        <w:t xml:space="preserve">27,359σ break, unique among the dataset's 123 raw channels); it is dropped, and all WADI results use the remaining</w:t>
      </w:r>
      <w:r>
        <w:rPr>
          <w:highlight w:val="green"/>
        </w:rPr>
        <w:t xml:space="preserve"> </w:t>
      </w:r>
      <w:r>
        <w:rPr>
          <w:highlight w:val="green"/>
        </w:rPr>
        <w:t xml:space="preserve">122 channels.</w:t>
      </w:r>
      <w:r>
        <w:rPr/>
        <w:t xml:space="preserve"> </w:t>
      </w:r>
      <w:r>
        <w:rPr>
          <w:highlight w:val="green"/>
        </w:rPr>
        <w:t xml:space="preserve">Remaining standardized features are clipped to</w:t>
      </w:r>
      <w:r>
        <w:rPr>
          <w:highlight w:val="green"/>
        </w:rPr>
        <w:t xml:space="preserve"> </w:t>
      </w:r>
      <w:r>
        <w:rPr>
          <w:highlight w:val="green"/>
        </w:rPr>
        <w:t xml:space="preserve">±10σ to cap sensor glitches (for example a channel constant at zero in the 14-day normal record).</w:t>
      </w:r>
      <w:r>
        <w:rPr/>
        <w:t xml:space="preserve"> </w:t>
      </w:r>
      <w:r>
        <w:rPr/>
        <w:t xml:space="preserve">WADI is downsampled 10× on both streams, with the train and</w:t>
      </w:r>
      <w:r>
        <w:rPr/>
        <w:t xml:space="preserve"> </w:t>
      </w:r>
      <w:r>
        <w:rPr/>
        <w:t xml:space="preserve">test horizons matched.</w:t>
      </w:r>
    </w:p>
    <w:p>
      <w:pPr>
        <w:pStyle w:val="MDPI38bullet"/>
        <w:numPr>
          <w:ilvl w:val="0"/>
          <w:numId w:val="2"/>
        </w:numPr>
        <w:ind w:left="3328" w:hanging="360"/>
      </w:pPr>
      <w:r>
        <w:rPr>
          <w:b/>
          <w:bCs/>
        </w:rPr>
        <w:t xml:space="preserve">HAI</w:t>
      </w:r>
      <w:r>
        <w:rPr/>
        <w:t xml:space="preserve"> </w:t>
      </w:r>
      <w:r>
        <w:rPr/>
        <w:t xml:space="preserve">[</w:t>
      </w:r>
      <w:hyperlink w:anchor="r-hai">
        <w:r>
          <w:rPr>
            <w:rStyle w:val="Hyperlink"/>
            <w:highlight w:val="yellow"/>
          </w:rPr>
          <w:t xml:space="preserve">51</w:t>
        </w:r>
      </w:hyperlink>
      <w:r>
        <w:rPr/>
        <w:t xml:space="preserve">], a hardware-in-the-loop</w:t>
      </w:r>
      <w:r>
        <w:rPr/>
        <w:t xml:space="preserve"> </w:t>
      </w:r>
      <w:r>
        <w:rPr>
          <w:highlight w:val="green"/>
        </w:rPr>
        <w:t xml:space="preserve">(HIL, a real controller driving a simulated plant)</w:t>
      </w:r>
      <w:r>
        <w:rPr/>
        <w:t xml:space="preserve"> </w:t>
      </w:r>
      <w:r>
        <w:rPr/>
        <w:t xml:space="preserve">industrial control system</w:t>
      </w:r>
      <w:r>
        <w:rPr/>
        <w:t xml:space="preserve"> </w:t>
      </w:r>
      <w:r>
        <w:rPr/>
        <w:t xml:space="preserve">testbed (HAI 20.07), 59 channels, a multi-process plant. No clipping (its large excursions are real attack</w:t>
      </w:r>
      <w:r>
        <w:rPr/>
        <w:t xml:space="preserve"> </w:t>
      </w:r>
      <w:r>
        <w:rPr/>
        <w:t xml:space="preserve">signal).</w:t>
      </w:r>
    </w:p>
    <w:p>
      <w:pPr>
        <w:pStyle w:val="MDPI38bullet"/>
        <w:numPr>
          <w:ilvl w:val="0"/>
          <w:numId w:val="2"/>
        </w:numPr>
        <w:ind w:left="3328" w:hanging="360"/>
      </w:pPr>
      <w:r>
        <w:rPr>
          <w:b/>
          <w:bCs/>
        </w:rPr>
        <w:t xml:space="preserve">SWaT</w:t>
      </w:r>
      <w:r>
        <w:rPr/>
        <w:t xml:space="preserve"> </w:t>
      </w:r>
      <w:r>
        <w:rPr/>
        <w:t xml:space="preserve">[</w:t>
      </w:r>
      <w:hyperlink w:anchor="r-swat">
        <w:r>
          <w:rPr>
            <w:rStyle w:val="Hyperlink"/>
            <w:highlight w:val="yellow"/>
          </w:rPr>
          <w:t xml:space="preserve">52</w:t>
        </w:r>
      </w:hyperlink>
      <w:r>
        <w:rPr/>
        <w:t xml:space="preserve">], the Secure Water Treatment testbed from iTrust, a</w:t>
      </w:r>
      <w:r>
        <w:rPr/>
        <w:t xml:space="preserve"> </w:t>
      </w:r>
      <w:r>
        <w:rPr/>
        <w:t xml:space="preserve">51-channel six-stage water-treatment plant with real executed attacks. No clipping. SWaT is downsampled 10×</w:t>
      </w:r>
      <w:r>
        <w:rPr/>
        <w:t xml:space="preserve"> </w:t>
      </w:r>
      <w:r>
        <w:rPr/>
        <w:t xml:space="preserve">on both streams, with the train and test horizons matched.</w:t>
      </w:r>
      <w:r>
        <w:rPr/>
        <w:t xml:space="preserve"> </w:t>
      </w:r>
      <w:r>
        <w:rPr>
          <w:highlight w:val="green"/>
        </w:rPr>
        <w:t xml:space="preserve">We use the canonical iTrust release</w:t>
      </w:r>
      <w:r>
        <w:rPr>
          <w:highlight w:val="green"/>
        </w:rPr>
        <w:t xml:space="preserve"> </w:t>
      </w:r>
      <w:r>
        <w:rPr>
          <w:highlight w:val="green"/>
        </w:rPr>
        <w:t xml:space="preserve">(December 2015): the SWaT normal recording supplies train-normal, and the</w:t>
      </w:r>
      <w:r>
        <w:rPr>
          <w:highlight w:val="green"/>
        </w:rPr>
        <w:t xml:space="preserve"> </w:t>
      </w:r>
      <w:r>
        <w:rPr>
          <w:rStyle w:val="VerbatimChar"/>
          <w:highlight w:val="green"/>
        </w:rPr>
        <w:t xml:space="preserve">SWaT_Dataset_Attack_v0</w:t>
      </w:r>
      <w:r>
        <w:rPr>
          <w:highlight w:val="green"/>
        </w:rPr>
        <w:t xml:space="preserve"> </w:t>
      </w:r>
      <w:r>
        <w:rPr>
          <w:highlight w:val="green"/>
        </w:rPr>
        <w:t xml:space="preserve">attack</w:t>
      </w:r>
      <w:r>
        <w:rPr>
          <w:highlight w:val="green"/>
        </w:rPr>
        <w:t xml:space="preserve"> </w:t>
      </w:r>
      <w:r>
        <w:rPr>
          <w:highlight w:val="green"/>
        </w:rPr>
        <w:t xml:space="preserve">recording (449,919 one-second rows over 51 channels, 12.14% of timesteps labeled attack) supplies the test set,</w:t>
      </w:r>
      <w:r>
        <w:rPr>
          <w:highlight w:val="green"/>
        </w:rPr>
        <w:t xml:space="preserve"> </w:t>
      </w:r>
      <w:r>
        <w:rPr>
          <w:highlight w:val="green"/>
        </w:rPr>
        <w:t xml:space="preserve">whose normal periods interleave between attack episodes. All model fitting and calibration use train-normal only,</w:t>
      </w:r>
      <w:r>
        <w:rPr>
          <w:highlight w:val="green"/>
        </w:rPr>
        <w:t xml:space="preserve"> </w:t>
      </w:r>
      <w:r>
        <w:rPr>
          <w:highlight w:val="green"/>
        </w:rPr>
        <w:t xml:space="preserve">and USAD and TranAD are re-scored on this identical canonical stream.</w:t>
      </w:r>
    </w:p>
    <w:p>
      <w:pPr>
        <w:pStyle w:val="MDPI32textnoindent"/>
        <w:ind w:left="2608"/>
      </w:pPr>
      <w:r>
        <w:rPr/>
        <w:t xml:space="preserve">Temporal 10× downsampling of WADI and SWaT (both natively 1 Hz over many days) is standard practice on</w:t>
      </w:r>
      <w:r>
        <w:rPr/>
        <w:t xml:space="preserve"> </w:t>
      </w:r>
      <w:r>
        <w:rPr/>
        <w:t xml:space="preserve">these benchmarks: it matches the 10-second median protocol of GDN [</w:t>
      </w:r>
      <w:hyperlink w:anchor="r-gdn">
        <w:r>
          <w:rPr>
            <w:rStyle w:val="Hyperlink"/>
            <w:highlight w:val="yellow"/>
          </w:rPr>
          <w:t xml:space="preserve">38</w:t>
        </w:r>
      </w:hyperlink>
      <w:r>
        <w:rPr/>
        <w:t xml:space="preserve">] and lies within the</w:t>
      </w:r>
      <w:r>
        <w:rPr/>
        <w:t xml:space="preserve"> </w:t>
      </w:r>
      <w:r>
        <w:rPr/>
        <w:t xml:space="preserve">downsampling range USAD [</w:t>
      </w:r>
      <w:hyperlink w:anchor="r-usad">
        <w:r>
          <w:rPr>
            <w:rStyle w:val="Hyperlink"/>
            <w:highlight w:val="yellow"/>
          </w:rPr>
          <w:t xml:space="preserve">36</w:t>
        </w:r>
      </w:hyperlink>
      <w:r>
        <w:rPr/>
        <w:t xml:space="preserve">] reports as leaving detection performance largely unchanged. HAI is</w:t>
      </w:r>
      <w:r>
        <w:rPr/>
        <w:t xml:space="preserve"> </w:t>
      </w:r>
      <w:r>
        <w:rPr/>
        <w:t xml:space="preserve">used at native resolution.</w:t>
      </w:r>
    </w:p>
    <w:p>
      <w:pPr>
        <w:pStyle w:val="MDPI22heading2"/>
        <w:ind w:left="2608"/>
      </w:pPr>
      <w:r>
        <w:rPr/>
        <w:t xml:space="preserve">5.2  Windows and features</w:t>
      </w:r>
    </w:p>
    <w:p>
      <w:pPr>
        <w:pStyle w:val="MDPI32textnoindent"/>
        <w:ind w:left="2608"/>
      </w:pPr>
      <w:r>
        <w:rPr/>
        <w:t xml:space="preserve">Each raw channel is standardized to zero mean and unit variance using train-normal statistics only (A7). We</w:t>
      </w:r>
      <w:r>
        <w:rPr/>
        <w:t xml:space="preserve"> </w:t>
      </w:r>
      <w:r>
        <w:rPr/>
        <w:t xml:space="preserve">then slide a fixed window of length</w:t>
      </w:r>
      <w:r>
        <w:rPr/>
        <w:t xml:space="preserve"> </w:t>
      </w:r>
      <m:oMath>
        <m:r>
          <m:t>W</m:t>
        </m:r>
        <m:r>
          <m:rPr>
            <m:sty m:val="p"/>
          </m:rPr>
          <m:t>=</m:t>
        </m:r>
        <m:r>
          <m:t>60</m:t>
        </m:r>
      </m:oMath>
      <w:r>
        <w:rPr/>
        <w:t xml:space="preserve"> </w:t>
      </w:r>
      <w:r>
        <w:rPr/>
        <w:t xml:space="preserve">with stride 30 across the standardized stream. Each window is summarized by</w:t>
      </w:r>
      <w:r>
        <w:rPr/>
        <w:t xml:space="preserve"> </w:t>
      </w:r>
      <w:r>
        <w:rPr/>
        <w:t xml:space="preserve">six per-channel statistics: mean (level), standard deviation (variability), minimum, maximum, first-to-last</w:t>
      </w:r>
      <w:r>
        <w:rPr/>
        <w:t xml:space="preserve"> </w:t>
      </w:r>
      <w:r>
        <w:rPr/>
        <w:t xml:space="preserve">difference (net trend), and range, concatenated into one flat feature vector, so a</w:t>
      </w:r>
      <w:r>
        <w:rPr/>
        <w:t xml:space="preserve"> </w:t>
      </w:r>
      <m:oMath>
        <m:r>
          <m:t>C</m:t>
        </m:r>
      </m:oMath>
      <w:r>
        <w:rPr/>
        <w:t xml:space="preserve">-channel window becomes a</w:t>
      </w:r>
      <w:r>
        <w:rPr/>
        <w:t xml:space="preserve"> </w:t>
      </w:r>
      <m:oMath>
        <m:r>
          <m:t>6</m:t>
        </m:r>
        <m:r>
          <m:t>C</m:t>
        </m:r>
      </m:oMath>
      <w:r>
        <w:rPr/>
        <w:t xml:space="preserve">-dimensional</w:t>
      </w:r>
      <w:r>
        <w:rPr/>
        <w:t xml:space="preserve"> </w:t>
      </w:r>
      <w:r>
        <w:rPr/>
        <w:t xml:space="preserve">input. A window is labeled anomalous if more than 5% of its timesteps are attack timesteps. Model inputs are</w:t>
      </w:r>
      <w:r>
        <w:rPr/>
        <w:t xml:space="preserve"> </w:t>
      </w:r>
      <w:r>
        <w:rPr/>
        <w:t xml:space="preserve">additionally per-feature standardized on train-normal before the encoder. The window size and stride are unified</w:t>
      </w:r>
      <w:r>
        <w:rPr/>
        <w:t xml:space="preserve"> </w:t>
      </w:r>
      <w:r>
        <w:rPr/>
        <w:t xml:space="preserve">across all three datasets. The reported model uses these static per-channel features.</w:t>
      </w:r>
      <w:r>
        <w:rPr/>
        <w:t xml:space="preserve"> </w:t>
      </w:r>
      <w:r>
        <w:rPr>
          <w:highlight w:val="green"/>
        </w:rPr>
        <w:t xml:space="preserve">A controlled representation</w:t>
      </w:r>
      <w:r>
        <w:rPr>
          <w:highlight w:val="green"/>
        </w:rPr>
        <w:t xml:space="preserve"> </w:t>
      </w:r>
      <w:r>
        <w:rPr>
          <w:highlight w:val="green"/>
        </w:rPr>
        <w:t xml:space="preserve">check (Appendix A, Table A2) confirms the latent-density mechanism is what carries the result: swapping in a richer</w:t>
      </w:r>
      <w:r>
        <w:rPr>
          <w:highlight w:val="green"/>
        </w:rPr>
        <w:t xml:space="preserve"> </w:t>
      </w:r>
      <w:r>
        <w:rPr>
          <w:highlight w:val="green"/>
        </w:rPr>
        <w:t xml:space="preserve">ten-feature temporal/spectral representation changes the global-density score negligibly on WADI (−0.009) and modestly on</w:t>
      </w:r>
      <w:r>
        <w:rPr>
          <w:highlight w:val="green"/>
        </w:rPr>
        <w:t xml:space="preserve"> </w:t>
      </w:r>
      <w:r>
        <w:rPr>
          <w:highlight w:val="green"/>
        </w:rPr>
        <w:t xml:space="preserve">SWaT and HAI (+0.026, +0.072), so explicit multiscale temporal features motivated by A9 are a complementary lever, left</w:t>
      </w:r>
      <w:r>
        <w:rPr>
          <w:highlight w:val="green"/>
        </w:rPr>
        <w:t xml:space="preserve"> </w:t>
      </w:r>
      <w:r>
        <w:rPr>
          <w:highlight w:val="green"/>
        </w:rPr>
        <w:t xml:space="preserve">to future work (§7).</w:t>
      </w:r>
    </w:p>
    <w:p>
      <w:pPr>
        <w:pStyle w:val="MDPI31text"/>
        <w:ind w:left="2608"/>
      </w:pPr>
      <w:r>
        <w:rPr>
          <w:b/>
          <w:bCs/>
        </w:rPr>
        <w:t xml:space="preserve">Model configuration.</w:t>
      </w:r>
      <w:r>
        <w:rPr/>
        <w:t xml:space="preserve"> </w:t>
      </w:r>
      <w:r>
        <w:rPr/>
        <w:t xml:space="preserve">The VaDE uses</w:t>
      </w:r>
      <w:r>
        <w:rPr/>
        <w:t xml:space="preserve"> </w:t>
      </w:r>
      <m:oMath>
        <m:r>
          <m:t>K</m:t>
        </m:r>
      </m:oMath>
      <w:r>
        <w:rPr/>
        <w:t xml:space="preserve"> </w:t>
      </w:r>
      <w:r>
        <w:rPr/>
        <w:t xml:space="preserve">mixture components and latent dimension set per dataset (WADI 20 and 10, HAI 40</w:t>
      </w:r>
      <w:r>
        <w:rPr/>
        <w:t xml:space="preserve"> </w:t>
      </w:r>
      <w:r>
        <w:rPr/>
        <w:t xml:space="preserve">and 16, SWaT 40 and 16); the density head is a diagonal mixture of 80 components (capped at one tenth of the</w:t>
      </w:r>
      <w:r>
        <w:rPr/>
        <w:t xml:space="preserve"> </w:t>
      </w:r>
      <w:r>
        <w:rPr/>
        <w:t xml:space="preserve">train-window count), the residual head is reduced to 30 dimensions, and windows are length 60 with stride 30.</w:t>
      </w:r>
      <w:r>
        <w:rPr/>
        <w:t xml:space="preserve"> </w:t>
      </w:r>
      <w:r>
        <w:rPr/>
        <w:t xml:space="preserve">Correlation communities are agglomerative-clustering (average-linkage) subtrees of size 3 to 25 on the train-normal</w:t>
      </w:r>
      <w:r>
        <w:rPr/>
        <w:t xml:space="preserve"> </w:t>
      </w:r>
      <w:r>
        <w:rPr/>
        <w:t xml:space="preserve">channel-correlation graph, yielding</w:t>
      </w:r>
      <w:r>
        <w:rPr/>
        <w:t xml:space="preserve"> </w:t>
      </w:r>
      <w:r>
        <w:rPr>
          <w:highlight w:val="green"/>
        </w:rPr>
        <w:t xml:space="preserve">44, 28, and 25</w:t>
      </w:r>
      <w:r>
        <w:rPr/>
        <w:t xml:space="preserve"> </w:t>
      </w:r>
      <w:r>
        <w:rPr/>
        <w:t xml:space="preserve">communities on WADI, HAI, and SWaT. All settings are shared</w:t>
      </w:r>
      <w:r>
        <w:rPr/>
        <w:t xml:space="preserve"> </w:t>
      </w:r>
      <w:r>
        <w:rPr/>
        <w:t xml:space="preserve">across datasets except the per-dataset mixture size and latent dimension.</w:t>
      </w:r>
    </w:p>
    <w:p>
      <w:pPr>
        <w:pStyle w:val="MDPI22heading2"/>
        <w:ind w:left="2608"/>
      </w:pPr>
      <w:r>
        <w:rPr/>
        <w:t xml:space="preserve">5.3  Difficulty stratification</w:t>
      </w:r>
    </w:p>
    <w:p>
      <w:pPr>
        <w:pStyle w:val="MDPI32textnoindent"/>
        <w:ind w:left="2608"/>
      </w:pPr>
      <w:r>
        <w:rPr/>
        <w:t xml:space="preserve">A trivial detector scores each window by the maximum absolute standardized per-channel window mean,</w:t>
      </w:r>
      <w:r>
        <w:rPr/>
        <w:t xml:space="preserve"> </w:t>
      </w:r>
      <m:oMath>
        <m:limLow>
          <m:e>
            <m:r>
              <m:rPr>
                <m:sty m:val="p"/>
              </m:rPr>
              <m:t>max</m:t>
            </m:r>
          </m:e>
          <m:lim>
            <m:r>
              <m:t>c</m:t>
            </m:r>
            <m:r>
              <m:t>h</m:t>
            </m:r>
          </m:lim>
        </m:limLow>
        <m:r>
          <m:rPr>
            <m:sty m:val="p"/>
          </m:rPr>
          <m:t>∣</m:t>
        </m:r>
        <m:r>
          <m:t>u</m:t>
        </m:r>
        <m:r>
          <m:rPr>
            <m:sty m:val="p"/>
          </m:rPr>
          <m:t>∣</m:t>
        </m:r>
      </m:oMath>
      <w:r>
        <w:rPr/>
        <w:t xml:space="preserve"> </w:t>
      </w:r>
      <w:r>
        <w:rPr>
          <w:highlight w:val="green"/>
        </w:rPr>
        <w:t xml:space="preserve">(</w:t>
      </w:r>
      <w:r>
        <w:rPr>
          <w:i/>
          <w:iCs/>
          <w:highlight w:val="green"/>
        </w:rPr>
        <w:t xml:space="preserve">u</w:t>
      </w:r>
      <w:r>
        <w:rPr>
          <w:highlight w:val="green"/>
        </w:rPr>
        <w:t xml:space="preserve"> </w:t>
      </w:r>
      <w:r>
        <w:rPr>
          <w:highlight w:val="green"/>
        </w:rPr>
        <w:t xml:space="preserve">denotes the standardized per-channel window mean, distinct from the latent</w:t>
      </w:r>
      <w:r>
        <w:rPr>
          <w:highlight w:val="green"/>
        </w:rPr>
        <w:t xml:space="preserve"> </w:t>
      </w:r>
      <w:r>
        <w:rPr>
          <w:i/>
          <w:iCs/>
          <w:highlight w:val="green"/>
        </w:rPr>
        <w:t xml:space="preserve">z</w:t>
      </w:r>
      <w:r>
        <w:rPr>
          <w:highlight w:val="green"/>
        </w:rPr>
        <w:t xml:space="preserve"> </w:t>
      </w:r>
      <w:r>
        <w:rPr>
          <w:highlight w:val="green"/>
        </w:rPr>
        <w:t xml:space="preserve">of §4.3)</w:t>
      </w:r>
      <w:r>
        <w:rPr/>
        <w:t xml:space="preserve">, the simplest “is any channel out of its normal</w:t>
      </w:r>
      <w:r>
        <w:rPr/>
        <w:t xml:space="preserve"> </w:t>
      </w:r>
      <w:r>
        <w:rPr/>
        <w:t xml:space="preserve">range” rule. An anomaly window is labeled</w:t>
      </w:r>
      <w:r>
        <w:rPr/>
        <w:t xml:space="preserve"> </w:t>
      </w:r>
      <w:r>
        <w:rPr>
          <w:b/>
          <w:bCs/>
        </w:rPr>
        <w:t xml:space="preserve">easy</w:t>
      </w:r>
      <w:r>
        <w:rPr/>
        <w:t xml:space="preserve"> </w:t>
      </w:r>
      <w:r>
        <w:rPr/>
        <w:t xml:space="preserve">if this trivial score exceeds the 99th</w:t>
      </w:r>
      <w:r>
        <w:rPr/>
        <w:t xml:space="preserve"> </w:t>
      </w:r>
      <w:r>
        <w:rPr/>
        <w:t xml:space="preserve">percentile of train-normal, and</w:t>
      </w:r>
      <w:r>
        <w:rPr/>
        <w:t xml:space="preserve"> </w:t>
      </w:r>
      <w:r>
        <w:rPr>
          <w:b/>
          <w:bCs/>
        </w:rPr>
        <w:t xml:space="preserve">difficult</w:t>
      </w:r>
      <w:r>
        <w:rPr/>
        <w:t xml:space="preserve"> </w:t>
      </w:r>
      <w:r>
        <w:rPr/>
        <w:t xml:space="preserve">otherwise. Difficult windows are those this max-mean</w:t>
      </w:r>
      <w:r>
        <w:rPr/>
        <w:t xml:space="preserve"> </w:t>
      </w:r>
      <w:r>
        <w:rPr/>
        <w:t xml:space="preserve">rule does not separate; §6 confirms the HAI advantage persists under a stronger split that also removes</w:t>
      </w:r>
      <w:r>
        <w:rPr/>
        <w:t xml:space="preserve"> </w:t>
      </w:r>
      <w:r>
        <w:rPr/>
        <w:t xml:space="preserve">windows flagged by any of the six per-channel statistics, so difficulty is not defined by a single hand-picked</w:t>
      </w:r>
      <w:r>
        <w:rPr/>
        <w:t xml:space="preserve"> </w:t>
      </w:r>
      <w:r>
        <w:rPr/>
        <w:t xml:space="preserve">statistic. We report all methods on three subsets:</w:t>
      </w:r>
      <w:r>
        <w:rPr/>
        <w:t xml:space="preserve"> </w:t>
      </w:r>
      <w:r>
        <w:rPr>
          <w:b/>
          <w:bCs/>
        </w:rPr>
        <w:t xml:space="preserve">Easy</w:t>
      </w:r>
      <w:r>
        <w:rPr/>
        <w:t xml:space="preserve">,</w:t>
      </w:r>
      <w:r>
        <w:rPr/>
        <w:t xml:space="preserve"> </w:t>
      </w:r>
      <w:r>
        <w:rPr>
          <w:b/>
          <w:bCs/>
        </w:rPr>
        <w:t xml:space="preserve">Difficult</w:t>
      </w:r>
      <w:r>
        <w:rPr/>
        <w:t xml:space="preserve">, and</w:t>
      </w:r>
      <w:r>
        <w:rPr/>
        <w:t xml:space="preserve"> </w:t>
      </w:r>
      <w:r>
        <w:rPr>
          <w:b/>
          <w:bCs/>
        </w:rPr>
        <w:t xml:space="preserve">All</w:t>
      </w:r>
      <w:r>
        <w:rPr/>
        <w:t xml:space="preserve">. In every subset the positive class is</w:t>
      </w:r>
      <w:r>
        <w:rPr/>
        <w:t xml:space="preserve"> </w:t>
      </w:r>
      <w:r>
        <w:rPr/>
        <w:t xml:space="preserve">that subset’s anomaly windows and the negative class is the full set of normal windows, so the subsets differ</w:t>
      </w:r>
      <w:r>
        <w:rPr/>
        <w:t xml:space="preserve"> </w:t>
      </w:r>
      <w:r>
        <w:rPr/>
        <w:t xml:space="preserve">only in which anomalies they include. The difficult column is the discriminative one.</w:t>
      </w:r>
    </w:p>
    <w:p>
      <w:pPr>
        <w:pStyle w:val="MDPI22heading2"/>
        <w:ind w:left="2608"/>
      </w:pPr>
      <w:r>
        <w:rPr/>
        <w:t xml:space="preserve">5.4  Comparable metrics</w:t>
      </w:r>
    </w:p>
    <w:p>
      <w:pPr>
        <w:pStyle w:val="MDPI32textnoindent"/>
        <w:ind w:left="2608"/>
      </w:pPr>
      <w:r>
        <w:rPr/>
        <w:t xml:space="preserve">We report two raw, point-wise metrics (each scored window is one evaluation point, with no point adjustment) and are explicit about their comparability across subsets.</w:t>
      </w:r>
    </w:p>
    <w:p>
      <w:pPr>
        <w:pStyle w:val="MDPI38bullet"/>
        <w:numPr>
          <w:ilvl w:val="0"/>
          <w:numId w:val="2"/>
        </w:numPr>
        <w:ind w:left="3328" w:hanging="360"/>
      </w:pPr>
      <w:r>
        <w:rPr>
          <w:b/>
          <w:bCs/>
        </w:rPr>
        <w:t xml:space="preserve">AUROC</w:t>
      </w:r>
      <w:r>
        <w:rPr/>
        <w:t xml:space="preserve"> </w:t>
      </w:r>
      <w:r>
        <w:rPr/>
        <w:t xml:space="preserve">(the probability that a randomly chosen anomaly window outranks a randomly chosen normal</w:t>
      </w:r>
      <w:r>
        <w:rPr/>
        <w:t xml:space="preserve"> </w:t>
      </w:r>
      <w:r>
        <w:rPr/>
        <w:t xml:space="preserve">window, 0.5 being chance) is prevalence-independent, hence directly comparable across Easy/Difficult/All, and</w:t>
      </w:r>
      <w:r>
        <w:rPr/>
        <w:t xml:space="preserve"> </w:t>
      </w:r>
      <w:r>
        <w:rPr/>
        <w:t xml:space="preserve">requires no threshold. It is our primary cross-subset metric, reported as a five-seed mean for the learned</w:t>
      </w:r>
      <w:r>
        <w:rPr/>
        <w:t xml:space="preserve"> </w:t>
      </w:r>
      <w:r>
        <w:rPr/>
        <w:t xml:space="preserve">detectors.</w:t>
      </w:r>
    </w:p>
    <w:p>
      <w:pPr>
        <w:pStyle w:val="MDPI38bullet"/>
        <w:numPr>
          <w:ilvl w:val="0"/>
          <w:numId w:val="2"/>
        </w:numPr>
        <w:ind w:left="3328" w:hanging="360"/>
      </w:pPr>
      <w:r>
        <w:rPr>
          <w:b/>
          <w:bCs/>
        </w:rPr>
        <w:t xml:space="preserve">F1</w:t>
      </w:r>
      <w:r>
        <w:rPr/>
        <w:t xml:space="preserve"> </w:t>
      </w:r>
      <w:r>
        <w:rPr/>
        <w:t xml:space="preserve">is the best raw point-wise F1 over score thresholds (an oracle, field-standard threshold,</w:t>
      </w:r>
      <w:r>
        <w:rPr/>
        <w:t xml:space="preserve"> </w:t>
      </w:r>
      <w:r>
        <w:rPr/>
        <w:t xml:space="preserve">disclosed plainly), computed per seed and averaged over the five seeds for the learned detectors. Because the subsets differ in positive count it is not directly comparable across them and</w:t>
      </w:r>
      <w:r>
        <w:rPr/>
        <w:t xml:space="preserve"> </w:t>
      </w:r>
      <w:r>
        <w:rPr/>
        <w:t xml:space="preserve">serves as a secondary, within-subset figure.</w:t>
      </w:r>
    </w:p>
    <w:p>
      <w:pPr>
        <w:pStyle w:val="MDPI32textnoindent"/>
        <w:ind w:left="2608"/>
      </w:pPr>
      <w:r>
        <w:rPr/>
        <w:t xml:space="preserve">All model fitting and all calibration (density head, nearest-component reference, residual precisions and</w:t>
      </w:r>
      <w:r>
        <w:rPr/>
        <w:t xml:space="preserve"> </w:t>
      </w:r>
      <w:r>
        <w:rPr/>
        <w:t xml:space="preserve">gate, and every</w:t>
      </w:r>
      <w:r>
        <w:rPr/>
        <w:t xml:space="preserve"> </w:t>
      </w:r>
      <w:r>
        <w:rPr>
          <w:highlight w:val="green"/>
        </w:rPr>
        <w:t xml:space="preserve">head standardization</w:t>
      </w:r>
      <w:r>
        <w:rPr/>
        <w:t xml:space="preserve">) use train-normal data only. Test data never enters</w:t>
      </w:r>
      <w:r>
        <w:rPr/>
        <w:t xml:space="preserve"> </w:t>
      </w:r>
      <w:r>
        <w:rPr/>
        <w:t xml:space="preserve">training or calibration. AUROC is leak-free; only the F1 threshold uses the test-swept oracle, which we</w:t>
      </w:r>
      <w:r>
        <w:rPr/>
        <w:t xml:space="preserve"> </w:t>
      </w:r>
      <w:r>
        <w:rPr/>
        <w:t xml:space="preserve">flag.</w:t>
      </w:r>
    </w:p>
    <w:p>
      <w:pPr>
        <w:pStyle w:val="MDPI31text"/>
        <w:ind w:left="2608"/>
      </w:pPr>
      <w:r>
        <w:rPr>
          <w:b/>
          <w:bCs/>
          <w:highlight w:val="green"/>
        </w:rPr>
        <w:t xml:space="preserve">Significance testing.</w:t>
      </w:r>
      <w:r>
        <w:rPr>
          <w:highlight w:val="green"/>
        </w:rPr>
        <w:t xml:space="preserve"> </w:t>
      </w:r>
      <w:r>
        <w:rPr>
          <w:highlight w:val="green"/>
        </w:rPr>
        <w:t xml:space="preserve">Where a difficult-subset margin is called significant, we test the paired</w:t>
      </w:r>
      <w:r>
        <w:rPr>
          <w:highlight w:val="green"/>
        </w:rPr>
        <w:t xml:space="preserve"> </w:t>
      </w:r>
      <w:r>
        <w:rPr>
          <w:highlight w:val="green"/>
        </w:rPr>
        <w:t xml:space="preserve">difference in seed-averaged difficult-subset AUROC between LatAD and the strongest competing baseline with a bootstrap</w:t>
      </w:r>
      <w:r>
        <w:rPr>
          <w:highlight w:val="green"/>
        </w:rPr>
        <w:t xml:space="preserve"> </w:t>
      </w:r>
      <w:r>
        <w:rPr>
          <w:highlight w:val="green"/>
        </w:rPr>
        <w:t xml:space="preserve">that respects the serial dependence of the data. Normal windows are resampled by a moving-block bootstrap with block</w:t>
      </w:r>
      <w:r>
        <w:rPr>
          <w:highlight w:val="green"/>
        </w:rPr>
        <w:t xml:space="preserve"> </w:t>
      </w:r>
      <w:r>
        <w:rPr>
          <w:highlight w:val="green"/>
        </w:rPr>
        <w:t xml:space="preserve">length</w:t>
      </w:r>
      <w:r>
        <w:rPr>
          <w:highlight w:val="green"/>
        </w:rPr>
        <w:t xml:space="preserve"> </w:t>
      </w:r>
      <m:oMath>
        <m:d>
          <m:dPr>
            <m:begChr m:val="⌈"/>
            <m:sepChr m:val=""/>
            <m:endChr m:val="⌉"/>
            <m:grow/>
          </m:dPr>
          <m:e>
            <m:r>
              <m:t>W</m:t>
            </m:r>
            <m:r>
              <m:rPr>
                <m:sty m:val="p"/>
              </m:rPr>
              <m:t>/</m:t>
            </m:r>
            <m:r>
              <m:rPr>
                <m:nor/>
                <m:sty m:val="p"/>
              </m:rPr>
              <m:t>stride</m:t>
            </m:r>
          </m:e>
        </m:d>
        <m:r>
          <m:rPr>
            <m:sty m:val="p"/>
          </m:rPr>
          <m:t>+</m:t>
        </m:r>
        <m:r>
          <m:t>1</m:t>
        </m:r>
      </m:oMath>
      <w:r>
        <w:rPr>
          <w:highlight w:val="green"/>
        </w:rPr>
        <w:t xml:space="preserve"> </w:t>
      </w:r>
      <w:r>
        <w:rPr>
          <w:highlight w:val="green"/>
        </w:rPr>
        <w:t xml:space="preserve">windows (3 on WADI, 4 on HAI and SWaT), so overlapping windows are resampled as blocks; anomalous windows are resampled</w:t>
      </w:r>
      <w:r>
        <w:rPr>
          <w:highlight w:val="green"/>
        </w:rPr>
        <w:t xml:space="preserve"> </w:t>
      </w:r>
      <w:r>
        <w:rPr>
          <w:highlight w:val="green"/>
        </w:rPr>
        <w:t xml:space="preserve">by an episode-level bootstrap that draws whole attack episodes with replacement and contributes their difficult windows,</w:t>
      </w:r>
      <w:r>
        <w:rPr>
          <w:highlight w:val="green"/>
        </w:rPr>
        <w:t xml:space="preserve"> </w:t>
      </w:r>
      <w:r>
        <w:rPr>
          <w:highlight w:val="green"/>
        </w:rPr>
        <w:t xml:space="preserve">preserving within-attack dependence. From 2000 resamples we report the 95% confidence interval of the</w:t>
      </w:r>
      <w:r>
        <w:rPr>
          <w:highlight w:val="green"/>
        </w:rPr>
        <w:t xml:space="preserve"> </w:t>
      </w:r>
      <w:r>
        <w:rPr>
          <w:highlight w:val="green"/>
        </w:rPr>
        <w:t xml:space="preserve">paired difference by the percentile method (the 2.5th and 97.5th quantiles) and a one-sided</w:t>
      </w:r>
      <w:r>
        <w:rPr>
          <w:highlight w:val="green"/>
        </w:rPr>
        <w:t xml:space="preserve"> </w:t>
      </w:r>
      <w:r>
        <w:rPr>
          <w:i/>
          <w:iCs/>
          <w:highlight w:val="green"/>
        </w:rPr>
        <w:t xml:space="preserve">p</w:t>
      </w:r>
      <w:r>
        <w:rPr>
          <w:highlight w:val="green"/>
        </w:rPr>
        <w:t xml:space="preserve">-value as the</w:t>
      </w:r>
      <w:r>
        <w:rPr>
          <w:highlight w:val="green"/>
        </w:rPr>
        <w:t xml:space="preserve"> </w:t>
      </w:r>
      <w:r>
        <w:rPr>
          <w:highlight w:val="green"/>
        </w:rPr>
        <w:t xml:space="preserve">fraction of resamples in which the difference is at most zero.</w:t>
      </w:r>
    </w:p>
    <w:p>
      <w:pPr>
        <w:pStyle w:val="MDPI22heading2"/>
        <w:ind w:left="2608"/>
      </w:pPr>
      <w:r>
        <w:rPr/>
        <w:t xml:space="preserve">5.5  Baselines and SOTA re-computation</w:t>
      </w:r>
    </w:p>
    <w:p>
      <w:pPr>
        <w:pStyle w:val="MDPI32textnoindent"/>
        <w:ind w:left="2608"/>
      </w:pPr>
      <w:r>
        <w:rPr/>
        <w:t xml:space="preserve">Classical baselines are Isolation Forest [</w:t>
      </w:r>
      <w:hyperlink w:anchor="r-if">
        <w:r>
          <w:rPr>
            <w:rStyle w:val="Hyperlink"/>
            <w:highlight w:val="yellow"/>
          </w:rPr>
          <w:t xml:space="preserve">34</w:t>
        </w:r>
      </w:hyperlink>
      <w:r>
        <w:rPr/>
        <w:t xml:space="preserve">] and a deep autoencoder, both on the same</w:t>
      </w:r>
      <w:r>
        <w:rPr/>
        <w:t xml:space="preserve"> </w:t>
      </w:r>
      <w:r>
        <w:rPr/>
        <w:t xml:space="preserve">window features, together with a linear cross-channel baseline (LinRes): a leave-one-channel-out linear regression</w:t>
      </w:r>
      <w:r>
        <w:rPr/>
        <w:t xml:space="preserve"> </w:t>
      </w:r>
      <w:r>
        <w:rPr/>
        <w:t xml:space="preserve">that predicts each channel's window summary from the others, with discrete actuator channels one-hot encoded,</w:t>
      </w:r>
      <w:r>
        <w:rPr/>
        <w:t xml:space="preserve"> </w:t>
      </w:r>
      <w:r>
        <w:rPr/>
        <w:t xml:space="preserve">scored by its residual. For modern SOTA we re-run USAD [</w:t>
      </w:r>
      <w:hyperlink w:anchor="r-usad">
        <w:r>
          <w:rPr>
            <w:rStyle w:val="Hyperlink"/>
            <w:highlight w:val="yellow"/>
          </w:rPr>
          <w:t xml:space="preserve">36</w:t>
        </w:r>
      </w:hyperlink>
      <w:r>
        <w:rPr/>
        <w:t xml:space="preserve">] and TranAD</w:t>
      </w:r>
      <w:r>
        <w:rPr/>
        <w:t xml:space="preserve"> </w:t>
      </w:r>
      <w:r>
        <w:rPr/>
        <w:t xml:space="preserve">[</w:t>
      </w:r>
      <w:hyperlink w:anchor="r-tranad">
        <w:r>
          <w:rPr>
            <w:rStyle w:val="Hyperlink"/>
            <w:highlight w:val="yellow"/>
          </w:rPr>
          <w:t xml:space="preserve">37</w:t>
        </w:r>
      </w:hyperlink>
      <w:r>
        <w:rPr/>
        <w:t xml:space="preserve">] through the TranAD evaluation harness over five seeds and score them with the</w:t>
      </w:r>
      <w:r>
        <w:rPr/>
        <w:t xml:space="preserve"> </w:t>
      </w:r>
      <w:r>
        <w:rPr>
          <w:i/>
          <w:iCs/>
        </w:rPr>
        <w:t xml:space="preserve">same raw point-wise metrics</w:t>
      </w:r>
      <w:r>
        <w:rPr/>
        <w:t xml:space="preserve">, aggregating their per-timestep scores onto our window grid. For HAI, the SOTA</w:t>
      </w:r>
      <w:r>
        <w:rPr/>
        <w:t xml:space="preserve"> </w:t>
      </w:r>
      <w:r>
        <w:rPr/>
        <w:t xml:space="preserve">harness produces scores at a downsampled rate, so we map them to our full-resolution window grid by an integer-ratio</w:t>
      </w:r>
      <w:r>
        <w:rPr/>
        <w:t xml:space="preserve"> </w:t>
      </w:r>
      <w:r>
        <w:rPr/>
        <w:t xml:space="preserve">correction; our detector and all local baselines use HAI at native resolution.</w:t>
      </w:r>
      <w:r>
        <w:rPr/>
        <w:t xml:space="preserve"> </w:t>
      </w:r>
      <w:r>
        <w:rPr>
          <w:highlight w:val="green"/>
        </w:rPr>
        <w:t xml:space="preserve">We also benchmark the graph-based GDN [</w:t>
      </w:r>
      <w:hyperlink w:anchor="r-gdn">
        <w:r>
          <w:rPr>
            <w:rStyle w:val="Hyperlink"/>
            <w:highlight w:val="green"/>
          </w:rPr>
          <w:t xml:space="preserve">38</w:t>
        </w:r>
      </w:hyperlink>
      <w:r>
        <w:rPr>
          <w:highlight w:val="green"/>
        </w:rPr>
        <w:t xml:space="preserve">]</w:t>
      </w:r>
      <w:r>
        <w:rPr>
          <w:highlight w:val="green"/>
        </w:rPr>
        <w:t xml:space="preserve"> </w:t>
      </w:r>
      <w:r>
        <w:rPr>
          <w:highlight w:val="green"/>
        </w:rPr>
        <w:t xml:space="preserve">under the identical protocol: its per-timestep anomaly scores are re-aggregated onto our window grid and difficulty</w:t>
      </w:r>
      <w:r>
        <w:rPr>
          <w:highlight w:val="green"/>
        </w:rPr>
        <w:t xml:space="preserve"> </w:t>
      </w:r>
      <w:r>
        <w:rPr>
          <w:highlight w:val="green"/>
        </w:rPr>
        <w:t xml:space="preserve">subsets exactly as the deep detectors are, giving a single-seed, construct-matched GDN figure on all three datasets</w:t>
      </w:r>
      <w:r>
        <w:rPr>
          <w:highlight w:val="green"/>
        </w:rPr>
        <w:t xml:space="preserve"> </w:t>
      </w:r>
      <w:r>
        <w:rPr>
          <w:highlight w:val="green"/>
        </w:rPr>
        <w:t xml:space="preserve">(Table 3), scored by AUROC only.</w:t>
      </w:r>
      <w:r>
        <w:rPr/>
        <w:t xml:space="preserve"> </w:t>
      </w:r>
      <w:r>
        <w:rPr/>
        <w:t xml:space="preserve">We do</w:t>
      </w:r>
      <w:r>
        <w:rPr/>
        <w:t xml:space="preserve"> </w:t>
      </w:r>
      <w:r>
        <w:rPr>
          <w:i/>
          <w:iCs/>
        </w:rPr>
        <w:t xml:space="preserve">not</w:t>
      </w:r>
      <w:r>
        <w:rPr/>
        <w:t xml:space="preserve"> </w:t>
      </w:r>
      <w:r>
        <w:rPr/>
        <w:t xml:space="preserve">apply point adjustment to any method. This is deliberate: point adjustment inflates F1 so</w:t>
      </w:r>
      <w:r>
        <w:rPr/>
        <w:t xml:space="preserve"> </w:t>
      </w:r>
      <w:r>
        <w:rPr/>
        <w:t xml:space="preserve">severely that a random score outscores every deep model (§2), so a fair comparison must use raw metrics for</w:t>
      </w:r>
      <w:r>
        <w:rPr/>
        <w:t xml:space="preserve"> </w:t>
      </w:r>
      <w:r>
        <w:rPr/>
        <w:t xml:space="preserve">all methods, including the published SOTA. We also report a diagnostic</w:t>
      </w:r>
      <w:r>
        <w:rPr/>
        <w:t xml:space="preserve"> </w:t>
      </w:r>
      <w:r>
        <w:rPr>
          <w:i/>
          <w:iCs/>
        </w:rPr>
        <w:t xml:space="preserve">trivial</w:t>
      </w:r>
      <w:r>
        <w:rPr/>
        <w:t xml:space="preserve"> </w:t>
      </w:r>
      <w:r>
        <w:rPr/>
        <w:t xml:space="preserve">baseline, the</w:t>
      </w:r>
      <w:r>
        <w:rPr/>
        <w:t xml:space="preserve"> </w:t>
      </w:r>
      <w:r>
        <w:rPr/>
        <w:t xml:space="preserve">maximum absolute standardized per-channel window mean, the same score that defines the difficulty split (§5.3),</w:t>
      </w:r>
      <w:r>
        <w:rPr/>
        <w:t xml:space="preserve"> </w:t>
      </w:r>
      <w:r>
        <w:rPr/>
        <w:t xml:space="preserve">whose behavior by construction is strong on Easy and near chance on Difficult.</w:t>
      </w:r>
    </w:p>
    <w:p>
      <w:pPr>
        <w:pStyle w:val="MDPI21heading1"/>
        <w:ind w:left="2608"/>
      </w:pPr>
      <w:r>
        <w:rPr/>
        <w:t xml:space="preserve">6  Results</w:t>
      </w:r>
    </w:p>
    <w:p>
      <w:pPr>
        <w:pStyle w:val="MDPI32textnoindent"/>
        <w:ind w:left="2608"/>
      </w:pPr>
      <w:r>
        <w:rPr/>
        <w:t xml:space="preserve">Table 3 reports AUROC and best raw point-wise F1 for every method on the three datasets and the three</w:t>
      </w:r>
      <w:r>
        <w:rPr/>
        <w:t xml:space="preserve"> </w:t>
      </w:r>
      <w:r>
        <w:rPr/>
        <w:t xml:space="preserve">subsets. The headline model is</w:t>
      </w:r>
      <w:r>
        <w:rPr/>
        <w:t xml:space="preserve"> </w:t>
      </w:r>
      <w:r>
        <w:rPr>
          <w:b/>
          <w:bCs/>
        </w:rPr>
        <w:t xml:space="preserve">LatAD (regime-community)</w:t>
      </w:r>
      <w:r>
        <w:rPr/>
        <w:t xml:space="preserve"> </w:t>
      </w:r>
      <w:r>
        <w:rPr/>
        <w:t xml:space="preserve">(§4.4). Bold marks the best AUROC within a</w:t>
      </w:r>
      <w:r>
        <w:rPr/>
        <w:t xml:space="preserve"> </w:t>
      </w:r>
      <w:r>
        <w:rPr/>
        <w:t xml:space="preserve">column across all methods; AUROC for the learned detectors is reported as mean±standard deviation over</w:t>
      </w:r>
      <w:r>
        <w:rPr/>
        <w:t xml:space="preserve"> </w:t>
      </w:r>
      <w:r>
        <w:rPr/>
        <w:t xml:space="preserve">five seeds.</w:t>
      </w:r>
    </w:p>
    <w:p>
      <w:pPr>
        <w:pStyle w:val="MDPI41tablecaption"/>
        <w:ind w:left="2608"/>
      </w:pPr>
      <w:r>
        <w:rPr>
          <w:b/>
          <w:bCs/>
        </w:rPr>
        <w:t xml:space="preserve">Table 3.</w:t>
      </w:r>
      <w:r>
        <w:rPr/>
        <w:t xml:space="preserve"> </w:t>
      </w:r>
      <w:r>
        <w:rPr/>
        <w:t xml:space="preserve">Per-dataset, per-subset results [AUROC, F1] on three real CPS attack benchmarks</w:t>
      </w:r>
      <w:r>
        <w:rPr/>
        <w:t xml:space="preserve"> </w:t>
      </w:r>
      <w:r>
        <w:rPr/>
        <w:t xml:space="preserve">(higher is better; AUROC is leak-free, F1 is the best raw point-wise F1 over thresholds). Learned detectors report</w:t>
      </w:r>
      <w:r>
        <w:rPr/>
        <w:t xml:space="preserve"> </w:t>
      </w:r>
      <w:r>
        <w:rPr/>
        <w:t xml:space="preserve">AUROC as mean±standard deviation over five seeds (the standard deviation is omitted where it rounds to</w:t>
      </w:r>
      <w:r>
        <w:rPr/>
        <w:t xml:space="preserve"> </w:t>
      </w:r>
      <w:r>
        <w:rPr/>
        <w:t xml:space="preserve">0.000).</w:t>
      </w:r>
      <w:r>
        <w:rPr/>
        <w:t xml:space="preserve"> </w:t>
      </w:r>
      <w:r>
        <w:rPr/>
        <w:t xml:space="preserve"> </w:t>
      </w:r>
      <w:r>
        <w:rPr>
          <w:highlight w:val="green"/>
        </w:rPr>
        <w:t xml:space="preserve"> GDN is included as a construct-matched, single-seed SOTA baseline: its per-timestep scores are re-aggregated onto the same window grid and difficulty subsets as every other method (§5.5), and are scored by AUROC only (F1 not computed; shown as “–”). </w:t>
      </w:r>
      <w:r>
        <w:rPr/>
        <w:t xml:space="preserve"> </w:t>
      </w:r>
      <w:r>
        <w:rPr/>
        <w:t xml:space="preserve"> </w:t>
      </w:r>
      <w:r>
        <w:rPr/>
        <w:t xml:space="preserve">Bold marks the best AUROC in each dataset×subset column</w:t>
      </w:r>
      <w:r>
        <w:rPr/>
        <w:t xml:space="preserve"> </w:t>
      </w:r>
      <w:r>
        <w:rPr/>
        <w:t xml:space="preserve">(ties bolded jointly).</w:t>
      </w:r>
      <w:r>
        <w:rPr/>
        <w:t xml:space="preserve"> </w:t>
      </w:r>
      <w:r>
        <w:rPr>
          <w:b/>
          <w:bCs/>
        </w:rPr>
        <w:t xml:space="preserve">LatAD (regime-community)</w:t>
      </w:r>
      <w:r>
        <w:rPr/>
        <w:t xml:space="preserve"> </w:t>
      </w:r>
      <w:r>
        <w:rPr/>
        <w:t xml:space="preserve">is the headline detector (§4.4);</w:t>
      </w:r>
      <w:r>
        <w:rPr/>
        <w:t xml:space="preserve"> </w:t>
      </w:r>
      <w:r>
        <w:rPr>
          <w:b/>
          <w:bCs/>
        </w:rPr>
        <w:t xml:space="preserve">LatAD (global density)</w:t>
      </w:r>
      <w:r>
        <w:rPr/>
        <w:t xml:space="preserve"> </w:t>
      </w:r>
      <w:r>
        <w:rPr/>
        <w:t xml:space="preserve">is its single-latent base ablation. Baselines are defined in §5.5.</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073"/>
        <w:gridCol w:w="919"/>
        <w:gridCol w:w="1035"/>
        <w:gridCol w:w="919"/>
        <w:gridCol w:w="1035"/>
        <w:gridCol w:w="919"/>
        <w:gridCol w:w="1035"/>
        <w:gridCol w:w="923"/>
      </w:tblGrid>
      <w:tr>
        <w:trPr>
          <w:tblHeader w:val="on"/>
        </w:trPr>
        <w:tc>
          <w:tcPr>
            <w:vMerge w:val="restart"/>
            <w:vAlign w:val="center"/>
          </w:tcPr>
          <w:p>
            <w:pPr>
              <w:pStyle w:val="Compact"/>
              <w:suppressAutoHyphens/>
              <w:jc w:val="center"/>
            </w:pPr>
            <w:r>
              <w:rPr>
                <w:b/>
                <w:sz w:val="17"/>
                <w:szCs w:val="17"/>
              </w:rPr>
              <w:t xml:space="preserve">Method</w:t>
            </w:r>
          </w:p>
        </w:tc>
        <w:tc>
          <w:tcPr>
            <w:vMerge w:val="restart"/>
            <w:vAlign w:val="center"/>
          </w:tcPr>
          <w:p>
            <w:pPr>
              <w:pStyle w:val="Compact"/>
              <w:suppressAutoHyphens/>
              <w:jc w:val="center"/>
            </w:pPr>
            <w:r>
              <w:rPr>
                <w:b/>
                <w:sz w:val="17"/>
                <w:szCs w:val="17"/>
              </w:rPr>
              <w:t xml:space="preserve">Group</w:t>
            </w:r>
          </w:p>
        </w:tc>
        <w:tc>
          <w:tcPr>
            <w:gridSpan w:val="2"/>
            <w:vAlign w:val="center"/>
          </w:tcPr>
          <w:p>
            <w:pPr>
              <w:pStyle w:val="Compact"/>
              <w:suppressAutoHyphens/>
              <w:jc w:val="center"/>
            </w:pPr>
            <w:r>
              <w:rPr>
                <w:b/>
                <w:sz w:val="17"/>
                <w:szCs w:val="17"/>
              </w:rPr>
              <w:t xml:space="preserve">All</w:t>
            </w:r>
          </w:p>
        </w:tc>
        <w:tc>
          <w:tcPr>
            <w:gridSpan w:val="2"/>
            <w:vAlign w:val="center"/>
          </w:tcPr>
          <w:p>
            <w:pPr>
              <w:pStyle w:val="Compact"/>
              <w:suppressAutoHyphens/>
              <w:jc w:val="center"/>
            </w:pPr>
            <w:r>
              <w:rPr>
                <w:b/>
                <w:sz w:val="17"/>
                <w:szCs w:val="17"/>
              </w:rPr>
              <w:t xml:space="preserve">Easy</w:t>
            </w:r>
          </w:p>
        </w:tc>
        <w:tc>
          <w:tcPr>
            <w:gridSpan w:val="2"/>
            <w:vAlign w:val="center"/>
          </w:tcPr>
          <w:p>
            <w:pPr>
              <w:pStyle w:val="Compact"/>
              <w:suppressAutoHyphens/>
              <w:jc w:val="center"/>
            </w:pPr>
            <w:r>
              <w:rPr>
                <w:b/>
                <w:sz w:val="17"/>
                <w:szCs w:val="17"/>
              </w:rPr>
              <w:t xml:space="preserve">Difficult</w:t>
            </w:r>
          </w:p>
        </w:tc>
      </w:tr>
      <w:tr>
        <w:trPr>
          <w:tblHeader w:val="on"/>
        </w:trPr>
        <w:tc>
          <w:tcPr>
            <w:gridSpan w:val="1"/>
            <w:vMerge w:val="continue"/>
            <w:tcBorders>
              <w:bottom w:val="single" w:sz="8" w:space="0" w:color="auto"/>
            </w:tcBorders>
            <w:vAlign w:val="center"/>
          </w:tcPr>
          <w:p>
            <w:pPr>
              <w:suppressAutoHyphens/>
              <w:jc w:val="center"/>
            </w:pPr>
          </w:p>
        </w:tc>
        <w:tc>
          <w:tcPr>
            <w:gridSpan w:val="1"/>
            <w:vMerge w:val="continue"/>
            <w:tcBorders>
              <w:bottom w:val="single" w:sz="8" w:space="0" w:color="auto"/>
            </w:tcBorders>
            <w:vAlign w:val="center"/>
          </w:tcPr>
          <w:p>
            <w:pPr>
              <w:suppressAutoHyphens/>
              <w:jc w:val="center"/>
            </w:pPr>
          </w:p>
        </w:tc>
        <w:tc>
          <w:tcPr>
            <w:tcBorders>
              <w:bottom w:val="single" w:sz="8" w:space="0" w:color="auto"/>
            </w:tcBorders>
            <w:vAlign w:val="center"/>
          </w:tcPr>
          <w:p>
            <w:pPr>
              <w:pStyle w:val="Compact"/>
              <w:suppressAutoHyphens/>
              <w:jc w:val="center"/>
            </w:pPr>
            <w:r>
              <w:rPr>
                <w:b/>
                <w:sz w:val="17"/>
                <w:szCs w:val="17"/>
              </w:rPr>
              <w:t xml:space="preserve">AUROC</w:t>
            </w:r>
          </w:p>
        </w:tc>
        <w:tc>
          <w:tcPr>
            <w:tcBorders>
              <w:bottom w:val="single" w:sz="8" w:space="0" w:color="auto"/>
            </w:tcBorders>
            <w:vAlign w:val="center"/>
          </w:tcPr>
          <w:p>
            <w:pPr>
              <w:pStyle w:val="Compact"/>
              <w:suppressAutoHyphens/>
              <w:jc w:val="center"/>
            </w:pPr>
            <w:r>
              <w:rPr>
                <w:b/>
                <w:sz w:val="17"/>
                <w:szCs w:val="17"/>
              </w:rPr>
              <w:t xml:space="preserve">F1</w:t>
            </w:r>
          </w:p>
        </w:tc>
        <w:tc>
          <w:tcPr>
            <w:tcBorders>
              <w:bottom w:val="single" w:sz="8" w:space="0" w:color="auto"/>
            </w:tcBorders>
            <w:vAlign w:val="center"/>
          </w:tcPr>
          <w:p>
            <w:pPr>
              <w:pStyle w:val="Compact"/>
              <w:suppressAutoHyphens/>
              <w:jc w:val="center"/>
            </w:pPr>
            <w:r>
              <w:rPr>
                <w:b/>
                <w:sz w:val="17"/>
                <w:szCs w:val="17"/>
              </w:rPr>
              <w:t xml:space="preserve">AUROC</w:t>
            </w:r>
          </w:p>
        </w:tc>
        <w:tc>
          <w:tcPr>
            <w:tcBorders>
              <w:bottom w:val="single" w:sz="8" w:space="0" w:color="auto"/>
            </w:tcBorders>
            <w:vAlign w:val="center"/>
          </w:tcPr>
          <w:p>
            <w:pPr>
              <w:pStyle w:val="Compact"/>
              <w:suppressAutoHyphens/>
              <w:jc w:val="center"/>
            </w:pPr>
            <w:r>
              <w:rPr>
                <w:b/>
                <w:sz w:val="17"/>
                <w:szCs w:val="17"/>
              </w:rPr>
              <w:t xml:space="preserve">F1</w:t>
            </w:r>
          </w:p>
        </w:tc>
        <w:tc>
          <w:tcPr>
            <w:tcBorders>
              <w:bottom w:val="single" w:sz="8" w:space="0" w:color="auto"/>
            </w:tcBorders>
            <w:vAlign w:val="center"/>
          </w:tcPr>
          <w:p>
            <w:pPr>
              <w:pStyle w:val="Compact"/>
              <w:suppressAutoHyphens/>
              <w:jc w:val="center"/>
            </w:pPr>
            <w:r>
              <w:rPr>
                <w:b/>
                <w:sz w:val="17"/>
                <w:szCs w:val="17"/>
              </w:rPr>
              <w:t xml:space="preserve">AUROC</w:t>
            </w:r>
          </w:p>
        </w:tc>
        <w:tc>
          <w:tcPr>
            <w:tcBorders>
              <w:bottom w:val="single" w:sz="8" w:space="0" w:color="auto"/>
            </w:tcBorders>
            <w:vAlign w:val="center"/>
          </w:tcPr>
          <w:p>
            <w:pPr>
              <w:pStyle w:val="Compact"/>
              <w:suppressAutoHyphens/>
              <w:jc w:val="center"/>
            </w:pPr>
            <w:r>
              <w:rPr>
                <w:b/>
                <w:sz w:val="17"/>
                <w:szCs w:val="17"/>
              </w:rPr>
              <w:t xml:space="preserve">F1</w:t>
            </w:r>
          </w:p>
        </w:tc>
      </w:tr>
      <w:tr>
        <w:tc>
          <w:tcPr>
            <w:gridSpan w:val="8"/>
            <w:vAlign w:val="center"/>
          </w:tcPr>
          <w:p>
            <w:pPr>
              <w:pStyle w:val="Compact"/>
              <w:suppressAutoHyphens/>
              <w:jc w:val="center"/>
            </w:pPr>
            <w:r>
              <w:rPr>
                <w:b/>
                <w:bCs/>
                <w:sz w:val="17"/>
                <w:szCs w:val="17"/>
              </w:rPr>
              <w:t xml:space="preserve">WADI</w:t>
            </w:r>
            <w:r>
              <w:rPr>
                <w:sz w:val="17"/>
                <w:szCs w:val="17"/>
              </w:rPr>
              <w:t xml:space="preserve"> </w:t>
            </w:r>
            <w:r>
              <w:rPr>
                <w:sz w:val="17"/>
                <w:szCs w:val="17"/>
              </w:rPr>
              <w:t xml:space="preserve"> </w:t>
            </w:r>
            <w:r>
              <w:rPr>
                <w:sz w:val="17"/>
                <w:szCs w:val="17"/>
              </w:rPr>
              <w:t xml:space="preserve"> </w:t>
            </w:r>
            <w:r>
              <w:rPr>
                <w:sz w:val="17"/>
                <w:szCs w:val="17"/>
                <w:highlight w:val="green"/>
              </w:rPr>
              <w:t xml:space="preserve"> (anom 56 = 26 easy + 30 difficult) </w:t>
            </w:r>
            <w:r>
              <w:rPr>
                <w:sz w:val="17"/>
                <w:szCs w:val="17"/>
              </w:rPr>
              <w:t xml:space="preserve"> </w:t>
            </w:r>
          </w:p>
        </w:tc>
      </w:tr>
      <w:tr>
        <w:tc>
          <w:tcPr>
            <w:vAlign w:val="center"/>
          </w:tcPr>
          <w:p>
            <w:pPr>
              <w:pStyle w:val="Compact"/>
              <w:suppressAutoHyphens/>
              <w:jc w:val="center"/>
            </w:pPr>
            <w:r>
              <w:rPr>
                <w:sz w:val="17"/>
                <w:szCs w:val="17"/>
                <w:highlight w:val="green"/>
              </w:rPr>
              <w:t xml:space="preserve"> trivial max|u| </w:t>
            </w:r>
          </w:p>
        </w:tc>
        <w:tc>
          <w:tcPr>
            <w:vAlign w:val="center"/>
          </w:tcPr>
          <w:p>
            <w:pPr>
              <w:pStyle w:val="Compact"/>
              <w:suppressAutoHyphens/>
              <w:jc w:val="center"/>
            </w:pPr>
            <w:r>
              <w:rPr>
                <w:sz w:val="17"/>
                <w:szCs w:val="17"/>
                <w:highlight w:val="green"/>
              </w:rPr>
              <w:t xml:space="preserve"> Baseline </w:t>
            </w:r>
          </w:p>
        </w:tc>
        <w:tc>
          <w:tcPr>
            <w:vAlign w:val="center"/>
          </w:tcPr>
          <w:p>
            <w:pPr>
              <w:pStyle w:val="Compact"/>
              <w:suppressAutoHyphens/>
              <w:jc w:val="center"/>
            </w:pPr>
            <w:r>
              <w:rPr>
                <w:sz w:val="17"/>
                <w:szCs w:val="17"/>
                <w:highlight w:val="green"/>
              </w:rPr>
              <w:t xml:space="preserve"> 0.786 </w:t>
            </w:r>
          </w:p>
        </w:tc>
        <w:tc>
          <w:tcPr>
            <w:vAlign w:val="center"/>
          </w:tcPr>
          <w:p>
            <w:pPr>
              <w:pStyle w:val="Compact"/>
              <w:suppressAutoHyphens/>
              <w:jc w:val="center"/>
            </w:pPr>
            <w:r>
              <w:rPr>
                <w:sz w:val="17"/>
                <w:szCs w:val="17"/>
                <w:highlight w:val="green"/>
              </w:rPr>
              <w:t xml:space="preserve"> 0.62 </w:t>
            </w:r>
          </w:p>
        </w:tc>
        <w:tc>
          <w:tcPr>
            <w:vAlign w:val="center"/>
          </w:tcPr>
          <w:p>
            <w:pPr>
              <w:pStyle w:val="Compact"/>
              <w:suppressAutoHyphens/>
              <w:jc w:val="center"/>
            </w:pPr>
            <w:r>
              <w:rPr>
                <w:sz w:val="17"/>
                <w:szCs w:val="17"/>
                <w:highlight w:val="green"/>
              </w:rPr>
              <w:t xml:space="preserve"> 0.999 </w:t>
            </w:r>
          </w:p>
        </w:tc>
        <w:tc>
          <w:tcPr>
            <w:vAlign w:val="center"/>
          </w:tcPr>
          <w:p>
            <w:pPr>
              <w:pStyle w:val="Compact"/>
              <w:suppressAutoHyphens/>
              <w:jc w:val="center"/>
            </w:pPr>
            <w:r>
              <w:rPr>
                <w:sz w:val="17"/>
                <w:szCs w:val="17"/>
                <w:highlight w:val="green"/>
              </w:rPr>
              <w:t xml:space="preserve"> 0.98 </w:t>
            </w:r>
          </w:p>
        </w:tc>
        <w:tc>
          <w:tcPr>
            <w:vAlign w:val="center"/>
          </w:tcPr>
          <w:p>
            <w:pPr>
              <w:pStyle w:val="Compact"/>
              <w:suppressAutoHyphens/>
              <w:jc w:val="center"/>
            </w:pPr>
            <w:r>
              <w:rPr>
                <w:sz w:val="17"/>
                <w:szCs w:val="17"/>
                <w:highlight w:val="green"/>
              </w:rPr>
              <w:t xml:space="preserve"> 0.601 </w:t>
            </w:r>
          </w:p>
        </w:tc>
        <w:tc>
          <w:tcPr>
            <w:vAlign w:val="center"/>
          </w:tcPr>
          <w:p>
            <w:pPr>
              <w:pStyle w:val="Compact"/>
              <w:suppressAutoHyphens/>
              <w:jc w:val="center"/>
            </w:pPr>
            <w:r>
              <w:rPr>
                <w:sz w:val="17"/>
                <w:szCs w:val="17"/>
                <w:highlight w:val="green"/>
              </w:rPr>
              <w:t xml:space="preserve"> 0.13 </w:t>
            </w:r>
          </w:p>
        </w:tc>
      </w:tr>
      <w:tr>
        <w:tc>
          <w:tcPr>
            <w:vAlign w:val="center"/>
          </w:tcPr>
          <w:p>
            <w:pPr>
              <w:pStyle w:val="Compact"/>
              <w:suppressAutoHyphens/>
              <w:jc w:val="center"/>
            </w:pPr>
            <w:r>
              <w:rPr>
                <w:sz w:val="17"/>
                <w:szCs w:val="17"/>
                <w:highlight w:val="green"/>
              </w:rPr>
              <w:t xml:space="preserve"> Isolation Forest </w:t>
            </w:r>
          </w:p>
        </w:tc>
        <w:tc>
          <w:tcPr>
            <w:vAlign w:val="center"/>
          </w:tcPr>
          <w:p>
            <w:pPr>
              <w:pStyle w:val="Compact"/>
              <w:suppressAutoHyphens/>
              <w:jc w:val="center"/>
            </w:pPr>
            <w:r>
              <w:rPr>
                <w:sz w:val="17"/>
                <w:szCs w:val="17"/>
                <w:highlight w:val="green"/>
              </w:rPr>
              <w:t xml:space="preserve"> Baseline </w:t>
            </w:r>
          </w:p>
        </w:tc>
        <w:tc>
          <w:tcPr>
            <w:vAlign w:val="center"/>
          </w:tcPr>
          <w:p>
            <w:pPr>
              <w:pStyle w:val="Compact"/>
              <w:suppressAutoHyphens/>
              <w:jc w:val="center"/>
            </w:pPr>
            <w:r>
              <w:rPr>
                <w:sz w:val="17"/>
                <w:szCs w:val="17"/>
                <w:highlight w:val="green"/>
              </w:rPr>
              <w:t xml:space="preserve"> 0.725±0.005 </w:t>
            </w:r>
          </w:p>
        </w:tc>
        <w:tc>
          <w:tcPr>
            <w:vAlign w:val="center"/>
          </w:tcPr>
          <w:p>
            <w:pPr>
              <w:pStyle w:val="Compact"/>
              <w:suppressAutoHyphens/>
              <w:jc w:val="center"/>
            </w:pPr>
            <w:r>
              <w:rPr>
                <w:sz w:val="17"/>
                <w:szCs w:val="17"/>
                <w:highlight w:val="green"/>
              </w:rPr>
              <w:t xml:space="preserve"> 0.39 </w:t>
            </w:r>
          </w:p>
        </w:tc>
        <w:tc>
          <w:tcPr>
            <w:vAlign w:val="center"/>
          </w:tcPr>
          <w:p>
            <w:pPr>
              <w:pStyle w:val="Compact"/>
              <w:suppressAutoHyphens/>
              <w:jc w:val="center"/>
            </w:pPr>
            <w:r>
              <w:rPr>
                <w:sz w:val="17"/>
                <w:szCs w:val="17"/>
                <w:highlight w:val="green"/>
              </w:rPr>
              <w:t xml:space="preserve"> 0.829±0.007 </w:t>
            </w:r>
          </w:p>
        </w:tc>
        <w:tc>
          <w:tcPr>
            <w:vAlign w:val="center"/>
          </w:tcPr>
          <w:p>
            <w:pPr>
              <w:pStyle w:val="Compact"/>
              <w:suppressAutoHyphens/>
              <w:jc w:val="center"/>
            </w:pPr>
            <w:r>
              <w:rPr>
                <w:sz w:val="17"/>
                <w:szCs w:val="17"/>
                <w:highlight w:val="green"/>
              </w:rPr>
              <w:t xml:space="preserve"> 0.42 </w:t>
            </w:r>
          </w:p>
        </w:tc>
        <w:tc>
          <w:tcPr>
            <w:vAlign w:val="center"/>
          </w:tcPr>
          <w:p>
            <w:pPr>
              <w:pStyle w:val="Compact"/>
              <w:suppressAutoHyphens/>
              <w:jc w:val="center"/>
            </w:pPr>
            <w:r>
              <w:rPr>
                <w:sz w:val="17"/>
                <w:szCs w:val="17"/>
                <w:highlight w:val="green"/>
              </w:rPr>
              <w:t xml:space="preserve"> 0.634±0.006 </w:t>
            </w:r>
          </w:p>
        </w:tc>
        <w:tc>
          <w:tcPr>
            <w:vAlign w:val="center"/>
          </w:tcPr>
          <w:p>
            <w:pPr>
              <w:pStyle w:val="Compact"/>
              <w:suppressAutoHyphens/>
              <w:jc w:val="center"/>
            </w:pPr>
            <w:r>
              <w:rPr>
                <w:sz w:val="17"/>
                <w:szCs w:val="17"/>
                <w:highlight w:val="green"/>
              </w:rPr>
              <w:t xml:space="preserve"> 0.17 </w:t>
            </w:r>
          </w:p>
        </w:tc>
      </w:tr>
      <w:tr>
        <w:tc>
          <w:tcPr>
            <w:vAlign w:val="center"/>
          </w:tcPr>
          <w:p>
            <w:pPr>
              <w:pStyle w:val="Compact"/>
              <w:suppressAutoHyphens/>
              <w:jc w:val="center"/>
            </w:pPr>
            <w:r>
              <w:rPr>
                <w:sz w:val="17"/>
                <w:szCs w:val="17"/>
                <w:highlight w:val="green"/>
              </w:rPr>
              <w:t xml:space="preserve"> AutoEncoder </w:t>
            </w:r>
          </w:p>
        </w:tc>
        <w:tc>
          <w:tcPr>
            <w:vAlign w:val="center"/>
          </w:tcPr>
          <w:p>
            <w:pPr>
              <w:pStyle w:val="Compact"/>
              <w:suppressAutoHyphens/>
              <w:jc w:val="center"/>
            </w:pPr>
            <w:r>
              <w:rPr>
                <w:sz w:val="17"/>
                <w:szCs w:val="17"/>
                <w:highlight w:val="green"/>
              </w:rPr>
              <w:t xml:space="preserve"> Baseline </w:t>
            </w:r>
          </w:p>
        </w:tc>
        <w:tc>
          <w:tcPr>
            <w:vAlign w:val="center"/>
          </w:tcPr>
          <w:p>
            <w:pPr>
              <w:pStyle w:val="Compact"/>
              <w:suppressAutoHyphens/>
              <w:jc w:val="center"/>
            </w:pPr>
            <w:r>
              <w:rPr>
                <w:sz w:val="17"/>
                <w:szCs w:val="17"/>
                <w:highlight w:val="green"/>
              </w:rPr>
              <w:t xml:space="preserve"> 0.792±0.002 </w:t>
            </w:r>
          </w:p>
        </w:tc>
        <w:tc>
          <w:tcPr>
            <w:vAlign w:val="center"/>
          </w:tcPr>
          <w:p>
            <w:pPr>
              <w:pStyle w:val="Compact"/>
              <w:suppressAutoHyphens/>
              <w:jc w:val="center"/>
            </w:pPr>
            <w:r>
              <w:rPr>
                <w:sz w:val="17"/>
                <w:szCs w:val="17"/>
                <w:highlight w:val="green"/>
              </w:rPr>
              <w:t xml:space="preserve"> 0.55 </w:t>
            </w:r>
          </w:p>
        </w:tc>
        <w:tc>
          <w:tcPr>
            <w:vAlign w:val="center"/>
          </w:tcPr>
          <w:p>
            <w:pPr>
              <w:pStyle w:val="Compact"/>
              <w:suppressAutoHyphens/>
              <w:jc w:val="center"/>
            </w:pPr>
            <w:r>
              <w:rPr>
                <w:sz w:val="17"/>
                <w:szCs w:val="17"/>
                <w:highlight w:val="green"/>
              </w:rPr>
              <w:t xml:space="preserve"> 0.981±0.001 </w:t>
            </w:r>
          </w:p>
        </w:tc>
        <w:tc>
          <w:tcPr>
            <w:vAlign w:val="center"/>
          </w:tcPr>
          <w:p>
            <w:pPr>
              <w:pStyle w:val="Compact"/>
              <w:suppressAutoHyphens/>
              <w:jc w:val="center"/>
            </w:pPr>
            <w:r>
              <w:rPr>
                <w:sz w:val="17"/>
                <w:szCs w:val="17"/>
                <w:highlight w:val="green"/>
              </w:rPr>
              <w:t xml:space="preserve"> 0.82 </w:t>
            </w:r>
          </w:p>
        </w:tc>
        <w:tc>
          <w:tcPr>
            <w:vAlign w:val="center"/>
          </w:tcPr>
          <w:p>
            <w:pPr>
              <w:pStyle w:val="Compact"/>
              <w:suppressAutoHyphens/>
              <w:jc w:val="center"/>
            </w:pPr>
            <w:r>
              <w:rPr>
                <w:sz w:val="17"/>
                <w:szCs w:val="17"/>
                <w:highlight w:val="green"/>
              </w:rPr>
              <w:t xml:space="preserve"> 0.628±0.004 </w:t>
            </w:r>
          </w:p>
        </w:tc>
        <w:tc>
          <w:tcPr>
            <w:vAlign w:val="center"/>
          </w:tcPr>
          <w:p>
            <w:pPr>
              <w:pStyle w:val="Compact"/>
              <w:suppressAutoHyphens/>
              <w:jc w:val="center"/>
            </w:pPr>
            <w:r>
              <w:rPr>
                <w:sz w:val="17"/>
                <w:szCs w:val="17"/>
                <w:highlight w:val="green"/>
              </w:rPr>
              <w:t xml:space="preserve"> 0.18 </w:t>
            </w:r>
          </w:p>
        </w:tc>
      </w:tr>
      <w:tr>
        <w:tc>
          <w:tcPr>
            <w:vAlign w:val="center"/>
          </w:tcPr>
          <w:p>
            <w:pPr>
              <w:pStyle w:val="Compact"/>
              <w:suppressAutoHyphens/>
              <w:jc w:val="center"/>
            </w:pPr>
            <w:r>
              <w:rPr>
                <w:sz w:val="17"/>
                <w:szCs w:val="17"/>
                <w:highlight w:val="green"/>
              </w:rPr>
              <w:t xml:space="preserve"> LinRes (one-hot) </w:t>
            </w:r>
          </w:p>
        </w:tc>
        <w:tc>
          <w:tcPr>
            <w:vAlign w:val="center"/>
          </w:tcPr>
          <w:p>
            <w:pPr>
              <w:pStyle w:val="Compact"/>
              <w:suppressAutoHyphens/>
              <w:jc w:val="center"/>
            </w:pPr>
            <w:r>
              <w:rPr>
                <w:sz w:val="17"/>
                <w:szCs w:val="17"/>
                <w:highlight w:val="green"/>
              </w:rPr>
              <w:t xml:space="preserve"> Baseline </w:t>
            </w:r>
          </w:p>
        </w:tc>
        <w:tc>
          <w:tcPr>
            <w:vAlign w:val="center"/>
          </w:tcPr>
          <w:p>
            <w:pPr>
              <w:pStyle w:val="Compact"/>
              <w:suppressAutoHyphens/>
              <w:jc w:val="center"/>
            </w:pPr>
            <w:r>
              <w:rPr>
                <w:sz w:val="17"/>
                <w:szCs w:val="17"/>
                <w:highlight w:val="green"/>
              </w:rPr>
              <w:t xml:space="preserve"> 0.834 </w:t>
            </w:r>
          </w:p>
        </w:tc>
        <w:tc>
          <w:tcPr>
            <w:vAlign w:val="center"/>
          </w:tcPr>
          <w:p>
            <w:pPr>
              <w:pStyle w:val="Compact"/>
              <w:suppressAutoHyphens/>
              <w:jc w:val="center"/>
            </w:pPr>
            <w:r>
              <w:rPr>
                <w:sz w:val="17"/>
                <w:szCs w:val="17"/>
                <w:highlight w:val="green"/>
              </w:rPr>
              <w:t xml:space="preserve"> 0.68 </w:t>
            </w:r>
          </w:p>
        </w:tc>
        <w:tc>
          <w:tcPr>
            <w:vAlign w:val="center"/>
          </w:tcPr>
          <w:p>
            <w:pPr>
              <w:pStyle w:val="Compact"/>
              <w:suppressAutoHyphens/>
              <w:jc w:val="center"/>
            </w:pPr>
            <w:r>
              <w:rPr>
                <w:sz w:val="17"/>
                <w:szCs w:val="17"/>
                <w:highlight w:val="green"/>
              </w:rPr>
              <w:t xml:space="preserve"> 0.932 </w:t>
            </w:r>
          </w:p>
        </w:tc>
        <w:tc>
          <w:tcPr>
            <w:vAlign w:val="center"/>
          </w:tcPr>
          <w:p>
            <w:pPr>
              <w:pStyle w:val="Compact"/>
              <w:suppressAutoHyphens/>
              <w:jc w:val="center"/>
            </w:pPr>
            <w:r>
              <w:rPr>
                <w:sz w:val="17"/>
                <w:szCs w:val="17"/>
                <w:highlight w:val="green"/>
              </w:rPr>
              <w:t xml:space="preserve"> 0.73 </w:t>
            </w:r>
          </w:p>
        </w:tc>
        <w:tc>
          <w:tcPr>
            <w:vAlign w:val="center"/>
          </w:tcPr>
          <w:p>
            <w:pPr>
              <w:pStyle w:val="Compact"/>
              <w:suppressAutoHyphens/>
              <w:jc w:val="center"/>
            </w:pPr>
            <w:r>
              <w:rPr>
                <w:sz w:val="17"/>
                <w:szCs w:val="17"/>
                <w:highlight w:val="green"/>
              </w:rPr>
              <w:t xml:space="preserve"> 0.750 </w:t>
            </w:r>
          </w:p>
        </w:tc>
        <w:tc>
          <w:tcPr>
            <w:vAlign w:val="center"/>
          </w:tcPr>
          <w:p>
            <w:pPr>
              <w:pStyle w:val="Compact"/>
              <w:suppressAutoHyphens/>
              <w:jc w:val="center"/>
            </w:pPr>
            <w:r>
              <w:rPr>
                <w:sz w:val="17"/>
                <w:szCs w:val="17"/>
                <w:highlight w:val="green"/>
              </w:rPr>
              <w:t xml:space="preserve"> 0.53 </w:t>
            </w:r>
          </w:p>
        </w:tc>
      </w:tr>
      <w:tr>
        <w:tc>
          <w:tcPr>
            <w:vAlign w:val="center"/>
          </w:tcPr>
          <w:p>
            <w:pPr>
              <w:pStyle w:val="Compact"/>
              <w:suppressAutoHyphens/>
              <w:jc w:val="center"/>
            </w:pPr>
            <w:r>
              <w:rPr>
                <w:sz w:val="17"/>
                <w:szCs w:val="17"/>
                <w:highlight w:val="green"/>
              </w:rPr>
              <w:t xml:space="preserve"> USAD </w:t>
            </w:r>
          </w:p>
        </w:tc>
        <w:tc>
          <w:tcPr>
            <w:vAlign w:val="center"/>
          </w:tcPr>
          <w:p>
            <w:pPr>
              <w:pStyle w:val="Compact"/>
              <w:suppressAutoHyphens/>
              <w:jc w:val="center"/>
            </w:pPr>
            <w:r>
              <w:rPr>
                <w:sz w:val="17"/>
                <w:szCs w:val="17"/>
                <w:highlight w:val="green"/>
              </w:rPr>
              <w:t xml:space="preserve"> SOTA </w:t>
            </w:r>
          </w:p>
        </w:tc>
        <w:tc>
          <w:tcPr>
            <w:vAlign w:val="center"/>
          </w:tcPr>
          <w:p>
            <w:pPr>
              <w:pStyle w:val="Compact"/>
              <w:suppressAutoHyphens/>
              <w:jc w:val="center"/>
            </w:pPr>
            <w:r>
              <w:rPr>
                <w:sz w:val="17"/>
                <w:szCs w:val="17"/>
                <w:highlight w:val="green"/>
              </w:rPr>
              <w:t xml:space="preserve"> 0.757 </w:t>
            </w:r>
          </w:p>
        </w:tc>
        <w:tc>
          <w:tcPr>
            <w:vAlign w:val="center"/>
          </w:tcPr>
          <w:p>
            <w:pPr>
              <w:pStyle w:val="Compact"/>
              <w:suppressAutoHyphens/>
              <w:jc w:val="center"/>
            </w:pPr>
            <w:r>
              <w:rPr>
                <w:sz w:val="17"/>
                <w:szCs w:val="17"/>
                <w:highlight w:val="green"/>
              </w:rPr>
              <w:t xml:space="preserve"> 0.49 </w:t>
            </w:r>
          </w:p>
        </w:tc>
        <w:tc>
          <w:tcPr>
            <w:vAlign w:val="center"/>
          </w:tcPr>
          <w:p>
            <w:pPr>
              <w:pStyle w:val="Compact"/>
              <w:suppressAutoHyphens/>
              <w:jc w:val="center"/>
            </w:pPr>
            <w:r>
              <w:rPr>
                <w:sz w:val="17"/>
                <w:szCs w:val="17"/>
                <w:highlight w:val="green"/>
              </w:rPr>
              <w:t xml:space="preserve"> 0.962 </w:t>
            </w:r>
          </w:p>
        </w:tc>
        <w:tc>
          <w:tcPr>
            <w:vAlign w:val="center"/>
          </w:tcPr>
          <w:p>
            <w:pPr>
              <w:pStyle w:val="Compact"/>
              <w:suppressAutoHyphens/>
              <w:jc w:val="center"/>
            </w:pPr>
            <w:r>
              <w:rPr>
                <w:sz w:val="17"/>
                <w:szCs w:val="17"/>
                <w:highlight w:val="green"/>
              </w:rPr>
              <w:t xml:space="preserve"> 0.73 </w:t>
            </w:r>
          </w:p>
        </w:tc>
        <w:tc>
          <w:tcPr>
            <w:vAlign w:val="center"/>
          </w:tcPr>
          <w:p>
            <w:pPr>
              <w:pStyle w:val="Compact"/>
              <w:suppressAutoHyphens/>
              <w:jc w:val="center"/>
            </w:pPr>
            <w:r>
              <w:rPr>
                <w:sz w:val="17"/>
                <w:szCs w:val="17"/>
                <w:highlight w:val="green"/>
              </w:rPr>
              <w:t xml:space="preserve"> 0.579 </w:t>
            </w:r>
          </w:p>
        </w:tc>
        <w:tc>
          <w:tcPr>
            <w:vAlign w:val="center"/>
          </w:tcPr>
          <w:p>
            <w:pPr>
              <w:pStyle w:val="Compact"/>
              <w:suppressAutoHyphens/>
              <w:jc w:val="center"/>
            </w:pPr>
            <w:r>
              <w:rPr>
                <w:sz w:val="17"/>
                <w:szCs w:val="17"/>
                <w:highlight w:val="green"/>
              </w:rPr>
              <w:t xml:space="preserve"> 0.16 </w:t>
            </w:r>
          </w:p>
        </w:tc>
      </w:tr>
      <w:tr>
        <w:tc>
          <w:tcPr>
            <w:vAlign w:val="center"/>
          </w:tcPr>
          <w:p>
            <w:pPr>
              <w:pStyle w:val="Compact"/>
              <w:suppressAutoHyphens/>
              <w:jc w:val="center"/>
            </w:pPr>
            <w:r>
              <w:rPr>
                <w:sz w:val="17"/>
                <w:szCs w:val="17"/>
                <w:highlight w:val="green"/>
              </w:rPr>
              <w:t xml:space="preserve"> TranAD </w:t>
            </w:r>
          </w:p>
        </w:tc>
        <w:tc>
          <w:tcPr>
            <w:vAlign w:val="center"/>
          </w:tcPr>
          <w:p>
            <w:pPr>
              <w:pStyle w:val="Compact"/>
              <w:suppressAutoHyphens/>
              <w:jc w:val="center"/>
            </w:pPr>
            <w:r>
              <w:rPr>
                <w:sz w:val="17"/>
                <w:szCs w:val="17"/>
                <w:highlight w:val="green"/>
              </w:rPr>
              <w:t xml:space="preserve"> SOTA </w:t>
            </w:r>
          </w:p>
        </w:tc>
        <w:tc>
          <w:tcPr>
            <w:vAlign w:val="center"/>
          </w:tcPr>
          <w:p>
            <w:pPr>
              <w:pStyle w:val="Compact"/>
              <w:suppressAutoHyphens/>
              <w:jc w:val="center"/>
            </w:pPr>
            <w:r>
              <w:rPr>
                <w:sz w:val="17"/>
                <w:szCs w:val="17"/>
                <w:highlight w:val="green"/>
              </w:rPr>
              <w:t xml:space="preserve"> 0.786 </w:t>
            </w:r>
          </w:p>
        </w:tc>
        <w:tc>
          <w:tcPr>
            <w:vAlign w:val="center"/>
          </w:tcPr>
          <w:p>
            <w:pPr>
              <w:pStyle w:val="Compact"/>
              <w:suppressAutoHyphens/>
              <w:jc w:val="center"/>
            </w:pPr>
            <w:r>
              <w:rPr>
                <w:sz w:val="17"/>
                <w:szCs w:val="17"/>
                <w:highlight w:val="green"/>
              </w:rPr>
              <w:t xml:space="preserve"> 0.54 </w:t>
            </w:r>
          </w:p>
        </w:tc>
        <w:tc>
          <w:tcPr>
            <w:vAlign w:val="center"/>
          </w:tcPr>
          <w:p>
            <w:pPr>
              <w:pStyle w:val="Compact"/>
              <w:suppressAutoHyphens/>
              <w:jc w:val="center"/>
            </w:pPr>
            <w:r>
              <w:rPr>
                <w:sz w:val="17"/>
                <w:szCs w:val="17"/>
                <w:highlight w:val="green"/>
              </w:rPr>
              <w:t xml:space="preserve"> 0.986 </w:t>
            </w:r>
          </w:p>
        </w:tc>
        <w:tc>
          <w:tcPr>
            <w:vAlign w:val="center"/>
          </w:tcPr>
          <w:p>
            <w:pPr>
              <w:pStyle w:val="Compact"/>
              <w:suppressAutoHyphens/>
              <w:jc w:val="center"/>
            </w:pPr>
            <w:r>
              <w:rPr>
                <w:sz w:val="17"/>
                <w:szCs w:val="17"/>
                <w:highlight w:val="green"/>
              </w:rPr>
              <w:t xml:space="preserve"> 0.74 </w:t>
            </w:r>
          </w:p>
        </w:tc>
        <w:tc>
          <w:tcPr>
            <w:vAlign w:val="center"/>
          </w:tcPr>
          <w:p>
            <w:pPr>
              <w:pStyle w:val="Compact"/>
              <w:suppressAutoHyphens/>
              <w:jc w:val="center"/>
            </w:pPr>
            <w:r>
              <w:rPr>
                <w:sz w:val="17"/>
                <w:szCs w:val="17"/>
                <w:highlight w:val="green"/>
              </w:rPr>
              <w:t xml:space="preserve"> 0.613 </w:t>
            </w:r>
          </w:p>
        </w:tc>
        <w:tc>
          <w:tcPr>
            <w:vAlign w:val="center"/>
          </w:tcPr>
          <w:p>
            <w:pPr>
              <w:pStyle w:val="Compact"/>
              <w:suppressAutoHyphens/>
              <w:jc w:val="center"/>
            </w:pPr>
            <w:r>
              <w:rPr>
                <w:sz w:val="17"/>
                <w:szCs w:val="17"/>
                <w:highlight w:val="green"/>
              </w:rPr>
              <w:t xml:space="preserve"> 0.20 </w:t>
            </w:r>
          </w:p>
        </w:tc>
      </w:tr>
      <w:tr>
        <w:tc>
          <w:tcPr>
            <w:vAlign w:val="center"/>
          </w:tcPr>
          <w:p>
            <w:pPr>
              <w:pStyle w:val="Compact"/>
              <w:suppressAutoHyphens/>
              <w:jc w:val="center"/>
            </w:pPr>
            <w:r>
              <w:rPr>
                <w:sz w:val="17"/>
                <w:szCs w:val="17"/>
                <w:highlight w:val="green"/>
              </w:rPr>
              <w:t xml:space="preserve"> GDN </w:t>
            </w:r>
          </w:p>
        </w:tc>
        <w:tc>
          <w:tcPr>
            <w:vAlign w:val="center"/>
          </w:tcPr>
          <w:p>
            <w:pPr>
              <w:pStyle w:val="Compact"/>
              <w:suppressAutoHyphens/>
              <w:jc w:val="center"/>
            </w:pPr>
            <w:r>
              <w:rPr>
                <w:sz w:val="17"/>
                <w:szCs w:val="17"/>
                <w:highlight w:val="green"/>
              </w:rPr>
              <w:t xml:space="preserve"> SOTA </w:t>
            </w:r>
          </w:p>
        </w:tc>
        <w:tc>
          <w:tcPr>
            <w:vAlign w:val="center"/>
          </w:tcPr>
          <w:p>
            <w:pPr>
              <w:pStyle w:val="Compact"/>
              <w:suppressAutoHyphens/>
              <w:jc w:val="center"/>
            </w:pPr>
            <w:r>
              <w:rPr>
                <w:sz w:val="17"/>
                <w:szCs w:val="17"/>
                <w:highlight w:val="green"/>
              </w:rPr>
              <w:t xml:space="preserve"> 0.801 </w:t>
            </w:r>
          </w:p>
        </w:tc>
        <w:tc>
          <w:tcPr>
            <w:vAlign w:val="center"/>
          </w:tcPr>
          <w:p>
            <w:pPr>
              <w:pStyle w:val="Compact"/>
              <w:suppressAutoHyphens/>
              <w:jc w:val="center"/>
            </w:pPr>
            <w:r>
              <w:rPr>
                <w:sz w:val="17"/>
                <w:szCs w:val="17"/>
                <w:highlight w:val="green"/>
              </w:rPr>
              <w:t xml:space="preserve"> – </w:t>
            </w:r>
          </w:p>
        </w:tc>
        <w:tc>
          <w:tcPr>
            <w:vAlign w:val="center"/>
          </w:tcPr>
          <w:p>
            <w:pPr>
              <w:pStyle w:val="Compact"/>
              <w:suppressAutoHyphens/>
              <w:jc w:val="center"/>
            </w:pPr>
            <w:r>
              <w:rPr>
                <w:sz w:val="17"/>
                <w:szCs w:val="17"/>
                <w:highlight w:val="green"/>
              </w:rPr>
              <w:t xml:space="preserve"> 0.963 </w:t>
            </w:r>
          </w:p>
        </w:tc>
        <w:tc>
          <w:tcPr>
            <w:vAlign w:val="center"/>
          </w:tcPr>
          <w:p>
            <w:pPr>
              <w:pStyle w:val="Compact"/>
              <w:suppressAutoHyphens/>
              <w:jc w:val="center"/>
            </w:pPr>
            <w:r>
              <w:rPr>
                <w:sz w:val="17"/>
                <w:szCs w:val="17"/>
                <w:highlight w:val="green"/>
              </w:rPr>
              <w:t xml:space="preserve"> – </w:t>
            </w:r>
          </w:p>
        </w:tc>
        <w:tc>
          <w:tcPr>
            <w:vAlign w:val="center"/>
          </w:tcPr>
          <w:p>
            <w:pPr>
              <w:pStyle w:val="Compact"/>
              <w:suppressAutoHyphens/>
              <w:jc w:val="center"/>
            </w:pPr>
            <w:r>
              <w:rPr>
                <w:sz w:val="17"/>
                <w:szCs w:val="17"/>
                <w:highlight w:val="green"/>
              </w:rPr>
              <w:t xml:space="preserve"> 0.660 </w:t>
            </w:r>
          </w:p>
        </w:tc>
        <w:tc>
          <w:tcPr>
            <w:vAlign w:val="center"/>
          </w:tcPr>
          <w:p>
            <w:pPr>
              <w:pStyle w:val="Compact"/>
              <w:suppressAutoHyphens/>
              <w:jc w:val="center"/>
            </w:pPr>
            <w:r>
              <w:rPr>
                <w:sz w:val="17"/>
                <w:szCs w:val="17"/>
                <w:highlight w:val="green"/>
              </w:rPr>
              <w:t xml:space="preserve"> – </w:t>
            </w:r>
          </w:p>
        </w:tc>
      </w:tr>
      <w:tr>
        <w:tc>
          <w:tcPr>
            <w:vAlign w:val="center"/>
          </w:tcPr>
          <w:p>
            <w:pPr>
              <w:pStyle w:val="Compact"/>
              <w:suppressAutoHyphens/>
              <w:jc w:val="center"/>
            </w:pPr>
            <w:r>
              <w:rPr>
                <w:sz w:val="17"/>
                <w:szCs w:val="17"/>
                <w:highlight w:val="green"/>
              </w:rPr>
              <w:t xml:space="preserve"> LatAD (global density) </w:t>
            </w:r>
          </w:p>
        </w:tc>
        <w:tc>
          <w:tcPr>
            <w:vAlign w:val="center"/>
          </w:tcPr>
          <w:p>
            <w:pPr>
              <w:pStyle w:val="Compact"/>
              <w:suppressAutoHyphens/>
              <w:jc w:val="center"/>
            </w:pPr>
            <w:r>
              <w:rPr>
                <w:sz w:val="17"/>
                <w:szCs w:val="17"/>
                <w:highlight w:val="green"/>
              </w:rPr>
              <w:t xml:space="preserve"> Ours </w:t>
            </w:r>
          </w:p>
        </w:tc>
        <w:tc>
          <w:tcPr>
            <w:vAlign w:val="center"/>
          </w:tcPr>
          <w:p>
            <w:pPr>
              <w:pStyle w:val="Compact"/>
              <w:suppressAutoHyphens/>
              <w:jc w:val="center"/>
            </w:pPr>
            <w:r>
              <w:rPr>
                <w:sz w:val="17"/>
                <w:szCs w:val="17"/>
                <w:highlight w:val="green"/>
              </w:rPr>
              <w:t xml:space="preserve"> 0.717±0.006 </w:t>
            </w:r>
          </w:p>
        </w:tc>
        <w:tc>
          <w:tcPr>
            <w:vAlign w:val="center"/>
          </w:tcPr>
          <w:p>
            <w:pPr>
              <w:pStyle w:val="Compact"/>
              <w:suppressAutoHyphens/>
              <w:jc w:val="center"/>
            </w:pPr>
            <w:r>
              <w:rPr>
                <w:sz w:val="17"/>
                <w:szCs w:val="17"/>
                <w:highlight w:val="green"/>
              </w:rPr>
              <w:t xml:space="preserve"> 0.34 </w:t>
            </w:r>
          </w:p>
        </w:tc>
        <w:tc>
          <w:tcPr>
            <w:vAlign w:val="center"/>
          </w:tcPr>
          <w:p>
            <w:pPr>
              <w:pStyle w:val="Compact"/>
              <w:suppressAutoHyphens/>
              <w:jc w:val="center"/>
            </w:pPr>
            <w:r>
              <w:rPr>
                <w:sz w:val="17"/>
                <w:szCs w:val="17"/>
                <w:highlight w:val="green"/>
              </w:rPr>
              <w:t xml:space="preserve"> 0.813±0.016 </w:t>
            </w:r>
          </w:p>
        </w:tc>
        <w:tc>
          <w:tcPr>
            <w:vAlign w:val="center"/>
          </w:tcPr>
          <w:p>
            <w:pPr>
              <w:pStyle w:val="Compact"/>
              <w:suppressAutoHyphens/>
              <w:jc w:val="center"/>
            </w:pPr>
            <w:r>
              <w:rPr>
                <w:sz w:val="17"/>
                <w:szCs w:val="17"/>
                <w:highlight w:val="green"/>
              </w:rPr>
              <w:t xml:space="preserve"> 0.32 </w:t>
            </w:r>
          </w:p>
        </w:tc>
        <w:tc>
          <w:tcPr>
            <w:vAlign w:val="center"/>
          </w:tcPr>
          <w:p>
            <w:pPr>
              <w:pStyle w:val="Compact"/>
              <w:suppressAutoHyphens/>
              <w:jc w:val="center"/>
            </w:pPr>
            <w:r>
              <w:rPr>
                <w:sz w:val="17"/>
                <w:szCs w:val="17"/>
                <w:highlight w:val="green"/>
              </w:rPr>
              <w:t xml:space="preserve"> 0.634±0.011 </w:t>
            </w:r>
          </w:p>
        </w:tc>
        <w:tc>
          <w:tcPr>
            <w:vAlign w:val="center"/>
          </w:tcPr>
          <w:p>
            <w:pPr>
              <w:pStyle w:val="Compact"/>
              <w:suppressAutoHyphens/>
              <w:jc w:val="center"/>
            </w:pPr>
            <w:r>
              <w:rPr>
                <w:sz w:val="17"/>
                <w:szCs w:val="17"/>
                <w:highlight w:val="green"/>
              </w:rPr>
              <w:t xml:space="preserve"> 0.18 </w:t>
            </w:r>
          </w:p>
        </w:tc>
      </w:tr>
      <w:tr>
        <w:tc>
          <w:tcPr>
            <w:vAlign w:val="center"/>
          </w:tcPr>
          <w:p>
            <w:pPr>
              <w:pStyle w:val="Compact"/>
              <w:suppressAutoHyphens/>
              <w:jc w:val="center"/>
            </w:pPr>
            <w:r>
              <w:rPr>
                <w:sz w:val="17"/>
                <w:szCs w:val="17"/>
                <w:highlight w:val="green"/>
              </w:rPr>
              <w:t xml:space="preserve"> </w:t>
            </w:r>
            <w:r>
              <w:rPr>
                <w:b/>
                <w:bCs/>
                <w:sz w:val="17"/>
                <w:szCs w:val="17"/>
                <w:highlight w:val="green"/>
              </w:rPr>
              <w:t xml:space="preserve">LatAD (regime-community)</w:t>
            </w:r>
            <w:r>
              <w:rPr>
                <w:sz w:val="17"/>
                <w:szCs w:val="17"/>
                <w:highlight w:val="green"/>
              </w:rPr>
              <w:t xml:space="preserve"> </w:t>
            </w:r>
          </w:p>
        </w:tc>
        <w:tc>
          <w:tcPr>
            <w:vAlign w:val="center"/>
          </w:tcPr>
          <w:p>
            <w:pPr>
              <w:pStyle w:val="Compact"/>
              <w:suppressAutoHyphens/>
              <w:jc w:val="center"/>
            </w:pPr>
            <w:r>
              <w:rPr>
                <w:sz w:val="17"/>
                <w:szCs w:val="17"/>
                <w:highlight w:val="green"/>
              </w:rPr>
              <w:t xml:space="preserve"> Ours </w:t>
            </w:r>
          </w:p>
        </w:tc>
        <w:tc>
          <w:tcPr>
            <w:vAlign w:val="center"/>
          </w:tcPr>
          <w:p>
            <w:pPr>
              <w:pStyle w:val="Compact"/>
              <w:suppressAutoHyphens/>
              <w:jc w:val="center"/>
            </w:pPr>
            <w:r>
              <w:rPr>
                <w:sz w:val="17"/>
                <w:szCs w:val="17"/>
                <w:highlight w:val="green"/>
              </w:rPr>
              <w:t xml:space="preserve"> 0.827±0.009 </w:t>
            </w:r>
          </w:p>
        </w:tc>
        <w:tc>
          <w:tcPr>
            <w:vAlign w:val="center"/>
          </w:tcPr>
          <w:p>
            <w:pPr>
              <w:pStyle w:val="Compact"/>
              <w:suppressAutoHyphens/>
              <w:jc w:val="center"/>
            </w:pPr>
            <w:r>
              <w:rPr>
                <w:sz w:val="17"/>
                <w:szCs w:val="17"/>
                <w:highlight w:val="green"/>
              </w:rPr>
              <w:t xml:space="preserve"> 0.57 </w:t>
            </w:r>
          </w:p>
        </w:tc>
        <w:tc>
          <w:tcPr>
            <w:vAlign w:val="center"/>
          </w:tcPr>
          <w:p>
            <w:pPr>
              <w:pStyle w:val="Compact"/>
              <w:suppressAutoHyphens/>
              <w:jc w:val="center"/>
            </w:pPr>
            <w:r>
              <w:rPr>
                <w:sz w:val="17"/>
                <w:szCs w:val="17"/>
                <w:highlight w:val="green"/>
              </w:rPr>
              <w:t xml:space="preserve"> 0.892±0.009 </w:t>
            </w:r>
          </w:p>
        </w:tc>
        <w:tc>
          <w:tcPr>
            <w:vAlign w:val="center"/>
          </w:tcPr>
          <w:p>
            <w:pPr>
              <w:pStyle w:val="Compact"/>
              <w:suppressAutoHyphens/>
              <w:jc w:val="center"/>
            </w:pPr>
            <w:r>
              <w:rPr>
                <w:sz w:val="17"/>
                <w:szCs w:val="17"/>
                <w:highlight w:val="green"/>
              </w:rPr>
              <w:t xml:space="preserve"> 0.58 </w:t>
            </w:r>
          </w:p>
        </w:tc>
        <w:tc>
          <w:tcPr>
            <w:vAlign w:val="center"/>
          </w:tcPr>
          <w:p>
            <w:pPr>
              <w:pStyle w:val="Compact"/>
              <w:suppressAutoHyphens/>
              <w:jc w:val="center"/>
            </w:pPr>
            <w:r>
              <w:rPr>
                <w:sz w:val="17"/>
                <w:szCs w:val="17"/>
                <w:highlight w:val="green"/>
              </w:rPr>
              <w:t xml:space="preserve"> 0.771±0.023 </w:t>
            </w:r>
          </w:p>
        </w:tc>
        <w:tc>
          <w:tcPr>
            <w:vAlign w:val="center"/>
          </w:tcPr>
          <w:p>
            <w:pPr>
              <w:pStyle w:val="Compact"/>
              <w:suppressAutoHyphens/>
              <w:jc w:val="center"/>
            </w:pPr>
            <w:r>
              <w:rPr>
                <w:sz w:val="17"/>
                <w:szCs w:val="17"/>
                <w:highlight w:val="green"/>
              </w:rPr>
              <w:t xml:space="preserve"> 0.42 </w:t>
            </w:r>
          </w:p>
        </w:tc>
      </w:tr>
      <w:tr>
        <w:tc>
          <w:tcPr>
            <w:gridSpan w:val="8"/>
            <w:vAlign w:val="center"/>
          </w:tcPr>
          <w:p>
            <w:pPr>
              <w:pStyle w:val="Compact"/>
              <w:suppressAutoHyphens/>
              <w:jc w:val="center"/>
            </w:pPr>
            <w:r>
              <w:rPr>
                <w:b/>
                <w:bCs/>
                <w:sz w:val="17"/>
                <w:szCs w:val="17"/>
              </w:rPr>
              <w:t xml:space="preserve">HAI</w:t>
            </w:r>
            <w:r>
              <w:rPr>
                <w:sz w:val="17"/>
                <w:szCs w:val="17"/>
              </w:rPr>
              <w:t xml:space="preserve"> </w:t>
            </w:r>
            <w:r>
              <w:rPr>
                <w:sz w:val="17"/>
                <w:szCs w:val="17"/>
              </w:rPr>
              <w:t xml:space="preserve"> </w:t>
            </w:r>
            <w:r>
              <w:rPr>
                <w:sz w:val="17"/>
                <w:szCs w:val="17"/>
              </w:rPr>
              <w:t xml:space="preserve">(anom 652 = 485 easy + 167 difficult)</w:t>
            </w:r>
          </w:p>
        </w:tc>
      </w:tr>
      <w:tr>
        <w:tc>
          <w:tcPr>
            <w:vAlign w:val="center"/>
          </w:tcPr>
          <w:p>
            <w:pPr>
              <w:pStyle w:val="Compact"/>
              <w:suppressAutoHyphens/>
              <w:jc w:val="center"/>
            </w:pPr>
            <w:r>
              <w:rPr>
                <w:sz w:val="17"/>
                <w:szCs w:val="17"/>
              </w:rPr>
              <w:t xml:space="preserve">trivial max|u|</w:t>
            </w:r>
          </w:p>
        </w:tc>
        <w:tc>
          <w:tcPr>
            <w:vAlign w:val="center"/>
          </w:tcPr>
          <w:p>
            <w:pPr>
              <w:pStyle w:val="Compact"/>
              <w:suppressAutoHyphens/>
              <w:jc w:val="center"/>
            </w:pPr>
            <w:r>
              <w:rPr>
                <w:sz w:val="17"/>
                <w:szCs w:val="17"/>
              </w:rPr>
              <w:t xml:space="preserve">Baseline</w:t>
            </w:r>
          </w:p>
        </w:tc>
        <w:tc>
          <w:tcPr>
            <w:vAlign w:val="center"/>
          </w:tcPr>
          <w:p>
            <w:pPr>
              <w:pStyle w:val="Compact"/>
              <w:suppressAutoHyphens/>
              <w:jc w:val="center"/>
            </w:pPr>
            <w:r>
              <w:rPr>
                <w:sz w:val="17"/>
                <w:szCs w:val="17"/>
              </w:rPr>
              <w:t xml:space="preserve">0.806</w:t>
            </w:r>
          </w:p>
        </w:tc>
        <w:tc>
          <w:tcPr>
            <w:vAlign w:val="center"/>
          </w:tcPr>
          <w:p>
            <w:pPr>
              <w:pStyle w:val="Compact"/>
              <w:suppressAutoHyphens/>
              <w:jc w:val="center"/>
            </w:pPr>
            <w:r>
              <w:rPr>
                <w:sz w:val="17"/>
                <w:szCs w:val="17"/>
              </w:rPr>
              <w:t xml:space="preserve">0.666</w:t>
            </w:r>
          </w:p>
        </w:tc>
        <w:tc>
          <w:tcPr>
            <w:vAlign w:val="center"/>
          </w:tcPr>
          <w:p>
            <w:pPr>
              <w:pStyle w:val="Compact"/>
              <w:suppressAutoHyphens/>
              <w:jc w:val="center"/>
            </w:pPr>
            <w:r>
              <w:rPr>
                <w:sz w:val="17"/>
                <w:szCs w:val="17"/>
              </w:rPr>
              <w:t xml:space="preserve">0.966</w:t>
            </w:r>
          </w:p>
        </w:tc>
        <w:tc>
          <w:tcPr>
            <w:vAlign w:val="center"/>
          </w:tcPr>
          <w:p>
            <w:pPr>
              <w:pStyle w:val="Compact"/>
              <w:suppressAutoHyphens/>
              <w:jc w:val="center"/>
            </w:pPr>
            <w:r>
              <w:rPr>
                <w:sz w:val="17"/>
                <w:szCs w:val="17"/>
              </w:rPr>
              <w:t xml:space="preserve">0.800</w:t>
            </w:r>
          </w:p>
        </w:tc>
        <w:tc>
          <w:tcPr>
            <w:vAlign w:val="center"/>
          </w:tcPr>
          <w:p>
            <w:pPr>
              <w:pStyle w:val="Compact"/>
              <w:suppressAutoHyphens/>
              <w:jc w:val="center"/>
            </w:pPr>
            <w:r>
              <w:rPr>
                <w:sz w:val="17"/>
                <w:szCs w:val="17"/>
              </w:rPr>
              <w:t xml:space="preserve">0.340</w:t>
            </w:r>
          </w:p>
        </w:tc>
        <w:tc>
          <w:tcPr>
            <w:vAlign w:val="center"/>
          </w:tcPr>
          <w:p>
            <w:pPr>
              <w:pStyle w:val="Compact"/>
              <w:suppressAutoHyphens/>
              <w:jc w:val="center"/>
            </w:pPr>
            <w:r>
              <w:rPr>
                <w:sz w:val="17"/>
                <w:szCs w:val="17"/>
              </w:rPr>
              <w:t xml:space="preserve">0.000</w:t>
            </w:r>
          </w:p>
        </w:tc>
      </w:tr>
      <w:tr>
        <w:tc>
          <w:tcPr>
            <w:vAlign w:val="center"/>
          </w:tcPr>
          <w:p>
            <w:pPr>
              <w:pStyle w:val="Compact"/>
              <w:suppressAutoHyphens/>
              <w:jc w:val="center"/>
            </w:pPr>
            <w:r>
              <w:rPr>
                <w:sz w:val="17"/>
                <w:szCs w:val="17"/>
              </w:rPr>
              <w:t xml:space="preserve">Isolation Forest</w:t>
            </w:r>
          </w:p>
        </w:tc>
        <w:tc>
          <w:tcPr>
            <w:vAlign w:val="center"/>
          </w:tcPr>
          <w:p>
            <w:pPr>
              <w:pStyle w:val="Compact"/>
              <w:suppressAutoHyphens/>
              <w:jc w:val="center"/>
            </w:pPr>
            <w:r>
              <w:rPr>
                <w:sz w:val="17"/>
                <w:szCs w:val="17"/>
              </w:rPr>
              <w:t xml:space="preserve">Baseline</w:t>
            </w:r>
          </w:p>
        </w:tc>
        <w:tc>
          <w:tcPr>
            <w:vAlign w:val="center"/>
          </w:tcPr>
          <w:p>
            <w:pPr>
              <w:pStyle w:val="Compact"/>
              <w:suppressAutoHyphens/>
              <w:jc w:val="center"/>
            </w:pPr>
            <w:r>
              <w:rPr>
                <w:sz w:val="17"/>
                <w:szCs w:val="17"/>
              </w:rPr>
              <w:t xml:space="preserve">0.844±0.011</w:t>
            </w:r>
          </w:p>
        </w:tc>
        <w:tc>
          <w:tcPr>
            <w:vAlign w:val="center"/>
          </w:tcPr>
          <w:p>
            <w:pPr>
              <w:pStyle w:val="Compact"/>
              <w:suppressAutoHyphens/>
              <w:jc w:val="center"/>
            </w:pPr>
            <w:r>
              <w:rPr>
                <w:sz w:val="17"/>
                <w:szCs w:val="17"/>
              </w:rPr>
              <w:t xml:space="preserve">0.418</w:t>
            </w:r>
          </w:p>
        </w:tc>
        <w:tc>
          <w:tcPr>
            <w:vAlign w:val="center"/>
          </w:tcPr>
          <w:p>
            <w:pPr>
              <w:pStyle w:val="Compact"/>
              <w:suppressAutoHyphens/>
              <w:jc w:val="center"/>
            </w:pPr>
            <w:r>
              <w:rPr>
                <w:sz w:val="17"/>
                <w:szCs w:val="17"/>
              </w:rPr>
              <w:t xml:space="preserve">0.919±0.016</w:t>
            </w:r>
          </w:p>
        </w:tc>
        <w:tc>
          <w:tcPr>
            <w:vAlign w:val="center"/>
          </w:tcPr>
          <w:p>
            <w:pPr>
              <w:pStyle w:val="Compact"/>
              <w:suppressAutoHyphens/>
              <w:jc w:val="center"/>
            </w:pPr>
            <w:r>
              <w:rPr>
                <w:sz w:val="17"/>
                <w:szCs w:val="17"/>
              </w:rPr>
              <w:t xml:space="preserve">0.468</w:t>
            </w:r>
          </w:p>
        </w:tc>
        <w:tc>
          <w:tcPr>
            <w:vAlign w:val="center"/>
          </w:tcPr>
          <w:p>
            <w:pPr>
              <w:pStyle w:val="Compact"/>
              <w:suppressAutoHyphens/>
              <w:jc w:val="center"/>
            </w:pPr>
            <w:r>
              <w:rPr>
                <w:sz w:val="17"/>
                <w:szCs w:val="17"/>
              </w:rPr>
              <w:t xml:space="preserve">0.627±0.005</w:t>
            </w:r>
          </w:p>
        </w:tc>
        <w:tc>
          <w:tcPr>
            <w:vAlign w:val="center"/>
          </w:tcPr>
          <w:p>
            <w:pPr>
              <w:pStyle w:val="Compact"/>
              <w:suppressAutoHyphens/>
              <w:jc w:val="center"/>
            </w:pPr>
            <w:r>
              <w:rPr>
                <w:sz w:val="17"/>
                <w:szCs w:val="17"/>
              </w:rPr>
              <w:t xml:space="preserve">0.059</w:t>
            </w:r>
          </w:p>
        </w:tc>
      </w:tr>
      <w:tr>
        <w:tc>
          <w:tcPr>
            <w:vAlign w:val="center"/>
          </w:tcPr>
          <w:p>
            <w:pPr>
              <w:pStyle w:val="Compact"/>
              <w:suppressAutoHyphens/>
              <w:jc w:val="center"/>
            </w:pPr>
            <w:r>
              <w:rPr>
                <w:sz w:val="17"/>
                <w:szCs w:val="17"/>
              </w:rPr>
              <w:t xml:space="preserve">AutoEncoder</w:t>
            </w:r>
          </w:p>
        </w:tc>
        <w:tc>
          <w:tcPr>
            <w:vAlign w:val="center"/>
          </w:tcPr>
          <w:p>
            <w:pPr>
              <w:pStyle w:val="Compact"/>
              <w:suppressAutoHyphens/>
              <w:jc w:val="center"/>
            </w:pPr>
            <w:r>
              <w:rPr>
                <w:sz w:val="17"/>
                <w:szCs w:val="17"/>
              </w:rPr>
              <w:t xml:space="preserve">Baseline</w:t>
            </w:r>
          </w:p>
        </w:tc>
        <w:tc>
          <w:tcPr>
            <w:vAlign w:val="center"/>
          </w:tcPr>
          <w:p>
            <w:pPr>
              <w:pStyle w:val="Compact"/>
              <w:suppressAutoHyphens/>
              <w:jc w:val="center"/>
            </w:pPr>
            <w:r>
              <w:rPr>
                <w:sz w:val="17"/>
                <w:szCs w:val="17"/>
              </w:rPr>
              <w:t xml:space="preserve">0.923±0.001</w:t>
            </w:r>
          </w:p>
        </w:tc>
        <w:tc>
          <w:tcPr>
            <w:vAlign w:val="center"/>
          </w:tcPr>
          <w:p>
            <w:pPr>
              <w:pStyle w:val="Compact"/>
              <w:suppressAutoHyphens/>
              <w:jc w:val="center"/>
            </w:pPr>
            <w:r>
              <w:rPr>
                <w:sz w:val="17"/>
                <w:szCs w:val="17"/>
              </w:rPr>
              <w:t xml:space="preserve">0.733</w:t>
            </w:r>
          </w:p>
        </w:tc>
        <w:tc>
          <w:tcPr>
            <w:vAlign w:val="center"/>
          </w:tcPr>
          <w:p>
            <w:pPr>
              <w:pStyle w:val="Compact"/>
              <w:suppressAutoHyphens/>
              <w:jc w:val="center"/>
            </w:pPr>
            <w:r>
              <w:rPr>
                <w:sz w:val="17"/>
                <w:szCs w:val="17"/>
              </w:rPr>
              <w:t xml:space="preserve">0.980</w:t>
            </w:r>
          </w:p>
        </w:tc>
        <w:tc>
          <w:tcPr>
            <w:vAlign w:val="center"/>
          </w:tcPr>
          <w:p>
            <w:pPr>
              <w:pStyle w:val="Compact"/>
              <w:suppressAutoHyphens/>
              <w:jc w:val="center"/>
            </w:pPr>
            <w:r>
              <w:rPr>
                <w:sz w:val="17"/>
                <w:szCs w:val="17"/>
              </w:rPr>
              <w:t xml:space="preserve">0.803</w:t>
            </w:r>
          </w:p>
        </w:tc>
        <w:tc>
          <w:tcPr>
            <w:vAlign w:val="center"/>
          </w:tcPr>
          <w:p>
            <w:pPr>
              <w:pStyle w:val="Compact"/>
              <w:suppressAutoHyphens/>
              <w:jc w:val="center"/>
            </w:pPr>
            <w:r>
              <w:rPr>
                <w:sz w:val="17"/>
                <w:szCs w:val="17"/>
              </w:rPr>
              <w:t xml:space="preserve">0.757±0.003</w:t>
            </w:r>
          </w:p>
        </w:tc>
        <w:tc>
          <w:tcPr>
            <w:vAlign w:val="center"/>
          </w:tcPr>
          <w:p>
            <w:pPr>
              <w:pStyle w:val="Compact"/>
              <w:suppressAutoHyphens/>
              <w:jc w:val="center"/>
            </w:pPr>
            <w:r>
              <w:rPr>
                <w:sz w:val="17"/>
                <w:szCs w:val="17"/>
              </w:rPr>
              <w:t xml:space="preserve">0.340</w:t>
            </w:r>
          </w:p>
        </w:tc>
      </w:tr>
      <w:tr>
        <w:tc>
          <w:tcPr>
            <w:vAlign w:val="center"/>
          </w:tcPr>
          <w:p>
            <w:pPr>
              <w:pStyle w:val="Compact"/>
              <w:suppressAutoHyphens/>
              <w:jc w:val="center"/>
            </w:pPr>
            <w:r>
              <w:rPr>
                <w:sz w:val="17"/>
                <w:szCs w:val="17"/>
              </w:rPr>
              <w:t xml:space="preserve">LinRes (one-hot)</w:t>
            </w:r>
          </w:p>
        </w:tc>
        <w:tc>
          <w:tcPr>
            <w:vAlign w:val="center"/>
          </w:tcPr>
          <w:p>
            <w:pPr>
              <w:pStyle w:val="Compact"/>
              <w:suppressAutoHyphens/>
              <w:jc w:val="center"/>
            </w:pPr>
            <w:r>
              <w:rPr>
                <w:sz w:val="17"/>
                <w:szCs w:val="17"/>
              </w:rPr>
              <w:t xml:space="preserve">Baseline</w:t>
            </w:r>
          </w:p>
        </w:tc>
        <w:tc>
          <w:tcPr>
            <w:vAlign w:val="center"/>
          </w:tcPr>
          <w:p>
            <w:pPr>
              <w:pStyle w:val="Compact"/>
              <w:suppressAutoHyphens/>
              <w:jc w:val="center"/>
            </w:pPr>
            <w:r>
              <w:rPr>
                <w:sz w:val="17"/>
                <w:szCs w:val="17"/>
              </w:rPr>
              <w:t xml:space="preserve">0.779</w:t>
            </w:r>
          </w:p>
        </w:tc>
        <w:tc>
          <w:tcPr>
            <w:vAlign w:val="center"/>
          </w:tcPr>
          <w:p>
            <w:pPr>
              <w:pStyle w:val="Compact"/>
              <w:suppressAutoHyphens/>
              <w:jc w:val="center"/>
            </w:pPr>
            <w:r>
              <w:rPr>
                <w:sz w:val="17"/>
                <w:szCs w:val="17"/>
              </w:rPr>
              <w:t xml:space="preserve">0.499</w:t>
            </w:r>
          </w:p>
        </w:tc>
        <w:tc>
          <w:tcPr>
            <w:vAlign w:val="center"/>
          </w:tcPr>
          <w:p>
            <w:pPr>
              <w:pStyle w:val="Compact"/>
              <w:suppressAutoHyphens/>
              <w:jc w:val="center"/>
            </w:pPr>
            <w:r>
              <w:rPr>
                <w:sz w:val="17"/>
                <w:szCs w:val="17"/>
              </w:rPr>
              <w:t xml:space="preserve">0.846</w:t>
            </w:r>
          </w:p>
        </w:tc>
        <w:tc>
          <w:tcPr>
            <w:vAlign w:val="center"/>
          </w:tcPr>
          <w:p>
            <w:pPr>
              <w:pStyle w:val="Compact"/>
              <w:suppressAutoHyphens/>
              <w:jc w:val="center"/>
            </w:pPr>
            <w:r>
              <w:rPr>
                <w:sz w:val="17"/>
                <w:szCs w:val="17"/>
              </w:rPr>
              <w:t xml:space="preserve">0.605</w:t>
            </w:r>
          </w:p>
        </w:tc>
        <w:tc>
          <w:tcPr>
            <w:vAlign w:val="center"/>
          </w:tcPr>
          <w:p>
            <w:pPr>
              <w:pStyle w:val="Compact"/>
              <w:suppressAutoHyphens/>
              <w:jc w:val="center"/>
            </w:pPr>
            <w:r>
              <w:rPr>
                <w:sz w:val="17"/>
                <w:szCs w:val="17"/>
              </w:rPr>
              <w:t xml:space="preserve">0.586</w:t>
            </w:r>
          </w:p>
        </w:tc>
        <w:tc>
          <w:tcPr>
            <w:vAlign w:val="center"/>
          </w:tcPr>
          <w:p>
            <w:pPr>
              <w:pStyle w:val="Compact"/>
              <w:suppressAutoHyphens/>
              <w:jc w:val="center"/>
            </w:pPr>
            <w:r>
              <w:rPr>
                <w:sz w:val="17"/>
                <w:szCs w:val="17"/>
              </w:rPr>
              <w:t xml:space="preserve">0.121</w:t>
            </w:r>
          </w:p>
        </w:tc>
      </w:tr>
      <w:tr>
        <w:tc>
          <w:tcPr>
            <w:vAlign w:val="center"/>
          </w:tcPr>
          <w:p>
            <w:pPr>
              <w:pStyle w:val="Compact"/>
              <w:suppressAutoHyphens/>
              <w:jc w:val="center"/>
            </w:pPr>
            <w:r>
              <w:rPr>
                <w:sz w:val="17"/>
                <w:szCs w:val="17"/>
              </w:rPr>
              <w:t xml:space="preserve">USAD</w:t>
            </w:r>
          </w:p>
        </w:tc>
        <w:tc>
          <w:tcPr>
            <w:vAlign w:val="center"/>
          </w:tcPr>
          <w:p>
            <w:pPr>
              <w:pStyle w:val="Compact"/>
              <w:suppressAutoHyphens/>
              <w:jc w:val="center"/>
            </w:pPr>
            <w:r>
              <w:rPr>
                <w:sz w:val="17"/>
                <w:szCs w:val="17"/>
              </w:rPr>
              <w:t xml:space="preserve">SOTA</w:t>
            </w:r>
          </w:p>
        </w:tc>
        <w:tc>
          <w:tcPr>
            <w:vAlign w:val="center"/>
          </w:tcPr>
          <w:p>
            <w:pPr>
              <w:pStyle w:val="Compact"/>
              <w:suppressAutoHyphens/>
              <w:jc w:val="center"/>
            </w:pPr>
            <w:r>
              <w:rPr>
                <w:sz w:val="17"/>
                <w:szCs w:val="17"/>
              </w:rPr>
              <w:t xml:space="preserve">0.843±0.005</w:t>
            </w:r>
          </w:p>
        </w:tc>
        <w:tc>
          <w:tcPr>
            <w:vAlign w:val="center"/>
          </w:tcPr>
          <w:p>
            <w:pPr>
              <w:pStyle w:val="Compact"/>
              <w:suppressAutoHyphens/>
              <w:jc w:val="center"/>
            </w:pPr>
            <w:r>
              <w:rPr>
                <w:sz w:val="17"/>
                <w:szCs w:val="17"/>
              </w:rPr>
              <w:t xml:space="preserve">0.691</w:t>
            </w:r>
          </w:p>
        </w:tc>
        <w:tc>
          <w:tcPr>
            <w:vAlign w:val="center"/>
          </w:tcPr>
          <w:p>
            <w:pPr>
              <w:pStyle w:val="Compact"/>
              <w:suppressAutoHyphens/>
              <w:jc w:val="center"/>
            </w:pPr>
            <w:r>
              <w:rPr>
                <w:sz w:val="17"/>
                <w:szCs w:val="17"/>
              </w:rPr>
              <w:t xml:space="preserve">0.969±0.001</w:t>
            </w:r>
          </w:p>
        </w:tc>
        <w:tc>
          <w:tcPr>
            <w:vAlign w:val="center"/>
          </w:tcPr>
          <w:p>
            <w:pPr>
              <w:pStyle w:val="Compact"/>
              <w:suppressAutoHyphens/>
              <w:jc w:val="center"/>
            </w:pPr>
            <w:r>
              <w:rPr>
                <w:sz w:val="17"/>
                <w:szCs w:val="17"/>
              </w:rPr>
              <w:t xml:space="preserve">0.823</w:t>
            </w:r>
          </w:p>
        </w:tc>
        <w:tc>
          <w:tcPr>
            <w:vAlign w:val="center"/>
          </w:tcPr>
          <w:p>
            <w:pPr>
              <w:pStyle w:val="Compact"/>
              <w:suppressAutoHyphens/>
              <w:jc w:val="center"/>
            </w:pPr>
            <w:r>
              <w:rPr>
                <w:sz w:val="17"/>
                <w:szCs w:val="17"/>
              </w:rPr>
              <w:t xml:space="preserve">0.477±0.018</w:t>
            </w:r>
          </w:p>
        </w:tc>
        <w:tc>
          <w:tcPr>
            <w:vAlign w:val="center"/>
          </w:tcPr>
          <w:p>
            <w:pPr>
              <w:pStyle w:val="Compact"/>
              <w:suppressAutoHyphens/>
              <w:jc w:val="center"/>
            </w:pPr>
            <w:r>
              <w:rPr>
                <w:sz w:val="17"/>
                <w:szCs w:val="17"/>
              </w:rPr>
              <w:t xml:space="preserve">0.018</w:t>
            </w:r>
          </w:p>
        </w:tc>
      </w:tr>
      <w:tr>
        <w:tc>
          <w:tcPr>
            <w:vAlign w:val="center"/>
          </w:tcPr>
          <w:p>
            <w:pPr>
              <w:pStyle w:val="Compact"/>
              <w:suppressAutoHyphens/>
              <w:jc w:val="center"/>
            </w:pPr>
            <w:r>
              <w:rPr>
                <w:sz w:val="17"/>
                <w:szCs w:val="17"/>
              </w:rPr>
              <w:t xml:space="preserve">TranAD</w:t>
            </w:r>
          </w:p>
        </w:tc>
        <w:tc>
          <w:tcPr>
            <w:vAlign w:val="center"/>
          </w:tcPr>
          <w:p>
            <w:pPr>
              <w:pStyle w:val="Compact"/>
              <w:suppressAutoHyphens/>
              <w:jc w:val="center"/>
            </w:pPr>
            <w:r>
              <w:rPr>
                <w:sz w:val="17"/>
                <w:szCs w:val="17"/>
              </w:rPr>
              <w:t xml:space="preserve">SOTA</w:t>
            </w:r>
          </w:p>
        </w:tc>
        <w:tc>
          <w:tcPr>
            <w:vAlign w:val="center"/>
          </w:tcPr>
          <w:p>
            <w:pPr>
              <w:pStyle w:val="Compact"/>
              <w:suppressAutoHyphens/>
              <w:jc w:val="center"/>
            </w:pPr>
            <w:r>
              <w:rPr>
                <w:sz w:val="17"/>
                <w:szCs w:val="17"/>
              </w:rPr>
              <w:t xml:space="preserve">0.834±0.002</w:t>
            </w:r>
          </w:p>
        </w:tc>
        <w:tc>
          <w:tcPr>
            <w:vAlign w:val="center"/>
          </w:tcPr>
          <w:p>
            <w:pPr>
              <w:pStyle w:val="Compact"/>
              <w:suppressAutoHyphens/>
              <w:jc w:val="center"/>
            </w:pPr>
            <w:r>
              <w:rPr>
                <w:sz w:val="17"/>
                <w:szCs w:val="17"/>
              </w:rPr>
              <w:t xml:space="preserve">0.692</w:t>
            </w:r>
          </w:p>
        </w:tc>
        <w:tc>
          <w:tcPr>
            <w:vAlign w:val="center"/>
          </w:tcPr>
          <w:p>
            <w:pPr>
              <w:pStyle w:val="Compact"/>
              <w:suppressAutoHyphens/>
              <w:jc w:val="center"/>
            </w:pPr>
            <w:r>
              <w:rPr>
                <w:sz w:val="17"/>
                <w:szCs w:val="17"/>
              </w:rPr>
              <w:t xml:space="preserve">0.968</w:t>
            </w:r>
          </w:p>
        </w:tc>
        <w:tc>
          <w:tcPr>
            <w:vAlign w:val="center"/>
          </w:tcPr>
          <w:p>
            <w:pPr>
              <w:pStyle w:val="Compact"/>
              <w:suppressAutoHyphens/>
              <w:jc w:val="center"/>
            </w:pPr>
            <w:r>
              <w:rPr>
                <w:sz w:val="17"/>
                <w:szCs w:val="17"/>
              </w:rPr>
              <w:t xml:space="preserve">0.824</w:t>
            </w:r>
          </w:p>
        </w:tc>
        <w:tc>
          <w:tcPr>
            <w:vAlign w:val="center"/>
          </w:tcPr>
          <w:p>
            <w:pPr>
              <w:pStyle w:val="Compact"/>
              <w:suppressAutoHyphens/>
              <w:jc w:val="center"/>
            </w:pPr>
            <w:r>
              <w:rPr>
                <w:sz w:val="17"/>
                <w:szCs w:val="17"/>
              </w:rPr>
              <w:t xml:space="preserve">0.444±0.010</w:t>
            </w:r>
          </w:p>
        </w:tc>
        <w:tc>
          <w:tcPr>
            <w:vAlign w:val="center"/>
          </w:tcPr>
          <w:p>
            <w:pPr>
              <w:pStyle w:val="Compact"/>
              <w:suppressAutoHyphens/>
              <w:jc w:val="center"/>
            </w:pPr>
            <w:r>
              <w:rPr>
                <w:sz w:val="17"/>
                <w:szCs w:val="17"/>
              </w:rPr>
              <w:t xml:space="preserve">0.015</w:t>
            </w:r>
          </w:p>
        </w:tc>
      </w:tr>
      <w:tr>
        <w:tc>
          <w:tcPr>
            <w:vAlign w:val="center"/>
          </w:tcPr>
          <w:p>
            <w:pPr>
              <w:pStyle w:val="Compact"/>
              <w:suppressAutoHyphens/>
              <w:jc w:val="center"/>
            </w:pPr>
            <w:r>
              <w:rPr>
                <w:sz w:val="17"/>
                <w:szCs w:val="17"/>
                <w:highlight w:val="green"/>
              </w:rPr>
              <w:t xml:space="preserve"> GDN </w:t>
            </w:r>
          </w:p>
        </w:tc>
        <w:tc>
          <w:tcPr>
            <w:vAlign w:val="center"/>
          </w:tcPr>
          <w:p>
            <w:pPr>
              <w:pStyle w:val="Compact"/>
              <w:suppressAutoHyphens/>
              <w:jc w:val="center"/>
            </w:pPr>
            <w:r>
              <w:rPr>
                <w:sz w:val="17"/>
                <w:szCs w:val="17"/>
                <w:highlight w:val="green"/>
              </w:rPr>
              <w:t xml:space="preserve"> SOTA </w:t>
            </w:r>
          </w:p>
        </w:tc>
        <w:tc>
          <w:tcPr>
            <w:vAlign w:val="center"/>
          </w:tcPr>
          <w:p>
            <w:pPr>
              <w:pStyle w:val="Compact"/>
              <w:suppressAutoHyphens/>
              <w:jc w:val="center"/>
            </w:pPr>
            <w:r>
              <w:rPr>
                <w:sz w:val="17"/>
                <w:szCs w:val="17"/>
                <w:highlight w:val="green"/>
              </w:rPr>
              <w:t xml:space="preserve"> 0.845 </w:t>
            </w:r>
          </w:p>
        </w:tc>
        <w:tc>
          <w:tcPr>
            <w:vAlign w:val="center"/>
          </w:tcPr>
          <w:p>
            <w:pPr>
              <w:pStyle w:val="Compact"/>
              <w:suppressAutoHyphens/>
              <w:jc w:val="center"/>
            </w:pPr>
            <w:r>
              <w:rPr>
                <w:sz w:val="17"/>
                <w:szCs w:val="17"/>
                <w:highlight w:val="green"/>
              </w:rPr>
              <w:t xml:space="preserve"> – </w:t>
            </w:r>
          </w:p>
        </w:tc>
        <w:tc>
          <w:tcPr>
            <w:vAlign w:val="center"/>
          </w:tcPr>
          <w:p>
            <w:pPr>
              <w:pStyle w:val="Compact"/>
              <w:suppressAutoHyphens/>
              <w:jc w:val="center"/>
            </w:pPr>
            <w:r>
              <w:rPr>
                <w:sz w:val="17"/>
                <w:szCs w:val="17"/>
                <w:highlight w:val="green"/>
              </w:rPr>
              <w:t xml:space="preserve"> 0.970 </w:t>
            </w:r>
          </w:p>
        </w:tc>
        <w:tc>
          <w:tcPr>
            <w:vAlign w:val="center"/>
          </w:tcPr>
          <w:p>
            <w:pPr>
              <w:pStyle w:val="Compact"/>
              <w:suppressAutoHyphens/>
              <w:jc w:val="center"/>
            </w:pPr>
            <w:r>
              <w:rPr>
                <w:sz w:val="17"/>
                <w:szCs w:val="17"/>
                <w:highlight w:val="green"/>
              </w:rPr>
              <w:t xml:space="preserve"> – </w:t>
            </w:r>
          </w:p>
        </w:tc>
        <w:tc>
          <w:tcPr>
            <w:vAlign w:val="center"/>
          </w:tcPr>
          <w:p>
            <w:pPr>
              <w:pStyle w:val="Compact"/>
              <w:suppressAutoHyphens/>
              <w:jc w:val="center"/>
            </w:pPr>
            <w:r>
              <w:rPr>
                <w:sz w:val="17"/>
                <w:szCs w:val="17"/>
                <w:highlight w:val="green"/>
              </w:rPr>
              <w:t xml:space="preserve"> 0.481 </w:t>
            </w:r>
          </w:p>
        </w:tc>
        <w:tc>
          <w:tcPr>
            <w:vAlign w:val="center"/>
          </w:tcPr>
          <w:p>
            <w:pPr>
              <w:pStyle w:val="Compact"/>
              <w:suppressAutoHyphens/>
              <w:jc w:val="center"/>
            </w:pPr>
            <w:r>
              <w:rPr>
                <w:sz w:val="17"/>
                <w:szCs w:val="17"/>
                <w:highlight w:val="green"/>
              </w:rPr>
              <w:t xml:space="preserve"> – </w:t>
            </w:r>
          </w:p>
        </w:tc>
      </w:tr>
      <w:tr>
        <w:tc>
          <w:tcPr>
            <w:vAlign w:val="center"/>
          </w:tcPr>
          <w:p>
            <w:pPr>
              <w:pStyle w:val="Compact"/>
              <w:suppressAutoHyphens/>
              <w:jc w:val="center"/>
            </w:pPr>
            <w:r>
              <w:rPr>
                <w:sz w:val="17"/>
                <w:szCs w:val="17"/>
              </w:rPr>
              <w:t xml:space="preserve">LatAD (global density)</w:t>
            </w:r>
          </w:p>
        </w:tc>
        <w:tc>
          <w:tcPr>
            <w:vAlign w:val="center"/>
          </w:tcPr>
          <w:p>
            <w:pPr>
              <w:pStyle w:val="Compact"/>
              <w:suppressAutoHyphens/>
              <w:jc w:val="center"/>
            </w:pPr>
            <w:r>
              <w:rPr>
                <w:sz w:val="17"/>
                <w:szCs w:val="17"/>
              </w:rPr>
              <w:t xml:space="preserve">Ours</w:t>
            </w:r>
          </w:p>
        </w:tc>
        <w:tc>
          <w:tcPr>
            <w:vAlign w:val="center"/>
          </w:tcPr>
          <w:p>
            <w:pPr>
              <w:pStyle w:val="Compact"/>
              <w:suppressAutoHyphens/>
              <w:jc w:val="center"/>
            </w:pPr>
            <w:r>
              <w:rPr>
                <w:sz w:val="17"/>
                <w:szCs w:val="17"/>
              </w:rPr>
              <w:t xml:space="preserve">0.933±0.007</w:t>
            </w:r>
          </w:p>
        </w:tc>
        <w:tc>
          <w:tcPr>
            <w:vAlign w:val="center"/>
          </w:tcPr>
          <w:p>
            <w:pPr>
              <w:pStyle w:val="Compact"/>
              <w:suppressAutoHyphens/>
              <w:jc w:val="center"/>
            </w:pPr>
            <w:r>
              <w:rPr>
                <w:sz w:val="17"/>
                <w:szCs w:val="17"/>
              </w:rPr>
              <w:t xml:space="preserve">0.714</w:t>
            </w:r>
          </w:p>
        </w:tc>
        <w:tc>
          <w:tcPr>
            <w:vAlign w:val="center"/>
          </w:tcPr>
          <w:p>
            <w:pPr>
              <w:pStyle w:val="Compact"/>
              <w:suppressAutoHyphens/>
              <w:jc w:val="center"/>
            </w:pPr>
            <w:r>
              <w:rPr>
                <w:sz w:val="17"/>
                <w:szCs w:val="17"/>
              </w:rPr>
              <w:t xml:space="preserve">0.975±0.004</w:t>
            </w:r>
          </w:p>
        </w:tc>
        <w:tc>
          <w:tcPr>
            <w:vAlign w:val="center"/>
          </w:tcPr>
          <w:p>
            <w:pPr>
              <w:pStyle w:val="Compact"/>
              <w:suppressAutoHyphens/>
              <w:jc w:val="center"/>
            </w:pPr>
            <w:r>
              <w:rPr>
                <w:sz w:val="17"/>
                <w:szCs w:val="17"/>
              </w:rPr>
              <w:t xml:space="preserve">0.780</w:t>
            </w:r>
          </w:p>
        </w:tc>
        <w:tc>
          <w:tcPr>
            <w:vAlign w:val="center"/>
          </w:tcPr>
          <w:p>
            <w:pPr>
              <w:pStyle w:val="Compact"/>
              <w:suppressAutoHyphens/>
              <w:jc w:val="center"/>
            </w:pPr>
            <w:r>
              <w:rPr>
                <w:sz w:val="17"/>
                <w:szCs w:val="17"/>
              </w:rPr>
              <w:t xml:space="preserve">0.811±0.016</w:t>
            </w:r>
          </w:p>
        </w:tc>
        <w:tc>
          <w:tcPr>
            <w:vAlign w:val="center"/>
          </w:tcPr>
          <w:p>
            <w:pPr>
              <w:pStyle w:val="Compact"/>
              <w:suppressAutoHyphens/>
              <w:jc w:val="center"/>
            </w:pPr>
            <w:r>
              <w:rPr>
                <w:sz w:val="17"/>
                <w:szCs w:val="17"/>
              </w:rPr>
              <w:t xml:space="preserve">0.365</w:t>
            </w:r>
          </w:p>
        </w:tc>
      </w:tr>
      <w:tr>
        <w:tc>
          <w:tcPr>
            <w:vAlign w:val="center"/>
          </w:tcPr>
          <w:p>
            <w:pPr>
              <w:pStyle w:val="Compact"/>
              <w:suppressAutoHyphens/>
              <w:jc w:val="center"/>
            </w:pPr>
            <w:r>
              <w:rPr>
                <w:b/>
                <w:bCs/>
                <w:sz w:val="17"/>
                <w:szCs w:val="17"/>
              </w:rPr>
              <w:t xml:space="preserve">LatAD (regime-community)</w:t>
            </w:r>
          </w:p>
        </w:tc>
        <w:tc>
          <w:tcPr>
            <w:vAlign w:val="center"/>
          </w:tcPr>
          <w:p>
            <w:pPr>
              <w:pStyle w:val="Compact"/>
              <w:suppressAutoHyphens/>
              <w:jc w:val="center"/>
            </w:pPr>
            <w:r>
              <w:rPr>
                <w:sz w:val="17"/>
                <w:szCs w:val="17"/>
              </w:rPr>
              <w:t xml:space="preserve">Ours</w:t>
            </w:r>
          </w:p>
        </w:tc>
        <w:tc>
          <w:tcPr>
            <w:vAlign w:val="center"/>
          </w:tcPr>
          <w:p>
            <w:pPr>
              <w:pStyle w:val="Compact"/>
              <w:suppressAutoHyphens/>
              <w:jc w:val="center"/>
            </w:pPr>
            <w:r>
              <w:rPr>
                <w:sz w:val="17"/>
                <w:szCs w:val="17"/>
              </w:rPr>
              <w:t xml:space="preserve"> </w:t>
            </w:r>
            <w:r>
              <w:rPr>
                <w:sz w:val="17"/>
                <w:szCs w:val="17"/>
                <w:highlight w:val="green"/>
              </w:rPr>
              <w:t xml:space="preserve"> 0.948±0.004 </w:t>
            </w:r>
            <w:r>
              <w:rPr>
                <w:sz w:val="17"/>
                <w:szCs w:val="17"/>
              </w:rPr>
              <w:t xml:space="preserve"> </w:t>
            </w:r>
          </w:p>
        </w:tc>
        <w:tc>
          <w:tcPr>
            <w:vAlign w:val="center"/>
          </w:tcPr>
          <w:p>
            <w:pPr>
              <w:pStyle w:val="Compact"/>
              <w:suppressAutoHyphens/>
              <w:jc w:val="center"/>
            </w:pPr>
            <w:r>
              <w:rPr>
                <w:sz w:val="17"/>
                <w:szCs w:val="17"/>
              </w:rPr>
              <w:t xml:space="preserve"> </w:t>
            </w:r>
            <w:r>
              <w:rPr>
                <w:sz w:val="17"/>
                <w:szCs w:val="17"/>
                <w:highlight w:val="green"/>
              </w:rPr>
              <w:t xml:space="preserve"> 0.760 </w:t>
            </w:r>
            <w:r>
              <w:rPr>
                <w:sz w:val="17"/>
                <w:szCs w:val="17"/>
              </w:rPr>
              <w:t xml:space="preserve"> </w:t>
            </w:r>
          </w:p>
        </w:tc>
        <w:tc>
          <w:tcPr>
            <w:vAlign w:val="center"/>
          </w:tcPr>
          <w:p>
            <w:pPr>
              <w:pStyle w:val="Compact"/>
              <w:suppressAutoHyphens/>
              <w:jc w:val="center"/>
            </w:pPr>
            <w:r>
              <w:rPr>
                <w:sz w:val="17"/>
                <w:szCs w:val="17"/>
              </w:rPr>
              <w:t xml:space="preserve"> </w:t>
            </w:r>
            <w:r>
              <w:rPr>
                <w:sz w:val="17"/>
                <w:szCs w:val="17"/>
                <w:highlight w:val="green"/>
              </w:rPr>
              <w:t xml:space="preserve"> 0.984±0.002 </w:t>
            </w:r>
            <w:r>
              <w:rPr>
                <w:sz w:val="17"/>
                <w:szCs w:val="17"/>
              </w:rPr>
              <w:t xml:space="preserve"> </w:t>
            </w:r>
          </w:p>
        </w:tc>
        <w:tc>
          <w:tcPr>
            <w:vAlign w:val="center"/>
          </w:tcPr>
          <w:p>
            <w:pPr>
              <w:pStyle w:val="Compact"/>
              <w:suppressAutoHyphens/>
              <w:jc w:val="center"/>
            </w:pPr>
            <w:r>
              <w:rPr>
                <w:sz w:val="17"/>
                <w:szCs w:val="17"/>
              </w:rPr>
              <w:t xml:space="preserve"> </w:t>
            </w:r>
            <w:r>
              <w:rPr>
                <w:sz w:val="17"/>
                <w:szCs w:val="17"/>
                <w:highlight w:val="green"/>
              </w:rPr>
              <w:t xml:space="preserve"> 0.820 </w:t>
            </w:r>
            <w:r>
              <w:rPr>
                <w:sz w:val="17"/>
                <w:szCs w:val="17"/>
              </w:rPr>
              <w:t xml:space="preserve"> </w:t>
            </w:r>
          </w:p>
        </w:tc>
        <w:tc>
          <w:tcPr>
            <w:vAlign w:val="center"/>
          </w:tcPr>
          <w:p>
            <w:pPr>
              <w:pStyle w:val="Compact"/>
              <w:suppressAutoHyphens/>
              <w:jc w:val="center"/>
            </w:pPr>
            <w:r>
              <w:rPr>
                <w:sz w:val="17"/>
                <w:szCs w:val="17"/>
              </w:rPr>
              <w:t xml:space="preserve"> </w:t>
            </w:r>
            <w:r>
              <w:rPr>
                <w:sz w:val="17"/>
                <w:szCs w:val="17"/>
                <w:highlight w:val="green"/>
              </w:rPr>
              <w:t xml:space="preserve"> 0.845±0.018 </w:t>
            </w:r>
            <w:r>
              <w:rPr>
                <w:sz w:val="17"/>
                <w:szCs w:val="17"/>
              </w:rPr>
              <w:t xml:space="preserve"> </w:t>
            </w:r>
          </w:p>
        </w:tc>
        <w:tc>
          <w:tcPr>
            <w:vAlign w:val="center"/>
          </w:tcPr>
          <w:p>
            <w:pPr>
              <w:pStyle w:val="Compact"/>
              <w:suppressAutoHyphens/>
              <w:jc w:val="center"/>
            </w:pPr>
            <w:r>
              <w:rPr>
                <w:sz w:val="17"/>
                <w:szCs w:val="17"/>
              </w:rPr>
              <w:t xml:space="preserve"> </w:t>
            </w:r>
            <w:r>
              <w:rPr>
                <w:sz w:val="17"/>
                <w:szCs w:val="17"/>
                <w:highlight w:val="green"/>
              </w:rPr>
              <w:t xml:space="preserve"> 0.360 </w:t>
            </w:r>
            <w:r>
              <w:rPr>
                <w:sz w:val="17"/>
                <w:szCs w:val="17"/>
              </w:rPr>
              <w:t xml:space="preserve"> </w:t>
            </w:r>
          </w:p>
        </w:tc>
      </w:tr>
      <w:tr>
        <w:tc>
          <w:tcPr>
            <w:gridSpan w:val="8"/>
            <w:vAlign w:val="center"/>
          </w:tcPr>
          <w:p>
            <w:pPr>
              <w:pStyle w:val="Compact"/>
              <w:suppressAutoHyphens/>
              <w:jc w:val="center"/>
            </w:pPr>
            <w:r>
              <w:rPr>
                <w:b/>
                <w:bCs/>
                <w:sz w:val="17"/>
                <w:szCs w:val="17"/>
              </w:rPr>
              <w:t xml:space="preserve">SWaT</w:t>
            </w:r>
            <w:r>
              <w:rPr>
                <w:sz w:val="17"/>
                <w:szCs w:val="17"/>
              </w:rPr>
              <w:t xml:space="preserve"> </w:t>
            </w:r>
            <w:r>
              <w:rPr>
                <w:sz w:val="17"/>
                <w:szCs w:val="17"/>
              </w:rPr>
              <w:t xml:space="preserve"> </w:t>
            </w:r>
            <w:r>
              <w:rPr>
                <w:sz w:val="17"/>
                <w:szCs w:val="17"/>
              </w:rPr>
              <w:t xml:space="preserve"> </w:t>
            </w:r>
            <w:r>
              <w:rPr>
                <w:sz w:val="17"/>
                <w:szCs w:val="17"/>
                <w:highlight w:val="green"/>
              </w:rPr>
              <w:t xml:space="preserve"> (anom 233 = 148 easy + 85 difficult) </w:t>
            </w:r>
            <w:r>
              <w:rPr>
                <w:sz w:val="17"/>
                <w:szCs w:val="17"/>
              </w:rPr>
              <w:t xml:space="preserve"> </w:t>
            </w:r>
          </w:p>
        </w:tc>
      </w:tr>
      <w:tr>
        <w:tc>
          <w:tcPr>
            <w:vAlign w:val="center"/>
          </w:tcPr>
          <w:p>
            <w:pPr>
              <w:pStyle w:val="Compact"/>
              <w:suppressAutoHyphens/>
              <w:jc w:val="center"/>
            </w:pPr>
            <w:r>
              <w:rPr>
                <w:sz w:val="17"/>
                <w:szCs w:val="17"/>
                <w:highlight w:val="green"/>
              </w:rPr>
              <w:t xml:space="preserve"> trivial max|u| </w:t>
            </w:r>
          </w:p>
        </w:tc>
        <w:tc>
          <w:tcPr>
            <w:vAlign w:val="center"/>
          </w:tcPr>
          <w:p>
            <w:pPr>
              <w:pStyle w:val="Compact"/>
              <w:suppressAutoHyphens/>
              <w:jc w:val="center"/>
            </w:pPr>
            <w:r>
              <w:rPr>
                <w:sz w:val="17"/>
                <w:szCs w:val="17"/>
                <w:highlight w:val="green"/>
              </w:rPr>
              <w:t xml:space="preserve"> Baseline </w:t>
            </w:r>
          </w:p>
        </w:tc>
        <w:tc>
          <w:tcPr>
            <w:vAlign w:val="center"/>
          </w:tcPr>
          <w:p>
            <w:pPr>
              <w:pStyle w:val="Compact"/>
              <w:suppressAutoHyphens/>
              <w:jc w:val="center"/>
            </w:pPr>
            <w:r>
              <w:rPr>
                <w:sz w:val="17"/>
                <w:szCs w:val="17"/>
                <w:highlight w:val="green"/>
              </w:rPr>
              <w:t xml:space="preserve"> 0.871 </w:t>
            </w:r>
          </w:p>
        </w:tc>
        <w:tc>
          <w:tcPr>
            <w:vAlign w:val="center"/>
          </w:tcPr>
          <w:p>
            <w:pPr>
              <w:pStyle w:val="Compact"/>
              <w:suppressAutoHyphens/>
              <w:jc w:val="center"/>
            </w:pPr>
            <w:r>
              <w:rPr>
                <w:sz w:val="17"/>
                <w:szCs w:val="17"/>
                <w:highlight w:val="green"/>
              </w:rPr>
              <w:t xml:space="preserve"> 0.771 </w:t>
            </w:r>
          </w:p>
        </w:tc>
        <w:tc>
          <w:tcPr>
            <w:vAlign w:val="center"/>
          </w:tcPr>
          <w:p>
            <w:pPr>
              <w:pStyle w:val="Compact"/>
              <w:suppressAutoHyphens/>
              <w:jc w:val="center"/>
            </w:pPr>
            <w:r>
              <w:rPr>
                <w:sz w:val="17"/>
                <w:szCs w:val="17"/>
                <w:highlight w:val="green"/>
              </w:rPr>
              <w:t xml:space="preserve"> 1.000 </w:t>
            </w:r>
          </w:p>
        </w:tc>
        <w:tc>
          <w:tcPr>
            <w:vAlign w:val="center"/>
          </w:tcPr>
          <w:p>
            <w:pPr>
              <w:pStyle w:val="Compact"/>
              <w:suppressAutoHyphens/>
              <w:jc w:val="center"/>
            </w:pPr>
            <w:r>
              <w:rPr>
                <w:sz w:val="17"/>
                <w:szCs w:val="17"/>
                <w:highlight w:val="green"/>
              </w:rPr>
              <w:t xml:space="preserve"> 0.969 </w:t>
            </w:r>
          </w:p>
        </w:tc>
        <w:tc>
          <w:tcPr>
            <w:vAlign w:val="center"/>
          </w:tcPr>
          <w:p>
            <w:pPr>
              <w:pStyle w:val="Compact"/>
              <w:suppressAutoHyphens/>
              <w:jc w:val="center"/>
            </w:pPr>
            <w:r>
              <w:rPr>
                <w:sz w:val="17"/>
                <w:szCs w:val="17"/>
                <w:highlight w:val="green"/>
              </w:rPr>
              <w:t xml:space="preserve"> 0.646 </w:t>
            </w:r>
          </w:p>
        </w:tc>
        <w:tc>
          <w:tcPr>
            <w:vAlign w:val="center"/>
          </w:tcPr>
          <w:p>
            <w:pPr>
              <w:pStyle w:val="Compact"/>
              <w:suppressAutoHyphens/>
              <w:jc w:val="center"/>
            </w:pPr>
            <w:r>
              <w:rPr>
                <w:sz w:val="17"/>
                <w:szCs w:val="17"/>
                <w:highlight w:val="green"/>
              </w:rPr>
              <w:t xml:space="preserve"> 0.206 </w:t>
            </w:r>
          </w:p>
        </w:tc>
      </w:tr>
      <w:tr>
        <w:tc>
          <w:tcPr>
            <w:vAlign w:val="center"/>
          </w:tcPr>
          <w:p>
            <w:pPr>
              <w:pStyle w:val="Compact"/>
              <w:suppressAutoHyphens/>
              <w:jc w:val="center"/>
            </w:pPr>
            <w:r>
              <w:rPr>
                <w:sz w:val="17"/>
                <w:szCs w:val="17"/>
                <w:highlight w:val="green"/>
              </w:rPr>
              <w:t xml:space="preserve"> Isolation Forest </w:t>
            </w:r>
          </w:p>
        </w:tc>
        <w:tc>
          <w:tcPr>
            <w:vAlign w:val="center"/>
          </w:tcPr>
          <w:p>
            <w:pPr>
              <w:pStyle w:val="Compact"/>
              <w:suppressAutoHyphens/>
              <w:jc w:val="center"/>
            </w:pPr>
            <w:r>
              <w:rPr>
                <w:sz w:val="17"/>
                <w:szCs w:val="17"/>
                <w:highlight w:val="green"/>
              </w:rPr>
              <w:t xml:space="preserve"> Baseline </w:t>
            </w:r>
          </w:p>
        </w:tc>
        <w:tc>
          <w:tcPr>
            <w:vAlign w:val="center"/>
          </w:tcPr>
          <w:p>
            <w:pPr>
              <w:pStyle w:val="Compact"/>
              <w:suppressAutoHyphens/>
              <w:jc w:val="center"/>
            </w:pPr>
            <w:r>
              <w:rPr>
                <w:sz w:val="17"/>
                <w:szCs w:val="17"/>
                <w:highlight w:val="green"/>
              </w:rPr>
              <w:t xml:space="preserve"> 0.821±0.003 </w:t>
            </w:r>
          </w:p>
        </w:tc>
        <w:tc>
          <w:tcPr>
            <w:vAlign w:val="center"/>
          </w:tcPr>
          <w:p>
            <w:pPr>
              <w:pStyle w:val="Compact"/>
              <w:suppressAutoHyphens/>
              <w:jc w:val="center"/>
            </w:pPr>
            <w:r>
              <w:rPr>
                <w:sz w:val="17"/>
                <w:szCs w:val="17"/>
                <w:highlight w:val="green"/>
              </w:rPr>
              <w:t xml:space="preserve"> 0.680 </w:t>
            </w:r>
          </w:p>
        </w:tc>
        <w:tc>
          <w:tcPr>
            <w:vAlign w:val="center"/>
          </w:tcPr>
          <w:p>
            <w:pPr>
              <w:pStyle w:val="Compact"/>
              <w:suppressAutoHyphens/>
              <w:jc w:val="center"/>
            </w:pPr>
            <w:r>
              <w:rPr>
                <w:sz w:val="17"/>
                <w:szCs w:val="17"/>
                <w:highlight w:val="green"/>
              </w:rPr>
              <w:t xml:space="preserve"> 0.933±0.002 </w:t>
            </w:r>
          </w:p>
        </w:tc>
        <w:tc>
          <w:tcPr>
            <w:vAlign w:val="center"/>
          </w:tcPr>
          <w:p>
            <w:pPr>
              <w:pStyle w:val="Compact"/>
              <w:suppressAutoHyphens/>
              <w:jc w:val="center"/>
            </w:pPr>
            <w:r>
              <w:rPr>
                <w:sz w:val="17"/>
                <w:szCs w:val="17"/>
                <w:highlight w:val="green"/>
              </w:rPr>
              <w:t xml:space="preserve"> 0.874 </w:t>
            </w:r>
          </w:p>
        </w:tc>
        <w:tc>
          <w:tcPr>
            <w:vAlign w:val="center"/>
          </w:tcPr>
          <w:p>
            <w:pPr>
              <w:pStyle w:val="Compact"/>
              <w:suppressAutoHyphens/>
              <w:jc w:val="center"/>
            </w:pPr>
            <w:r>
              <w:rPr>
                <w:sz w:val="17"/>
                <w:szCs w:val="17"/>
                <w:highlight w:val="green"/>
              </w:rPr>
              <w:t xml:space="preserve"> 0.627±0.007 </w:t>
            </w:r>
          </w:p>
        </w:tc>
        <w:tc>
          <w:tcPr>
            <w:vAlign w:val="center"/>
          </w:tcPr>
          <w:p>
            <w:pPr>
              <w:pStyle w:val="Compact"/>
              <w:suppressAutoHyphens/>
              <w:jc w:val="center"/>
            </w:pPr>
            <w:r>
              <w:rPr>
                <w:sz w:val="17"/>
                <w:szCs w:val="17"/>
                <w:highlight w:val="green"/>
              </w:rPr>
              <w:t xml:space="preserve"> 0.259 </w:t>
            </w:r>
          </w:p>
        </w:tc>
      </w:tr>
      <w:tr>
        <w:tc>
          <w:tcPr>
            <w:vAlign w:val="center"/>
          </w:tcPr>
          <w:p>
            <w:pPr>
              <w:pStyle w:val="Compact"/>
              <w:suppressAutoHyphens/>
              <w:jc w:val="center"/>
            </w:pPr>
            <w:r>
              <w:rPr>
                <w:sz w:val="17"/>
                <w:szCs w:val="17"/>
                <w:highlight w:val="green"/>
              </w:rPr>
              <w:t xml:space="preserve"> AutoEncoder </w:t>
            </w:r>
          </w:p>
        </w:tc>
        <w:tc>
          <w:tcPr>
            <w:vAlign w:val="center"/>
          </w:tcPr>
          <w:p>
            <w:pPr>
              <w:pStyle w:val="Compact"/>
              <w:suppressAutoHyphens/>
              <w:jc w:val="center"/>
            </w:pPr>
            <w:r>
              <w:rPr>
                <w:sz w:val="17"/>
                <w:szCs w:val="17"/>
                <w:highlight w:val="green"/>
              </w:rPr>
              <w:t xml:space="preserve"> Baseline </w:t>
            </w:r>
          </w:p>
        </w:tc>
        <w:tc>
          <w:tcPr>
            <w:vAlign w:val="center"/>
          </w:tcPr>
          <w:p>
            <w:pPr>
              <w:pStyle w:val="Compact"/>
              <w:suppressAutoHyphens/>
              <w:jc w:val="center"/>
            </w:pPr>
            <w:r>
              <w:rPr>
                <w:sz w:val="17"/>
                <w:szCs w:val="17"/>
                <w:highlight w:val="green"/>
              </w:rPr>
              <w:t xml:space="preserve"> 0.899±0.002 </w:t>
            </w:r>
          </w:p>
        </w:tc>
        <w:tc>
          <w:tcPr>
            <w:vAlign w:val="center"/>
          </w:tcPr>
          <w:p>
            <w:pPr>
              <w:pStyle w:val="Compact"/>
              <w:suppressAutoHyphens/>
              <w:jc w:val="center"/>
            </w:pPr>
            <w:r>
              <w:rPr>
                <w:sz w:val="17"/>
                <w:szCs w:val="17"/>
                <w:highlight w:val="green"/>
              </w:rPr>
              <w:t xml:space="preserve"> 0.800 </w:t>
            </w:r>
          </w:p>
        </w:tc>
        <w:tc>
          <w:tcPr>
            <w:vAlign w:val="center"/>
          </w:tcPr>
          <w:p>
            <w:pPr>
              <w:pStyle w:val="Compact"/>
              <w:suppressAutoHyphens/>
              <w:jc w:val="center"/>
            </w:pPr>
            <w:r>
              <w:rPr>
                <w:sz w:val="17"/>
                <w:szCs w:val="17"/>
                <w:highlight w:val="green"/>
              </w:rPr>
              <w:t xml:space="preserve"> 0.996 </w:t>
            </w:r>
          </w:p>
        </w:tc>
        <w:tc>
          <w:tcPr>
            <w:vAlign w:val="center"/>
          </w:tcPr>
          <w:p>
            <w:pPr>
              <w:pStyle w:val="Compact"/>
              <w:suppressAutoHyphens/>
              <w:jc w:val="center"/>
            </w:pPr>
            <w:r>
              <w:rPr>
                <w:sz w:val="17"/>
                <w:szCs w:val="17"/>
                <w:highlight w:val="green"/>
              </w:rPr>
              <w:t xml:space="preserve"> 0.980 </w:t>
            </w:r>
          </w:p>
        </w:tc>
        <w:tc>
          <w:tcPr>
            <w:vAlign w:val="center"/>
          </w:tcPr>
          <w:p>
            <w:pPr>
              <w:pStyle w:val="Compact"/>
              <w:suppressAutoHyphens/>
              <w:jc w:val="center"/>
            </w:pPr>
            <w:r>
              <w:rPr>
                <w:sz w:val="17"/>
                <w:szCs w:val="17"/>
                <w:highlight w:val="green"/>
              </w:rPr>
              <w:t xml:space="preserve"> 0.729±0.007 </w:t>
            </w:r>
          </w:p>
        </w:tc>
        <w:tc>
          <w:tcPr>
            <w:vAlign w:val="center"/>
          </w:tcPr>
          <w:p>
            <w:pPr>
              <w:pStyle w:val="Compact"/>
              <w:suppressAutoHyphens/>
              <w:jc w:val="center"/>
            </w:pPr>
            <w:r>
              <w:rPr>
                <w:sz w:val="17"/>
                <w:szCs w:val="17"/>
                <w:highlight w:val="green"/>
              </w:rPr>
              <w:t xml:space="preserve"> 0.349 </w:t>
            </w:r>
          </w:p>
        </w:tc>
      </w:tr>
      <w:tr>
        <w:tc>
          <w:tcPr>
            <w:vAlign w:val="center"/>
          </w:tcPr>
          <w:p>
            <w:pPr>
              <w:pStyle w:val="Compact"/>
              <w:suppressAutoHyphens/>
              <w:jc w:val="center"/>
            </w:pPr>
            <w:r>
              <w:rPr>
                <w:sz w:val="17"/>
                <w:szCs w:val="17"/>
                <w:highlight w:val="green"/>
              </w:rPr>
              <w:t xml:space="preserve"> LinRes (one-hot) </w:t>
            </w:r>
          </w:p>
        </w:tc>
        <w:tc>
          <w:tcPr>
            <w:vAlign w:val="center"/>
          </w:tcPr>
          <w:p>
            <w:pPr>
              <w:pStyle w:val="Compact"/>
              <w:suppressAutoHyphens/>
              <w:jc w:val="center"/>
            </w:pPr>
            <w:r>
              <w:rPr>
                <w:sz w:val="17"/>
                <w:szCs w:val="17"/>
                <w:highlight w:val="green"/>
              </w:rPr>
              <w:t xml:space="preserve"> Baseline </w:t>
            </w:r>
          </w:p>
        </w:tc>
        <w:tc>
          <w:tcPr>
            <w:vAlign w:val="center"/>
          </w:tcPr>
          <w:p>
            <w:pPr>
              <w:pStyle w:val="Compact"/>
              <w:suppressAutoHyphens/>
              <w:jc w:val="center"/>
            </w:pPr>
            <w:r>
              <w:rPr>
                <w:sz w:val="17"/>
                <w:szCs w:val="17"/>
                <w:highlight w:val="green"/>
              </w:rPr>
              <w:t xml:space="preserve"> 0.920 </w:t>
            </w:r>
          </w:p>
        </w:tc>
        <w:tc>
          <w:tcPr>
            <w:vAlign w:val="center"/>
          </w:tcPr>
          <w:p>
            <w:pPr>
              <w:pStyle w:val="Compact"/>
              <w:suppressAutoHyphens/>
              <w:jc w:val="center"/>
            </w:pPr>
            <w:r>
              <w:rPr>
                <w:sz w:val="17"/>
                <w:szCs w:val="17"/>
                <w:highlight w:val="green"/>
              </w:rPr>
              <w:t xml:space="preserve"> 0.821 </w:t>
            </w:r>
          </w:p>
        </w:tc>
        <w:tc>
          <w:tcPr>
            <w:vAlign w:val="center"/>
          </w:tcPr>
          <w:p>
            <w:pPr>
              <w:pStyle w:val="Compact"/>
              <w:suppressAutoHyphens/>
              <w:jc w:val="center"/>
            </w:pPr>
            <w:r>
              <w:rPr>
                <w:sz w:val="17"/>
                <w:szCs w:val="17"/>
                <w:highlight w:val="green"/>
              </w:rPr>
              <w:t xml:space="preserve"> 1.000 </w:t>
            </w:r>
          </w:p>
        </w:tc>
        <w:tc>
          <w:tcPr>
            <w:vAlign w:val="center"/>
          </w:tcPr>
          <w:p>
            <w:pPr>
              <w:pStyle w:val="Compact"/>
              <w:suppressAutoHyphens/>
              <w:jc w:val="center"/>
            </w:pPr>
            <w:r>
              <w:rPr>
                <w:sz w:val="17"/>
                <w:szCs w:val="17"/>
                <w:highlight w:val="green"/>
              </w:rPr>
              <w:t xml:space="preserve"> 0.976 </w:t>
            </w:r>
          </w:p>
        </w:tc>
        <w:tc>
          <w:tcPr>
            <w:vAlign w:val="center"/>
          </w:tcPr>
          <w:p>
            <w:pPr>
              <w:pStyle w:val="Compact"/>
              <w:suppressAutoHyphens/>
              <w:jc w:val="center"/>
            </w:pPr>
            <w:r>
              <w:rPr>
                <w:sz w:val="17"/>
                <w:szCs w:val="17"/>
                <w:highlight w:val="green"/>
              </w:rPr>
              <w:t xml:space="preserve"> 0.782 </w:t>
            </w:r>
          </w:p>
        </w:tc>
        <w:tc>
          <w:tcPr>
            <w:vAlign w:val="center"/>
          </w:tcPr>
          <w:p>
            <w:pPr>
              <w:pStyle w:val="Compact"/>
              <w:suppressAutoHyphens/>
              <w:jc w:val="center"/>
            </w:pPr>
            <w:r>
              <w:rPr>
                <w:sz w:val="17"/>
                <w:szCs w:val="17"/>
                <w:highlight w:val="green"/>
              </w:rPr>
              <w:t xml:space="preserve"> 0.391 </w:t>
            </w:r>
          </w:p>
        </w:tc>
      </w:tr>
      <w:tr>
        <w:tc>
          <w:tcPr>
            <w:vAlign w:val="center"/>
          </w:tcPr>
          <w:p>
            <w:pPr>
              <w:pStyle w:val="Compact"/>
              <w:suppressAutoHyphens/>
              <w:jc w:val="center"/>
            </w:pPr>
            <w:r>
              <w:rPr>
                <w:sz w:val="17"/>
                <w:szCs w:val="17"/>
                <w:highlight w:val="green"/>
              </w:rPr>
              <w:t xml:space="preserve"> USAD </w:t>
            </w:r>
          </w:p>
        </w:tc>
        <w:tc>
          <w:tcPr>
            <w:vAlign w:val="center"/>
          </w:tcPr>
          <w:p>
            <w:pPr>
              <w:pStyle w:val="Compact"/>
              <w:suppressAutoHyphens/>
              <w:jc w:val="center"/>
            </w:pPr>
            <w:r>
              <w:rPr>
                <w:sz w:val="17"/>
                <w:szCs w:val="17"/>
                <w:highlight w:val="green"/>
              </w:rPr>
              <w:t xml:space="preserve"> SOTA </w:t>
            </w:r>
          </w:p>
        </w:tc>
        <w:tc>
          <w:tcPr>
            <w:vAlign w:val="center"/>
          </w:tcPr>
          <w:p>
            <w:pPr>
              <w:pStyle w:val="Compact"/>
              <w:suppressAutoHyphens/>
              <w:jc w:val="center"/>
            </w:pPr>
            <w:r>
              <w:rPr>
                <w:sz w:val="17"/>
                <w:szCs w:val="17"/>
                <w:highlight w:val="green"/>
              </w:rPr>
              <w:t xml:space="preserve"> 0.873 </w:t>
            </w:r>
          </w:p>
        </w:tc>
        <w:tc>
          <w:tcPr>
            <w:vAlign w:val="center"/>
          </w:tcPr>
          <w:p>
            <w:pPr>
              <w:pStyle w:val="Compact"/>
              <w:suppressAutoHyphens/>
              <w:jc w:val="center"/>
            </w:pPr>
            <w:r>
              <w:rPr>
                <w:sz w:val="17"/>
                <w:szCs w:val="17"/>
                <w:highlight w:val="green"/>
              </w:rPr>
              <w:t xml:space="preserve"> 0.796 </w:t>
            </w:r>
          </w:p>
        </w:tc>
        <w:tc>
          <w:tcPr>
            <w:vAlign w:val="center"/>
          </w:tcPr>
          <w:p>
            <w:pPr>
              <w:pStyle w:val="Compact"/>
              <w:suppressAutoHyphens/>
              <w:jc w:val="center"/>
            </w:pPr>
            <w:r>
              <w:rPr>
                <w:sz w:val="17"/>
                <w:szCs w:val="17"/>
                <w:highlight w:val="green"/>
              </w:rPr>
              <w:t xml:space="preserve"> 0.996 </w:t>
            </w:r>
          </w:p>
        </w:tc>
        <w:tc>
          <w:tcPr>
            <w:vAlign w:val="center"/>
          </w:tcPr>
          <w:p>
            <w:pPr>
              <w:pStyle w:val="Compact"/>
              <w:suppressAutoHyphens/>
              <w:jc w:val="center"/>
            </w:pPr>
            <w:r>
              <w:rPr>
                <w:sz w:val="17"/>
                <w:szCs w:val="17"/>
                <w:highlight w:val="green"/>
              </w:rPr>
              <w:t xml:space="preserve"> 0.980 </w:t>
            </w:r>
          </w:p>
        </w:tc>
        <w:tc>
          <w:tcPr>
            <w:vAlign w:val="center"/>
          </w:tcPr>
          <w:p>
            <w:pPr>
              <w:pStyle w:val="Compact"/>
              <w:suppressAutoHyphens/>
              <w:jc w:val="center"/>
            </w:pPr>
            <w:r>
              <w:rPr>
                <w:sz w:val="17"/>
                <w:szCs w:val="17"/>
                <w:highlight w:val="green"/>
              </w:rPr>
              <w:t xml:space="preserve"> 0.658 </w:t>
            </w:r>
          </w:p>
        </w:tc>
        <w:tc>
          <w:tcPr>
            <w:vAlign w:val="center"/>
          </w:tcPr>
          <w:p>
            <w:pPr>
              <w:pStyle w:val="Compact"/>
              <w:suppressAutoHyphens/>
              <w:jc w:val="center"/>
            </w:pPr>
            <w:r>
              <w:rPr>
                <w:sz w:val="17"/>
                <w:szCs w:val="17"/>
                <w:highlight w:val="green"/>
              </w:rPr>
              <w:t xml:space="preserve"> 0.270 </w:t>
            </w:r>
          </w:p>
        </w:tc>
      </w:tr>
      <w:tr>
        <w:tc>
          <w:tcPr>
            <w:vAlign w:val="center"/>
          </w:tcPr>
          <w:p>
            <w:pPr>
              <w:pStyle w:val="Compact"/>
              <w:suppressAutoHyphens/>
              <w:jc w:val="center"/>
            </w:pPr>
            <w:r>
              <w:rPr>
                <w:sz w:val="17"/>
                <w:szCs w:val="17"/>
                <w:highlight w:val="green"/>
              </w:rPr>
              <w:t xml:space="preserve"> TranAD </w:t>
            </w:r>
          </w:p>
        </w:tc>
        <w:tc>
          <w:tcPr>
            <w:vAlign w:val="center"/>
          </w:tcPr>
          <w:p>
            <w:pPr>
              <w:pStyle w:val="Compact"/>
              <w:suppressAutoHyphens/>
              <w:jc w:val="center"/>
            </w:pPr>
            <w:r>
              <w:rPr>
                <w:sz w:val="17"/>
                <w:szCs w:val="17"/>
                <w:highlight w:val="green"/>
              </w:rPr>
              <w:t xml:space="preserve"> SOTA </w:t>
            </w:r>
          </w:p>
        </w:tc>
        <w:tc>
          <w:tcPr>
            <w:vAlign w:val="center"/>
          </w:tcPr>
          <w:p>
            <w:pPr>
              <w:pStyle w:val="Compact"/>
              <w:suppressAutoHyphens/>
              <w:jc w:val="center"/>
            </w:pPr>
            <w:r>
              <w:rPr>
                <w:sz w:val="17"/>
                <w:szCs w:val="17"/>
                <w:highlight w:val="green"/>
              </w:rPr>
              <w:t xml:space="preserve"> 0.873 </w:t>
            </w:r>
          </w:p>
        </w:tc>
        <w:tc>
          <w:tcPr>
            <w:vAlign w:val="center"/>
          </w:tcPr>
          <w:p>
            <w:pPr>
              <w:pStyle w:val="Compact"/>
              <w:suppressAutoHyphens/>
              <w:jc w:val="center"/>
            </w:pPr>
            <w:r>
              <w:rPr>
                <w:sz w:val="17"/>
                <w:szCs w:val="17"/>
                <w:highlight w:val="green"/>
              </w:rPr>
              <w:t xml:space="preserve"> 0.796 </w:t>
            </w:r>
          </w:p>
        </w:tc>
        <w:tc>
          <w:tcPr>
            <w:vAlign w:val="center"/>
          </w:tcPr>
          <w:p>
            <w:pPr>
              <w:pStyle w:val="Compact"/>
              <w:suppressAutoHyphens/>
              <w:jc w:val="center"/>
            </w:pPr>
            <w:r>
              <w:rPr>
                <w:sz w:val="17"/>
                <w:szCs w:val="17"/>
                <w:highlight w:val="green"/>
              </w:rPr>
              <w:t xml:space="preserve"> 0.998 </w:t>
            </w:r>
          </w:p>
        </w:tc>
        <w:tc>
          <w:tcPr>
            <w:vAlign w:val="center"/>
          </w:tcPr>
          <w:p>
            <w:pPr>
              <w:pStyle w:val="Compact"/>
              <w:suppressAutoHyphens/>
              <w:jc w:val="center"/>
            </w:pPr>
            <w:r>
              <w:rPr>
                <w:sz w:val="17"/>
                <w:szCs w:val="17"/>
                <w:highlight w:val="green"/>
              </w:rPr>
              <w:t xml:space="preserve"> 0.980 </w:t>
            </w:r>
          </w:p>
        </w:tc>
        <w:tc>
          <w:tcPr>
            <w:vAlign w:val="center"/>
          </w:tcPr>
          <w:p>
            <w:pPr>
              <w:pStyle w:val="Compact"/>
              <w:suppressAutoHyphens/>
              <w:jc w:val="center"/>
            </w:pPr>
            <w:r>
              <w:rPr>
                <w:sz w:val="17"/>
                <w:szCs w:val="17"/>
                <w:highlight w:val="green"/>
              </w:rPr>
              <w:t xml:space="preserve"> 0.655 </w:t>
            </w:r>
          </w:p>
        </w:tc>
        <w:tc>
          <w:tcPr>
            <w:vAlign w:val="center"/>
          </w:tcPr>
          <w:p>
            <w:pPr>
              <w:pStyle w:val="Compact"/>
              <w:suppressAutoHyphens/>
              <w:jc w:val="center"/>
            </w:pPr>
            <w:r>
              <w:rPr>
                <w:sz w:val="17"/>
                <w:szCs w:val="17"/>
                <w:highlight w:val="green"/>
              </w:rPr>
              <w:t xml:space="preserve"> 0.266 </w:t>
            </w:r>
          </w:p>
        </w:tc>
      </w:tr>
      <w:tr>
        <w:tc>
          <w:tcPr>
            <w:vAlign w:val="center"/>
          </w:tcPr>
          <w:p>
            <w:pPr>
              <w:pStyle w:val="Compact"/>
              <w:suppressAutoHyphens/>
              <w:jc w:val="center"/>
            </w:pPr>
            <w:r>
              <w:rPr>
                <w:sz w:val="17"/>
                <w:szCs w:val="17"/>
                <w:highlight w:val="green"/>
              </w:rPr>
              <w:t xml:space="preserve"> GDN </w:t>
            </w:r>
          </w:p>
        </w:tc>
        <w:tc>
          <w:tcPr>
            <w:vAlign w:val="center"/>
          </w:tcPr>
          <w:p>
            <w:pPr>
              <w:pStyle w:val="Compact"/>
              <w:suppressAutoHyphens/>
              <w:jc w:val="center"/>
            </w:pPr>
            <w:r>
              <w:rPr>
                <w:sz w:val="17"/>
                <w:szCs w:val="17"/>
                <w:highlight w:val="green"/>
              </w:rPr>
              <w:t xml:space="preserve"> SOTA </w:t>
            </w:r>
          </w:p>
        </w:tc>
        <w:tc>
          <w:tcPr>
            <w:vAlign w:val="center"/>
          </w:tcPr>
          <w:p>
            <w:pPr>
              <w:pStyle w:val="Compact"/>
              <w:suppressAutoHyphens/>
              <w:jc w:val="center"/>
            </w:pPr>
            <w:r>
              <w:rPr>
                <w:sz w:val="17"/>
                <w:szCs w:val="17"/>
                <w:highlight w:val="green"/>
              </w:rPr>
              <w:t xml:space="preserve"> 0.876 </w:t>
            </w:r>
          </w:p>
        </w:tc>
        <w:tc>
          <w:tcPr>
            <w:vAlign w:val="center"/>
          </w:tcPr>
          <w:p>
            <w:pPr>
              <w:pStyle w:val="Compact"/>
              <w:suppressAutoHyphens/>
              <w:jc w:val="center"/>
            </w:pPr>
            <w:r>
              <w:rPr>
                <w:sz w:val="17"/>
                <w:szCs w:val="17"/>
                <w:highlight w:val="green"/>
              </w:rPr>
              <w:t xml:space="preserve"> – </w:t>
            </w:r>
          </w:p>
        </w:tc>
        <w:tc>
          <w:tcPr>
            <w:vAlign w:val="center"/>
          </w:tcPr>
          <w:p>
            <w:pPr>
              <w:pStyle w:val="Compact"/>
              <w:suppressAutoHyphens/>
              <w:jc w:val="center"/>
            </w:pPr>
            <w:r>
              <w:rPr>
                <w:sz w:val="17"/>
                <w:szCs w:val="17"/>
                <w:highlight w:val="green"/>
              </w:rPr>
              <w:t xml:space="preserve"> 0.997 </w:t>
            </w:r>
          </w:p>
        </w:tc>
        <w:tc>
          <w:tcPr>
            <w:vAlign w:val="center"/>
          </w:tcPr>
          <w:p>
            <w:pPr>
              <w:pStyle w:val="Compact"/>
              <w:suppressAutoHyphens/>
              <w:jc w:val="center"/>
            </w:pPr>
            <w:r>
              <w:rPr>
                <w:sz w:val="17"/>
                <w:szCs w:val="17"/>
                <w:highlight w:val="green"/>
              </w:rPr>
              <w:t xml:space="preserve"> – </w:t>
            </w:r>
          </w:p>
        </w:tc>
        <w:tc>
          <w:tcPr>
            <w:vAlign w:val="center"/>
          </w:tcPr>
          <w:p>
            <w:pPr>
              <w:pStyle w:val="Compact"/>
              <w:suppressAutoHyphens/>
              <w:jc w:val="center"/>
            </w:pPr>
            <w:r>
              <w:rPr>
                <w:sz w:val="17"/>
                <w:szCs w:val="17"/>
                <w:highlight w:val="green"/>
              </w:rPr>
              <w:t xml:space="preserve"> 0.665 </w:t>
            </w:r>
          </w:p>
        </w:tc>
        <w:tc>
          <w:tcPr>
            <w:vAlign w:val="center"/>
          </w:tcPr>
          <w:p>
            <w:pPr>
              <w:pStyle w:val="Compact"/>
              <w:suppressAutoHyphens/>
              <w:jc w:val="center"/>
            </w:pPr>
            <w:r>
              <w:rPr>
                <w:sz w:val="17"/>
                <w:szCs w:val="17"/>
                <w:highlight w:val="green"/>
              </w:rPr>
              <w:t xml:space="preserve"> – </w:t>
            </w:r>
          </w:p>
        </w:tc>
      </w:tr>
      <w:tr>
        <w:tc>
          <w:tcPr>
            <w:vAlign w:val="center"/>
          </w:tcPr>
          <w:p>
            <w:pPr>
              <w:pStyle w:val="Compact"/>
              <w:suppressAutoHyphens/>
              <w:jc w:val="center"/>
            </w:pPr>
            <w:r>
              <w:rPr>
                <w:sz w:val="17"/>
                <w:szCs w:val="17"/>
                <w:highlight w:val="green"/>
              </w:rPr>
              <w:t xml:space="preserve"> LatAD (global density) </w:t>
            </w:r>
          </w:p>
        </w:tc>
        <w:tc>
          <w:tcPr>
            <w:vAlign w:val="center"/>
          </w:tcPr>
          <w:p>
            <w:pPr>
              <w:pStyle w:val="Compact"/>
              <w:suppressAutoHyphens/>
              <w:jc w:val="center"/>
            </w:pPr>
            <w:r>
              <w:rPr>
                <w:sz w:val="17"/>
                <w:szCs w:val="17"/>
                <w:highlight w:val="green"/>
              </w:rPr>
              <w:t xml:space="preserve"> Ours </w:t>
            </w:r>
          </w:p>
        </w:tc>
        <w:tc>
          <w:tcPr>
            <w:vAlign w:val="center"/>
          </w:tcPr>
          <w:p>
            <w:pPr>
              <w:pStyle w:val="Compact"/>
              <w:suppressAutoHyphens/>
              <w:jc w:val="center"/>
            </w:pPr>
            <w:r>
              <w:rPr>
                <w:sz w:val="17"/>
                <w:szCs w:val="17"/>
                <w:highlight w:val="green"/>
              </w:rPr>
              <w:t xml:space="preserve"> 0.927±0.002 </w:t>
            </w:r>
          </w:p>
        </w:tc>
        <w:tc>
          <w:tcPr>
            <w:vAlign w:val="center"/>
          </w:tcPr>
          <w:p>
            <w:pPr>
              <w:pStyle w:val="Compact"/>
              <w:suppressAutoHyphens/>
              <w:jc w:val="center"/>
            </w:pPr>
            <w:r>
              <w:rPr>
                <w:sz w:val="17"/>
                <w:szCs w:val="17"/>
                <w:highlight w:val="green"/>
              </w:rPr>
              <w:t xml:space="preserve"> 0.797 </w:t>
            </w:r>
          </w:p>
        </w:tc>
        <w:tc>
          <w:tcPr>
            <w:vAlign w:val="center"/>
          </w:tcPr>
          <w:p>
            <w:pPr>
              <w:pStyle w:val="Compact"/>
              <w:suppressAutoHyphens/>
              <w:jc w:val="center"/>
            </w:pPr>
            <w:r>
              <w:rPr>
                <w:sz w:val="17"/>
                <w:szCs w:val="17"/>
                <w:highlight w:val="green"/>
              </w:rPr>
              <w:t xml:space="preserve"> 0.998±0.001 </w:t>
            </w:r>
          </w:p>
        </w:tc>
        <w:tc>
          <w:tcPr>
            <w:vAlign w:val="center"/>
          </w:tcPr>
          <w:p>
            <w:pPr>
              <w:pStyle w:val="Compact"/>
              <w:suppressAutoHyphens/>
              <w:jc w:val="center"/>
            </w:pPr>
            <w:r>
              <w:rPr>
                <w:sz w:val="17"/>
                <w:szCs w:val="17"/>
                <w:highlight w:val="green"/>
              </w:rPr>
              <w:t xml:space="preserve"> 0.952 </w:t>
            </w:r>
          </w:p>
        </w:tc>
        <w:tc>
          <w:tcPr>
            <w:vAlign w:val="center"/>
          </w:tcPr>
          <w:p>
            <w:pPr>
              <w:pStyle w:val="Compact"/>
              <w:suppressAutoHyphens/>
              <w:jc w:val="center"/>
            </w:pPr>
            <w:r>
              <w:rPr>
                <w:sz w:val="17"/>
                <w:szCs w:val="17"/>
                <w:highlight w:val="green"/>
              </w:rPr>
              <w:t xml:space="preserve"> 0.804±0.007 </w:t>
            </w:r>
          </w:p>
        </w:tc>
        <w:tc>
          <w:tcPr>
            <w:vAlign w:val="center"/>
          </w:tcPr>
          <w:p>
            <w:pPr>
              <w:pStyle w:val="Compact"/>
              <w:suppressAutoHyphens/>
              <w:jc w:val="center"/>
            </w:pPr>
            <w:r>
              <w:rPr>
                <w:sz w:val="17"/>
                <w:szCs w:val="17"/>
                <w:highlight w:val="green"/>
              </w:rPr>
              <w:t xml:space="preserve"> 0.437 </w:t>
            </w:r>
          </w:p>
        </w:tc>
      </w:tr>
      <w:tr>
        <w:tc>
          <w:tcPr>
            <w:vAlign w:val="center"/>
          </w:tcPr>
          <w:p>
            <w:pPr>
              <w:pStyle w:val="Compact"/>
              <w:suppressAutoHyphens/>
              <w:jc w:val="center"/>
            </w:pPr>
            <w:r>
              <w:rPr>
                <w:sz w:val="17"/>
                <w:szCs w:val="17"/>
                <w:highlight w:val="green"/>
              </w:rPr>
              <w:t xml:space="preserve"> </w:t>
            </w:r>
            <w:r>
              <w:rPr>
                <w:b/>
                <w:bCs/>
                <w:sz w:val="17"/>
                <w:szCs w:val="17"/>
                <w:highlight w:val="green"/>
              </w:rPr>
              <w:t xml:space="preserve">LatAD (regime-community)</w:t>
            </w:r>
            <w:r>
              <w:rPr>
                <w:sz w:val="17"/>
                <w:szCs w:val="17"/>
                <w:highlight w:val="green"/>
              </w:rPr>
              <w:t xml:space="preserve"> </w:t>
            </w:r>
          </w:p>
        </w:tc>
        <w:tc>
          <w:tcPr>
            <w:vAlign w:val="center"/>
          </w:tcPr>
          <w:p>
            <w:pPr>
              <w:pStyle w:val="Compact"/>
              <w:suppressAutoHyphens/>
              <w:jc w:val="center"/>
            </w:pPr>
            <w:r>
              <w:rPr>
                <w:sz w:val="17"/>
                <w:szCs w:val="17"/>
                <w:highlight w:val="green"/>
              </w:rPr>
              <w:t xml:space="preserve"> Ours </w:t>
            </w:r>
          </w:p>
        </w:tc>
        <w:tc>
          <w:tcPr>
            <w:vAlign w:val="center"/>
          </w:tcPr>
          <w:p>
            <w:pPr>
              <w:pStyle w:val="Compact"/>
              <w:suppressAutoHyphens/>
              <w:jc w:val="center"/>
            </w:pPr>
            <w:r>
              <w:rPr>
                <w:sz w:val="17"/>
                <w:szCs w:val="17"/>
                <w:highlight w:val="green"/>
              </w:rPr>
              <w:t xml:space="preserve"> 0.938±0.002 </w:t>
            </w:r>
          </w:p>
        </w:tc>
        <w:tc>
          <w:tcPr>
            <w:vAlign w:val="center"/>
          </w:tcPr>
          <w:p>
            <w:pPr>
              <w:pStyle w:val="Compact"/>
              <w:suppressAutoHyphens/>
              <w:jc w:val="center"/>
            </w:pPr>
            <w:r>
              <w:rPr>
                <w:sz w:val="17"/>
                <w:szCs w:val="17"/>
                <w:highlight w:val="green"/>
              </w:rPr>
              <w:t xml:space="preserve"> 0.830 </w:t>
            </w:r>
          </w:p>
        </w:tc>
        <w:tc>
          <w:tcPr>
            <w:vAlign w:val="center"/>
          </w:tcPr>
          <w:p>
            <w:pPr>
              <w:pStyle w:val="Compact"/>
              <w:suppressAutoHyphens/>
              <w:jc w:val="center"/>
            </w:pPr>
            <w:r>
              <w:rPr>
                <w:sz w:val="17"/>
                <w:szCs w:val="17"/>
                <w:highlight w:val="green"/>
              </w:rPr>
              <w:t xml:space="preserve"> 0.995 </w:t>
            </w:r>
          </w:p>
        </w:tc>
        <w:tc>
          <w:tcPr>
            <w:vAlign w:val="center"/>
          </w:tcPr>
          <w:p>
            <w:pPr>
              <w:pStyle w:val="Compact"/>
              <w:suppressAutoHyphens/>
              <w:jc w:val="center"/>
            </w:pPr>
            <w:r>
              <w:rPr>
                <w:sz w:val="17"/>
                <w:szCs w:val="17"/>
                <w:highlight w:val="green"/>
              </w:rPr>
              <w:t xml:space="preserve"> 0.920 </w:t>
            </w:r>
          </w:p>
        </w:tc>
        <w:tc>
          <w:tcPr>
            <w:vAlign w:val="center"/>
          </w:tcPr>
          <w:p>
            <w:pPr>
              <w:pStyle w:val="Compact"/>
              <w:suppressAutoHyphens/>
              <w:jc w:val="center"/>
            </w:pPr>
            <w:r>
              <w:rPr>
                <w:sz w:val="17"/>
                <w:szCs w:val="17"/>
                <w:highlight w:val="green"/>
              </w:rPr>
              <w:t xml:space="preserve"> 0.837±0.004 </w:t>
            </w:r>
          </w:p>
        </w:tc>
        <w:tc>
          <w:tcPr>
            <w:vAlign w:val="center"/>
          </w:tcPr>
          <w:p>
            <w:pPr>
              <w:pStyle w:val="Compact"/>
              <w:suppressAutoHyphens/>
              <w:jc w:val="center"/>
            </w:pPr>
            <w:r>
              <w:rPr>
                <w:sz w:val="17"/>
                <w:szCs w:val="17"/>
                <w:highlight w:val="green"/>
              </w:rPr>
              <w:t xml:space="preserve"> 0.570 </w:t>
            </w:r>
          </w:p>
        </w:tc>
      </w:tr>
    </w:tbl>
    <w:p>
      <w:pPr>
        <w:pStyle w:val="MDPI31text"/>
        <w:ind w:left="2608"/>
      </w:pPr>
      <w:r>
        <w:rPr>
          <w:b/>
          <w:bCs/>
        </w:rPr>
        <w:t xml:space="preserve">Overall detection.</w:t>
      </w:r>
      <w:r>
        <w:rPr/>
        <w:t xml:space="preserve"> </w:t>
      </w:r>
      <w:r>
        <w:rPr>
          <w:highlight w:val="green"/>
        </w:rPr>
        <w:t xml:space="preserve">LatAD attains the best All-subset AUROC of any method on HAI (0.948) and</w:t>
      </w:r>
      <w:r>
        <w:rPr>
          <w:highlight w:val="green"/>
        </w:rPr>
        <w:t xml:space="preserve"> </w:t>
      </w:r>
      <w:r>
        <w:rPr>
          <w:highlight w:val="green"/>
        </w:rPr>
        <w:t xml:space="preserve">SWaT (0.938), clearing every baseline and both deep detectors on both, including the strong classical baselines on the</w:t>
      </w:r>
      <w:r>
        <w:rPr>
          <w:highlight w:val="green"/>
        </w:rPr>
        <w:t xml:space="preserve"> </w:t>
      </w:r>
      <w:r>
        <w:rPr>
          <w:highlight w:val="green"/>
        </w:rPr>
        <w:t xml:space="preserve">more separable SWaT. On WADI it clears every learned detector on the full set (0.827) but the linear baseline is</w:t>
      </w:r>
      <w:r>
        <w:rPr>
          <w:highlight w:val="green"/>
        </w:rPr>
        <w:t xml:space="preserve"> </w:t>
      </w:r>
      <w:r>
        <w:rPr>
          <w:highlight w:val="green"/>
        </w:rPr>
        <w:t xml:space="preserve">marginally ahead there (0.834 vs 0.827); WADI's advantage for LatAD is on the difficult subset. The gain over the</w:t>
      </w:r>
      <w:r>
        <w:rPr>
          <w:highlight w:val="green"/>
        </w:rPr>
        <w:t xml:space="preserve"> </w:t>
      </w:r>
      <w:r>
        <w:rPr>
          <w:highlight w:val="green"/>
        </w:rPr>
        <w:t xml:space="preserve">single-latent base (LatAD global density, 0.717 / 0.933 / 0.927) comes from factorizing the density over regime</w:t>
      </w:r>
      <w:r>
        <w:rPr>
          <w:highlight w:val="green"/>
        </w:rPr>
        <w:t xml:space="preserve"> </w:t>
      </w:r>
      <w:r>
        <w:rPr>
          <w:highlight w:val="green"/>
        </w:rPr>
        <w:t xml:space="preserve">communities (§4.4), and is largest on the difficult subset, where it matters most.</w:t>
      </w:r>
    </w:p>
    <w:p>
      <w:pPr>
        <w:pStyle w:val="MDPI31text"/>
        <w:ind w:left="2608"/>
      </w:pPr>
      <w:r>
        <w:rPr>
          <w:b/>
          <w:bCs/>
        </w:rPr>
        <w:t xml:space="preserve">Difficult, joint-structure faults.</w:t>
      </w:r>
      <w:r>
        <w:rPr/>
        <w:t xml:space="preserve"> </w:t>
      </w:r>
      <w:r>
        <w:rPr/>
        <w:t xml:space="preserve">This is where the design earns its keep</w:t>
      </w:r>
      <w:r>
        <w:rPr/>
        <w:t xml:space="preserve"> </w:t>
      </w:r>
      <w:r>
        <w:rPr>
          <w:highlight w:val="green"/>
        </w:rPr>
        <w:t xml:space="preserve">(Figure 3)</w:t>
      </w:r>
      <w:r>
        <w:rPr/>
        <w:t xml:space="preserve">. The clearest</w:t>
      </w:r>
      <w:r>
        <w:rPr/>
        <w:t xml:space="preserve"> </w:t>
      </w:r>
      <w:r>
        <w:rPr/>
        <w:t xml:space="preserve">demonstration is HAI:</w:t>
      </w:r>
      <w:r>
        <w:rPr/>
        <w:t xml:space="preserve"> </w:t>
      </w:r>
      <w:r>
        <w:rPr>
          <w:highlight w:val="green"/>
        </w:rPr>
        <w:t xml:space="preserve">LatAD reaches 0.845 on the difficult subset (167 windows spanning 26 attack episodes), well</w:t>
      </w:r>
      <w:r>
        <w:rPr>
          <w:highlight w:val="green"/>
        </w:rPr>
        <w:t xml:space="preserve"> </w:t>
      </w:r>
      <w:r>
        <w:rPr>
          <w:highlight w:val="green"/>
        </w:rPr>
        <w:t xml:space="preserve">above the AutoEncoder (0.757) and far above the deep detectors USAD (0.477) and TranAD (0.444), which sit near</w:t>
      </w:r>
      <w:r>
        <w:rPr>
          <w:highlight w:val="green"/>
        </w:rPr>
        <w:t xml:space="preserve"> </w:t>
      </w:r>
      <w:r>
        <w:rPr>
          <w:highlight w:val="green"/>
        </w:rPr>
        <w:t xml:space="preserve">chance. The margin over the AutoEncoder is statistically significant: an episode-block bootstrap of the paired</w:t>
      </w:r>
      <w:r>
        <w:rPr>
          <w:highlight w:val="green"/>
        </w:rPr>
        <w:t xml:space="preserve"> </w:t>
      </w:r>
      <w:r>
        <w:rPr>
          <w:highlight w:val="green"/>
        </w:rPr>
        <w:t xml:space="preserve">difference (resampling attack episodes and normal windows, averaged over five seeds) gives +0.088 with a 95%</w:t>
      </w:r>
      <w:r>
        <w:rPr>
          <w:highlight w:val="green"/>
        </w:rPr>
        <w:t xml:space="preserve"> </w:t>
      </w:r>
      <w:r>
        <w:rPr>
          <w:highlight w:val="green"/>
        </w:rPr>
        <w:t xml:space="preserve">confidence interval of [0.042, 0.157] and P(difference ≤ 0) ≈ 0.</w:t>
      </w:r>
    </w:p>
    <w:p>
      <w:pPr>
        <w:pStyle w:val="MDPI31text"/>
        <w:ind w:left="2608"/>
      </w:pPr>
      <w:r>
        <w:rPr>
          <w:highlight w:val="green"/>
        </w:rPr>
        <w:t xml:space="preserve">On canonical SWaT</w:t>
      </w:r>
      <w:r>
        <w:rPr>
          <w:highlight w:val="green"/>
        </w:rPr>
        <w:t xml:space="preserve"> </w:t>
      </w:r>
      <w:r>
        <w:rPr>
          <w:highlight w:val="green"/>
        </w:rPr>
        <w:t xml:space="preserve">the difficult subset is genuinely discriminative (85 windows across 23 attack episodes, the trivial rule falling to</w:t>
      </w:r>
      <w:r>
        <w:rPr>
          <w:highlight w:val="green"/>
        </w:rPr>
        <w:t xml:space="preserve"> </w:t>
      </w:r>
      <w:r>
        <w:rPr>
          <w:highlight w:val="green"/>
        </w:rPr>
        <w:t xml:space="preserve">0.646): LatAD reaches 0.837 against the strongest linear baseline 0.782, and the same bootstrap makes the margin</w:t>
      </w:r>
      <w:r>
        <w:rPr>
          <w:highlight w:val="green"/>
        </w:rPr>
        <w:t xml:space="preserve"> </w:t>
      </w:r>
      <w:r>
        <w:rPr>
          <w:highlight w:val="green"/>
        </w:rPr>
        <w:t xml:space="preserve">significant (+0.055, 95% CI [0.012, 0.104], P = 0.007).</w:t>
      </w:r>
    </w:p>
    <w:p>
      <w:pPr>
        <w:pStyle w:val="MDPI31text"/>
        <w:ind w:left="2608"/>
      </w:pPr>
      <w:r>
        <w:rPr>
          <w:highlight w:val="green"/>
        </w:rPr>
        <w:t xml:space="preserve">On WADI LatAD reaches 0.771 (30 difficult windows over 8 attack episodes), significantly ahead of every learned</w:t>
      </w:r>
      <w:r>
        <w:rPr>
          <w:highlight w:val="green"/>
        </w:rPr>
        <w:t xml:space="preserve"> </w:t>
      </w:r>
      <w:r>
        <w:rPr>
          <w:highlight w:val="green"/>
        </w:rPr>
        <w:t xml:space="preserve">detector. A per-detector episode-block bootstrap of the paired difference clears each one with P &lt; 0.05: vs</w:t>
      </w:r>
      <w:r>
        <w:rPr>
          <w:highlight w:val="green"/>
        </w:rPr>
        <w:t xml:space="preserve"> </w:t>
      </w:r>
      <w:r>
        <w:rPr>
          <w:highlight w:val="green"/>
        </w:rPr>
        <w:t xml:space="preserve">the AutoEncoder +0.142 (P = 0.001), USAD +0.192 (P = 0.000), TranAD +0.157 (P = 0.0005),</w:t>
      </w:r>
      <w:r>
        <w:rPr>
          <w:highlight w:val="green"/>
        </w:rPr>
        <w:t xml:space="preserve"> </w:t>
      </w:r>
      <w:r>
        <w:rPr>
          <w:highlight w:val="green"/>
        </w:rPr>
        <w:t xml:space="preserve">Isolation Forest +0.136 (P = 0.000), and GDN +0.111 (P = 0.000). LatAD ties only the linear baseline</w:t>
      </w:r>
      <w:r>
        <w:rPr>
          <w:highlight w:val="green"/>
        </w:rPr>
        <w:t xml:space="preserve"> </w:t>
      </w:r>
      <w:r>
        <w:rPr>
          <w:highlight w:val="green"/>
        </w:rPr>
        <w:t xml:space="preserve">LinRes (0.750): +0.020, 95% CI [−0.161, 0.205], P = 0.46 over 8 episodes. The WADI lead is</w:t>
      </w:r>
      <w:r>
        <w:rPr>
          <w:highlight w:val="green"/>
        </w:rPr>
        <w:t xml:space="preserve"> </w:t>
      </w:r>
      <w:r>
        <w:rPr>
          <w:highlight w:val="green"/>
        </w:rPr>
        <w:t xml:space="preserve">carried by the community density aggregation (cohesion-weighted Higher Criticism over the community experts, 0.795): the</w:t>
      </w:r>
      <w:r>
        <w:rPr>
          <w:highlight w:val="green"/>
        </w:rPr>
        <w:t xml:space="preserve"> </w:t>
      </w:r>
      <w:r>
        <w:rPr>
          <w:highlight w:val="green"/>
        </w:rPr>
        <w:t xml:space="preserve">single-latent global density collapses to 0.634 on this difficult subset, below the linear baseline, so the community</w:t>
      </w:r>
      <w:r>
        <w:rPr>
          <w:highlight w:val="green"/>
        </w:rPr>
        <w:t xml:space="preserve"> </w:t>
      </w:r>
      <w:r>
        <w:rPr>
          <w:highlight w:val="green"/>
        </w:rPr>
        <w:t xml:space="preserve">factorization rather than the single latent supplies the WADI signal. On the full set the linear baseline is marginally</w:t>
      </w:r>
      <w:r>
        <w:rPr>
          <w:highlight w:val="green"/>
        </w:rPr>
        <w:t xml:space="preserve"> </w:t>
      </w:r>
      <w:r>
        <w:rPr>
          <w:highlight w:val="green"/>
        </w:rPr>
        <w:t xml:space="preserve">ahead of LatAD (0.834 vs 0.827).</w:t>
      </w:r>
    </w:p>
    <w:p>
      <w:pPr>
        <w:pStyle w:val="MDPI31text"/>
        <w:ind w:left="2608"/>
      </w:pPr>
      <w:r>
        <w:rPr>
          <w:highlight w:val="green"/>
        </w:rPr>
        <w:t xml:space="preserve">The advantage over the reconstruction-based deep detectors is largest exactly where the difficult anomalies are</w:t>
      </w:r>
      <w:r>
        <w:rPr>
          <w:highlight w:val="green"/>
        </w:rPr>
        <w:t xml:space="preserve"> </w:t>
      </w:r>
      <w:r>
        <w:rPr>
          <w:highlight w:val="green"/>
        </w:rPr>
        <w:t xml:space="preserve">reconstructable yet improbable, most decisively on HAI, where those detectors fall to near chance.</w:t>
      </w:r>
    </w:p>
    <w:p>
      <w:pPr>
        <w:pStyle w:val="MDPI31text"/>
        <w:ind w:left="2608"/>
      </w:pPr>
      <w:r>
        <w:rPr>
          <w:b/>
          <w:bCs/>
        </w:rPr>
        <w:t xml:space="preserve">Trivially separable anomalies.</w:t>
      </w:r>
      <w:r>
        <w:rPr/>
        <w:t xml:space="preserve"> </w:t>
      </w:r>
      <w:r>
        <w:rPr/>
        <w:t xml:space="preserve">On the easy subset every method is strong and the ranking is</w:t>
      </w:r>
      <w:r>
        <w:rPr/>
        <w:t xml:space="preserve"> </w:t>
      </w:r>
      <w:r>
        <w:rPr/>
        <w:t xml:space="preserve">uninformative, by construction: the easy subset is exactly the anomalies a univariate max-mean rule already flags,</w:t>
      </w:r>
      <w:r>
        <w:rPr/>
        <w:t xml:space="preserve"> </w:t>
      </w:r>
      <w:r>
        <w:rPr/>
        <w:t xml:space="preserve">and the trivial rule itself tops the easy column on SWaT (1.000).</w:t>
      </w:r>
    </w:p>
    <w:p>
      <w:pPr>
        <w:pStyle w:val="MDPI31text"/>
        <w:ind w:left="2608"/>
      </w:pPr>
      <w:r>
        <w:rPr>
          <w:b/>
          <w:bCs/>
        </w:rPr>
        <w:t xml:space="preserve">Validity of the difficulty split.</w:t>
      </w:r>
      <w:r>
        <w:rPr/>
        <w:t xml:space="preserve"> </w:t>
      </w:r>
      <w:r>
        <w:rPr>
          <w:highlight w:val="green"/>
        </w:rPr>
        <w:t xml:space="preserve">The trivial max|u| rule is strong on Easy by construction</w:t>
      </w:r>
      <w:r>
        <w:rPr>
          <w:highlight w:val="green"/>
        </w:rPr>
        <w:t xml:space="preserve"> </w:t>
      </w:r>
      <w:r>
        <w:rPr>
          <w:highlight w:val="green"/>
        </w:rPr>
        <w:t xml:space="preserve">(WADI 0.999, HAI 0.966, SWaT 1.000) and drops sharply on the difficult subset (WADI 0.601, HAI 0.340, SWaT 0.646):</w:t>
      </w:r>
      <w:r>
        <w:rPr>
          <w:highlight w:val="green"/>
        </w:rPr>
        <w:t xml:space="preserve"> </w:t>
      </w:r>
      <w:r>
        <w:rPr>
          <w:highlight w:val="green"/>
        </w:rPr>
        <w:t xml:space="preserve">the difficult subset is precisely the anomalies this univariate max-mean rule separates least well, so a method that</w:t>
      </w:r>
      <w:r>
        <w:rPr>
          <w:highlight w:val="green"/>
        </w:rPr>
        <w:t xml:space="preserve"> </w:t>
      </w:r>
      <w:r>
        <w:rPr>
          <w:highlight w:val="green"/>
        </w:rPr>
        <w:t xml:space="preserve">scores well there is detecting joint structure the rule misses. The drop is steepest on HAI, where the rule falls to</w:t>
      </w:r>
      <w:r>
        <w:rPr>
          <w:highlight w:val="green"/>
        </w:rPr>
        <w:t xml:space="preserve"> </w:t>
      </w:r>
      <w:r>
        <w:rPr>
          <w:highlight w:val="green"/>
        </w:rPr>
        <w:t xml:space="preserve">near chance; on WADI and canonical SWaT the difficult subset still pulls the trivial rule far below its Easy score,</w:t>
      </w:r>
      <w:r>
        <w:rPr>
          <w:highlight w:val="green"/>
        </w:rPr>
        <w:t xml:space="preserve"> </w:t>
      </w:r>
      <w:r>
        <w:rPr>
          <w:highlight w:val="green"/>
        </w:rPr>
        <w:t xml:space="preserve">so all three are discriminative tests of joint-structure detection rather than ceilings.</w:t>
      </w:r>
    </w:p>
    <w:p>
      <w:pPr>
        <w:pStyle w:val="MDPI31text"/>
        <w:ind w:left="2608"/>
      </w:pPr>
      <w:r>
        <w:rPr>
          <w:b/>
          <w:bCs/>
        </w:rPr>
        <w:t xml:space="preserve">Robustness to a stronger difficulty definition.</w:t>
      </w:r>
      <w:r>
        <w:rPr/>
        <w:t xml:space="preserve"> </w:t>
      </w:r>
      <w:r>
        <w:rPr/>
        <w:t xml:space="preserve">The canonical split flags a window easy only</w:t>
      </w:r>
      <w:r>
        <w:rPr/>
        <w:t xml:space="preserve"> </w:t>
      </w:r>
      <w:r>
        <w:rPr/>
        <w:t xml:space="preserve">when the maximum absolute standardized per-channel</w:t>
      </w:r>
      <w:r>
        <w:rPr/>
        <w:t xml:space="preserve"> </w:t>
      </w:r>
      <w:r>
        <w:rPr>
          <w:i/>
          <w:iCs/>
        </w:rPr>
        <w:t xml:space="preserve">mean</w:t>
      </w:r>
      <w:r>
        <w:rPr/>
        <w:t xml:space="preserve"> </w:t>
      </w:r>
      <w:r>
        <w:rPr/>
        <w:t xml:space="preserve">exceeds its 99th train-normal percentile, so a</w:t>
      </w:r>
      <w:r>
        <w:rPr/>
        <w:t xml:space="preserve"> </w:t>
      </w:r>
      <w:r>
        <w:rPr/>
        <w:t xml:space="preserve">window could in principle be “difficult” yet be separable by a different univariate statistic. We</w:t>
      </w:r>
      <w:r>
        <w:rPr/>
        <w:t xml:space="preserve"> </w:t>
      </w:r>
      <w:r>
        <w:rPr/>
        <w:t xml:space="preserve">therefore repeat the analysis with a stronger split that labels a window easy if the maximum over</w:t>
      </w:r>
      <w:r>
        <w:rPr/>
        <w:t xml:space="preserve"> </w:t>
      </w:r>
      <w:r>
        <w:rPr>
          <w:i/>
          <w:iCs/>
        </w:rPr>
        <w:t xml:space="preserve">all six</w:t>
      </w:r>
      <w:r>
        <w:rPr/>
        <w:t xml:space="preserve"> </w:t>
      </w:r>
      <w:r>
        <w:rPr/>
        <w:t xml:space="preserve">standardized per-channel statistics (mean, standard deviation, minimum, maximum, first-to-last difference, and</w:t>
      </w:r>
      <w:r>
        <w:rPr/>
        <w:t xml:space="preserve"> </w:t>
      </w:r>
      <w:r>
        <w:rPr/>
        <w:t xml:space="preserve">range) exceeds its 99th train-normal percentile, removing any window a single univariate statistic separates. On</w:t>
      </w:r>
      <w:r>
        <w:rPr/>
        <w:t xml:space="preserve"> </w:t>
      </w:r>
      <w:r>
        <w:rPr/>
        <w:t xml:space="preserve">the resulting HAI difficult subset (110 windows)</w:t>
      </w:r>
      <w:r>
        <w:rPr/>
        <w:t xml:space="preserve"> </w:t>
      </w:r>
      <w:r>
        <w:rPr>
          <w:highlight w:val="green"/>
        </w:rPr>
        <w:t xml:space="preserve">the single-latent LatAD (global density) still leads every baseline (0.675, versus 0.622 for</w:t>
      </w:r>
      <w:r>
        <w:rPr>
          <w:highlight w:val="green"/>
        </w:rPr>
        <w:t xml:space="preserve"> </w:t>
      </w:r>
      <w:r>
        <w:rPr>
          <w:highlight w:val="green"/>
        </w:rPr>
        <w:t xml:space="preserve">the linear cross-channel baseline, 0.604 for the AutoEncoder, and 0.528 for Isolation Forest), so the HAI</w:t>
      </w:r>
      <w:r>
        <w:rPr>
          <w:highlight w:val="green"/>
        </w:rPr>
        <w:t xml:space="preserve"> </w:t>
      </w:r>
      <w:r>
        <w:rPr>
          <w:highlight w:val="green"/>
        </w:rPr>
        <w:t xml:space="preserve">advantage is not an artifact of the particular statistic that defines difficulty.</w:t>
      </w:r>
    </w:p>
    <w:p>
      <w:pPr>
        <w:pStyle w:val="MDPI31text"/>
        <w:ind w:left="2608"/>
      </w:pPr>
      <w:r>
        <w:rPr>
          <w:b/>
          <w:bCs/>
        </w:rPr>
        <w:t xml:space="preserve">The double-hard subset.</w:t>
      </w:r>
      <w:r>
        <w:rPr/>
        <w:t xml:space="preserve"> </w:t>
      </w:r>
      <w:r>
        <w:rPr/>
        <w:t xml:space="preserve">As a secondary robustness stress test we intersect the failures of the</w:t>
      </w:r>
      <w:r>
        <w:rPr/>
        <w:t xml:space="preserve"> </w:t>
      </w:r>
      <w:r>
        <w:rPr/>
        <w:t xml:space="preserve">two simplest baseline families: a window is</w:t>
      </w:r>
      <w:r>
        <w:rPr/>
        <w:t xml:space="preserve"> </w:t>
      </w:r>
      <w:r>
        <w:rPr>
          <w:i/>
          <w:iCs/>
        </w:rPr>
        <w:t xml:space="preserve">double-hard</w:t>
      </w:r>
      <w:r>
        <w:rPr/>
        <w:t xml:space="preserve"> </w:t>
      </w:r>
      <w:r>
        <w:rPr/>
        <w:t xml:space="preserve">if it is an anomaly separated by</w:t>
      </w:r>
      <w:r>
        <w:rPr/>
        <w:t xml:space="preserve"> </w:t>
      </w:r>
      <w:r>
        <w:rPr>
          <w:i/>
          <w:iCs/>
        </w:rPr>
        <w:t xml:space="preserve">neither</w:t>
      </w:r>
      <w:r>
        <w:rPr/>
        <w:t xml:space="preserve"> </w:t>
      </w:r>
      <w:r>
        <w:rPr/>
        <w:t xml:space="preserve">the univariate max|u| rule</w:t>
      </w:r>
      <w:r>
        <w:rPr/>
        <w:t xml:space="preserve"> </w:t>
      </w:r>
      <w:r>
        <w:rPr>
          <w:i/>
          <w:iCs/>
        </w:rPr>
        <w:t xml:space="preserve">nor</w:t>
      </w:r>
      <w:r>
        <w:rPr/>
        <w:t xml:space="preserve"> </w:t>
      </w:r>
      <w:r>
        <w:rPr/>
        <w:t xml:space="preserve">the one-hot linear cross-channel predictor (LinRes), with both</w:t>
      </w:r>
      <w:r>
        <w:rPr/>
        <w:t xml:space="preserve"> </w:t>
      </w:r>
      <w:r>
        <w:rPr/>
        <w:t xml:space="preserve">99th-percentile thresholds fixed on train-normal only and the detector under test playing no role in constructing</w:t>
      </w:r>
      <w:r>
        <w:rPr/>
        <w:t xml:space="preserve"> </w:t>
      </w:r>
      <w:r>
        <w:rPr/>
        <w:t xml:space="preserve">the subset. Table 4 reports its per-method AUROC: LatAD attains the highest mean on all three datasets (</w:t>
      </w:r>
      <w:r>
        <w:rPr>
          <w:highlight w:val="green"/>
        </w:rPr>
        <w:t xml:space="preserve">WADI 0.662,</w:t>
      </w:r>
      <w:r>
        <w:rPr>
          <w:highlight w:val="green"/>
        </w:rPr>
        <w:t xml:space="preserve"> </w:t>
      </w:r>
      <w:r>
        <w:rPr>
          <w:highlight w:val="green"/>
        </w:rPr>
        <w:t xml:space="preserve">HAI 0.814, SWaT 0.773). Statistical superiority is established on HAI, where 19 attack episodes support an</w:t>
      </w:r>
      <w:r>
        <w:rPr>
          <w:highlight w:val="green"/>
        </w:rPr>
        <w:t xml:space="preserve"> </w:t>
      </w:r>
      <w:r>
        <w:rPr>
          <w:highlight w:val="green"/>
        </w:rPr>
        <w:t xml:space="preserve">episode-block bootstrap and the paired difference over the AutoEncoder is +0.084 (95% CI [0.019, 0.189],</w:t>
      </w:r>
      <w:r>
        <w:rPr>
          <w:highlight w:val="green"/>
        </w:rPr>
        <w:t xml:space="preserve"> </w:t>
      </w:r>
      <w:r>
        <w:rPr>
          <w:highlight w:val="green"/>
        </w:rPr>
        <w:t xml:space="preserve">P = 0.0005), and on</w:t>
      </w:r>
      <w:r>
        <w:rPr>
          <w:highlight w:val="green"/>
        </w:rPr>
        <w:t xml:space="preserve"> </w:t>
      </w:r>
      <w:r>
        <w:rPr>
          <w:highlight w:val="green"/>
        </w:rPr>
        <w:t xml:space="preserve">canonical SWaT, where 18 attack episodes give a paired difference over the linear baseline of +0.085 (95% CI</w:t>
      </w:r>
      <w:r>
        <w:rPr>
          <w:highlight w:val="green"/>
        </w:rPr>
        <w:t xml:space="preserve"> </w:t>
      </w:r>
      <w:r>
        <w:rPr>
          <w:highlight w:val="green"/>
        </w:rPr>
        <w:t xml:space="preserve">[0.030, 0.146], P = 0.0005); the WADI subset rests on 7 episodes and is a numerical lead over the linear</w:t>
      </w:r>
      <w:r>
        <w:rPr>
          <w:highlight w:val="green"/>
        </w:rPr>
        <w:t xml:space="preserve"> </w:t>
      </w:r>
      <w:r>
        <w:rPr>
          <w:highlight w:val="green"/>
        </w:rPr>
        <w:t xml:space="preserve">baseline (0.662 vs 0.606, +0.056, P = 0.43). The subset removes easily separated signal rather than</w:t>
      </w:r>
      <w:r>
        <w:rPr>
          <w:highlight w:val="green"/>
        </w:rPr>
        <w:t xml:space="preserve"> </w:t>
      </w:r>
      <w:r>
        <w:rPr>
          <w:highlight w:val="green"/>
        </w:rPr>
        <w:t xml:space="preserve">selecting a favorable slice: the trivial-rule AUROC drops further from the difficult to the double-hard subset (WADI</w:t>
      </w:r>
      <w:r>
        <w:rPr>
          <w:highlight w:val="green"/>
        </w:rPr>
        <w:t xml:space="preserve"> </w:t>
      </w:r>
      <w:r>
        <w:rPr>
          <w:highlight w:val="green"/>
        </w:rPr>
        <w:t xml:space="preserve">0.601→0.493, SWaT 0.646→0.581).</w:t>
      </w:r>
      <w:r>
        <w:rPr/>
        <w:t xml:space="preserve"> </w:t>
      </w:r>
      <w:r>
        <w:rPr/>
        <w:t xml:space="preserve">By construction the two baselines</w:t>
      </w:r>
      <w:r>
        <w:rPr/>
        <w:t xml:space="preserve"> </w:t>
      </w:r>
      <w:r>
        <w:rPr/>
        <w:t xml:space="preserve">that define the subset fail on it and are shown for completeness, not as an unbiased comparison.</w:t>
      </w:r>
    </w:p>
    <w:p>
      <w:pPr>
        <w:pStyle w:val="MDPI41tablecaption"/>
        <w:ind w:left="2608"/>
      </w:pPr>
      <w:r>
        <w:rPr>
          <w:b/>
          <w:bCs/>
        </w:rPr>
        <w:t xml:space="preserve">Table 4.</w:t>
      </w:r>
      <w:r>
        <w:rPr/>
        <w:t xml:space="preserve"> </w:t>
      </w:r>
      <w:r>
        <w:rPr/>
        <w:t xml:space="preserve">Double-hard subset AUROC (five-seed mean±standard deviation for the</w:t>
      </w:r>
      <w:r>
        <w:rPr/>
        <w:t xml:space="preserve"> </w:t>
      </w:r>
      <w:r>
        <w:rPr/>
        <w:t xml:space="preserve">learned detectors). The double-hard subset keeps only anomaly windows separated by neither the univariate max|u|</w:t>
      </w:r>
      <w:r>
        <w:rPr/>
        <w:t xml:space="preserve"> </w:t>
      </w:r>
      <w:r>
        <w:rPr/>
        <w:t xml:space="preserve">rule nor the linear cross-channel predictor, both thresholded on train-normal at the 99th percentile; it is a</w:t>
      </w:r>
      <w:r>
        <w:rPr/>
        <w:t xml:space="preserve"> </w:t>
      </w:r>
      <w:r>
        <w:rPr/>
        <w:t xml:space="preserve">stress test independent of the detector under test (which plays no role in constructing it), not an unbiased</w:t>
      </w:r>
      <w:r>
        <w:rPr/>
        <w:t xml:space="preserve"> </w:t>
      </w:r>
      <w:r>
        <w:rPr/>
        <w:t xml:space="preserve">comparison against those two filters.</w:t>
      </w:r>
      <w:r>
        <w:rPr/>
        <w:t xml:space="preserve"> </w:t>
      </w:r>
      <w:r>
        <w:rPr/>
        <w:t xml:space="preserve"> </w:t>
      </w:r>
      <w:r>
        <w:rPr>
          <w:highlight w:val="green"/>
        </w:rPr>
        <w:t xml:space="preserve"> Windows / distinct attack</w:t>
      </w:r>
      <w:r>
        <w:rPr>
          <w:highlight w:val="green"/>
        </w:rPr>
        <w:t xml:space="preserve"> </w:t>
      </w:r>
      <w:r>
        <w:rPr>
          <w:highlight w:val="green"/>
        </w:rPr>
        <w:t xml:space="preserve">episodes: WADI 19 / 7, HAI 84 / 19, SWaT 59 / 18. The detector has the highest mean</w:t>
      </w:r>
      <w:r>
        <w:rPr>
          <w:highlight w:val="green"/>
        </w:rPr>
        <w:t xml:space="preserve"> </w:t>
      </w:r>
      <w:r>
        <w:rPr>
          <w:highlight w:val="green"/>
        </w:rPr>
        <w:t xml:space="preserve">AUROC on all three datasets; the margin over the strongest baseline is statistically supported on HAI (+0.084, 95%</w:t>
      </w:r>
      <w:r>
        <w:rPr>
          <w:highlight w:val="green"/>
        </w:rPr>
        <w:t xml:space="preserve"> </w:t>
      </w:r>
      <w:r>
        <w:rPr>
          <w:highlight w:val="green"/>
        </w:rPr>
        <w:t xml:space="preserve">CI [0.019, 0.189], P = 0.0005) and on canonical SWaT (+0.085, 95% CI [0.030, 0.146], P = 0.0005), and is a numerical</w:t>
      </w:r>
      <w:r>
        <w:rPr>
          <w:highlight w:val="green"/>
        </w:rPr>
        <w:t xml:space="preserve"> </w:t>
      </w:r>
      <w:r>
        <w:rPr>
          <w:highlight w:val="green"/>
        </w:rPr>
        <w:t xml:space="preserve">lead on WADI (+0.056, 95% CI [−0.244, 0.305], P = 0.43, 7 episodes). </w:t>
      </w:r>
      <w:r>
        <w:rPr/>
        <w:t xml:space="preserve"> </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2234"/>
        <w:gridCol w:w="1874"/>
        <w:gridCol w:w="1874"/>
        <w:gridCol w:w="1876"/>
      </w:tblGrid>
      <w:tr>
        <w:trPr>
          <w:tblHeader w:val="on"/>
        </w:trPr>
        <w:tc>
          <w:tcPr>
            <w:tcBorders>
              <w:bottom w:val="single" w:sz="8" w:space="0" w:color="auto"/>
            </w:tcBorders>
            <w:vAlign w:val="center"/>
          </w:tcPr>
          <w:p>
            <w:pPr>
              <w:pStyle w:val="Compact"/>
              <w:suppressAutoHyphens/>
              <w:jc w:val="center"/>
            </w:pPr>
            <w:r>
              <w:rPr>
                <w:b/>
                <w:sz w:val="18"/>
                <w:szCs w:val="18"/>
              </w:rPr>
              <w:t xml:space="preserve">Method</w:t>
            </w:r>
          </w:p>
        </w:tc>
        <w:tc>
          <w:tcPr>
            <w:tcBorders>
              <w:bottom w:val="single" w:sz="8" w:space="0" w:color="auto"/>
            </w:tcBorders>
            <w:vAlign w:val="center"/>
          </w:tcPr>
          <w:p>
            <w:pPr>
              <w:pStyle w:val="Compact"/>
              <w:suppressAutoHyphens/>
              <w:jc w:val="center"/>
            </w:pPr>
            <w:r>
              <w:rPr>
                <w:b/>
                <w:sz w:val="18"/>
                <w:szCs w:val="18"/>
              </w:rPr>
              <w:t xml:space="preserve">WADI</w:t>
            </w:r>
          </w:p>
        </w:tc>
        <w:tc>
          <w:tcPr>
            <w:tcBorders>
              <w:bottom w:val="single" w:sz="8" w:space="0" w:color="auto"/>
            </w:tcBorders>
            <w:vAlign w:val="center"/>
          </w:tcPr>
          <w:p>
            <w:pPr>
              <w:pStyle w:val="Compact"/>
              <w:suppressAutoHyphens/>
              <w:jc w:val="center"/>
            </w:pPr>
            <w:r>
              <w:rPr>
                <w:b/>
                <w:sz w:val="18"/>
                <w:szCs w:val="18"/>
              </w:rPr>
              <w:t xml:space="preserve">HAI</w:t>
            </w:r>
          </w:p>
        </w:tc>
        <w:tc>
          <w:tcPr>
            <w:tcBorders>
              <w:bottom w:val="single" w:sz="8" w:space="0" w:color="auto"/>
            </w:tcBorders>
            <w:vAlign w:val="center"/>
          </w:tcPr>
          <w:p>
            <w:pPr>
              <w:pStyle w:val="Compact"/>
              <w:suppressAutoHyphens/>
              <w:jc w:val="center"/>
            </w:pPr>
            <w:r>
              <w:rPr>
                <w:b/>
                <w:sz w:val="18"/>
                <w:szCs w:val="18"/>
              </w:rPr>
              <w:t xml:space="preserve">SWaT</w:t>
            </w:r>
          </w:p>
        </w:tc>
      </w:tr>
      <w:tr>
        <w:tc>
          <w:tcPr>
            <w:vAlign w:val="center"/>
          </w:tcPr>
          <w:p>
            <w:pPr>
              <w:pStyle w:val="Compact"/>
              <w:suppressAutoHyphens/>
              <w:jc w:val="center"/>
            </w:pPr>
            <w:r>
              <w:rPr>
                <w:sz w:val="18"/>
                <w:szCs w:val="18"/>
                <w:highlight w:val="green"/>
              </w:rPr>
              <w:t xml:space="preserve"> trivial max|u| </w:t>
            </w:r>
          </w:p>
        </w:tc>
        <w:tc>
          <w:tcPr>
            <w:vAlign w:val="center"/>
          </w:tcPr>
          <w:p>
            <w:pPr>
              <w:pStyle w:val="Compact"/>
              <w:suppressAutoHyphens/>
              <w:jc w:val="center"/>
            </w:pPr>
            <w:r>
              <w:rPr>
                <w:sz w:val="18"/>
                <w:szCs w:val="18"/>
                <w:highlight w:val="green"/>
              </w:rPr>
              <w:t xml:space="preserve"> 0.493 </w:t>
            </w:r>
          </w:p>
        </w:tc>
        <w:tc>
          <w:tcPr>
            <w:vAlign w:val="center"/>
          </w:tcPr>
          <w:p>
            <w:pPr>
              <w:pStyle w:val="Compact"/>
              <w:suppressAutoHyphens/>
              <w:jc w:val="center"/>
            </w:pPr>
            <w:r>
              <w:rPr>
                <w:sz w:val="18"/>
                <w:szCs w:val="18"/>
                <w:highlight w:val="green"/>
              </w:rPr>
              <w:t xml:space="preserve"> 0.349 </w:t>
            </w:r>
          </w:p>
        </w:tc>
        <w:tc>
          <w:tcPr>
            <w:vAlign w:val="center"/>
          </w:tcPr>
          <w:p>
            <w:pPr>
              <w:pStyle w:val="Compact"/>
              <w:suppressAutoHyphens/>
              <w:jc w:val="center"/>
            </w:pPr>
            <w:r>
              <w:rPr>
                <w:sz w:val="18"/>
                <w:szCs w:val="18"/>
                <w:highlight w:val="green"/>
              </w:rPr>
              <w:t xml:space="preserve"> 0.581 </w:t>
            </w:r>
          </w:p>
        </w:tc>
      </w:tr>
      <w:tr>
        <w:tc>
          <w:tcPr>
            <w:vAlign w:val="center"/>
          </w:tcPr>
          <w:p>
            <w:pPr>
              <w:pStyle w:val="Compact"/>
              <w:suppressAutoHyphens/>
              <w:jc w:val="center"/>
            </w:pPr>
            <w:r>
              <w:rPr>
                <w:sz w:val="18"/>
                <w:szCs w:val="18"/>
                <w:highlight w:val="green"/>
              </w:rPr>
              <w:t xml:space="preserve"> Isolation Forest </w:t>
            </w:r>
          </w:p>
        </w:tc>
        <w:tc>
          <w:tcPr>
            <w:vAlign w:val="center"/>
          </w:tcPr>
          <w:p>
            <w:pPr>
              <w:pStyle w:val="Compact"/>
              <w:suppressAutoHyphens/>
              <w:jc w:val="center"/>
            </w:pPr>
            <w:r>
              <w:rPr>
                <w:sz w:val="18"/>
                <w:szCs w:val="18"/>
                <w:highlight w:val="green"/>
              </w:rPr>
              <w:t xml:space="preserve"> 0.530±0.009 </w:t>
            </w:r>
          </w:p>
        </w:tc>
        <w:tc>
          <w:tcPr>
            <w:vAlign w:val="center"/>
          </w:tcPr>
          <w:p>
            <w:pPr>
              <w:pStyle w:val="Compact"/>
              <w:suppressAutoHyphens/>
              <w:jc w:val="center"/>
            </w:pPr>
            <w:r>
              <w:rPr>
                <w:sz w:val="18"/>
                <w:szCs w:val="18"/>
                <w:highlight w:val="green"/>
              </w:rPr>
              <w:t xml:space="preserve"> 0.635±0.012 </w:t>
            </w:r>
          </w:p>
        </w:tc>
        <w:tc>
          <w:tcPr>
            <w:vAlign w:val="center"/>
          </w:tcPr>
          <w:p>
            <w:pPr>
              <w:pStyle w:val="Compact"/>
              <w:suppressAutoHyphens/>
              <w:jc w:val="center"/>
            </w:pPr>
            <w:r>
              <w:rPr>
                <w:sz w:val="18"/>
                <w:szCs w:val="18"/>
                <w:highlight w:val="green"/>
              </w:rPr>
              <w:t xml:space="preserve"> 0.578±0.009 </w:t>
            </w:r>
          </w:p>
        </w:tc>
      </w:tr>
      <w:tr>
        <w:tc>
          <w:tcPr>
            <w:vAlign w:val="center"/>
          </w:tcPr>
          <w:p>
            <w:pPr>
              <w:pStyle w:val="Compact"/>
              <w:suppressAutoHyphens/>
              <w:jc w:val="center"/>
            </w:pPr>
            <w:r>
              <w:rPr>
                <w:sz w:val="18"/>
                <w:szCs w:val="18"/>
                <w:highlight w:val="green"/>
              </w:rPr>
              <w:t xml:space="preserve"> AutoEncoder </w:t>
            </w:r>
          </w:p>
        </w:tc>
        <w:tc>
          <w:tcPr>
            <w:vAlign w:val="center"/>
          </w:tcPr>
          <w:p>
            <w:pPr>
              <w:pStyle w:val="Compact"/>
              <w:suppressAutoHyphens/>
              <w:jc w:val="center"/>
            </w:pPr>
            <w:r>
              <w:rPr>
                <w:sz w:val="18"/>
                <w:szCs w:val="18"/>
                <w:highlight w:val="green"/>
              </w:rPr>
              <w:t xml:space="preserve"> 0.535±0.004 </w:t>
            </w:r>
          </w:p>
        </w:tc>
        <w:tc>
          <w:tcPr>
            <w:vAlign w:val="center"/>
          </w:tcPr>
          <w:p>
            <w:pPr>
              <w:pStyle w:val="Compact"/>
              <w:suppressAutoHyphens/>
              <w:jc w:val="center"/>
            </w:pPr>
            <w:r>
              <w:rPr>
                <w:sz w:val="18"/>
                <w:szCs w:val="18"/>
                <w:highlight w:val="green"/>
              </w:rPr>
              <w:t xml:space="preserve"> 0.730±0.003 </w:t>
            </w:r>
          </w:p>
        </w:tc>
        <w:tc>
          <w:tcPr>
            <w:vAlign w:val="center"/>
          </w:tcPr>
          <w:p>
            <w:pPr>
              <w:pStyle w:val="Compact"/>
              <w:suppressAutoHyphens/>
              <w:jc w:val="center"/>
            </w:pPr>
            <w:r>
              <w:rPr>
                <w:sz w:val="18"/>
                <w:szCs w:val="18"/>
                <w:highlight w:val="green"/>
              </w:rPr>
              <w:t xml:space="preserve"> 0.666±0.010 </w:t>
            </w:r>
          </w:p>
        </w:tc>
      </w:tr>
      <w:tr>
        <w:tc>
          <w:tcPr>
            <w:vAlign w:val="center"/>
          </w:tcPr>
          <w:p>
            <w:pPr>
              <w:pStyle w:val="Compact"/>
              <w:suppressAutoHyphens/>
              <w:jc w:val="center"/>
            </w:pPr>
            <w:r>
              <w:rPr>
                <w:sz w:val="18"/>
                <w:szCs w:val="18"/>
                <w:highlight w:val="green"/>
              </w:rPr>
              <w:t xml:space="preserve"> LinRes (one-hot) </w:t>
            </w:r>
          </w:p>
        </w:tc>
        <w:tc>
          <w:tcPr>
            <w:vAlign w:val="center"/>
          </w:tcPr>
          <w:p>
            <w:pPr>
              <w:pStyle w:val="Compact"/>
              <w:suppressAutoHyphens/>
              <w:jc w:val="center"/>
            </w:pPr>
            <w:r>
              <w:rPr>
                <w:sz w:val="18"/>
                <w:szCs w:val="18"/>
                <w:highlight w:val="green"/>
              </w:rPr>
              <w:t xml:space="preserve"> 0.606 </w:t>
            </w:r>
          </w:p>
        </w:tc>
        <w:tc>
          <w:tcPr>
            <w:vAlign w:val="center"/>
          </w:tcPr>
          <w:p>
            <w:pPr>
              <w:pStyle w:val="Compact"/>
              <w:suppressAutoHyphens/>
              <w:jc w:val="center"/>
            </w:pPr>
            <w:r>
              <w:rPr>
                <w:sz w:val="18"/>
                <w:szCs w:val="18"/>
                <w:highlight w:val="green"/>
              </w:rPr>
              <w:t xml:space="preserve"> 0.465 </w:t>
            </w:r>
          </w:p>
        </w:tc>
        <w:tc>
          <w:tcPr>
            <w:vAlign w:val="center"/>
          </w:tcPr>
          <w:p>
            <w:pPr>
              <w:pStyle w:val="Compact"/>
              <w:suppressAutoHyphens/>
              <w:jc w:val="center"/>
            </w:pPr>
            <w:r>
              <w:rPr>
                <w:sz w:val="18"/>
                <w:szCs w:val="18"/>
                <w:highlight w:val="green"/>
              </w:rPr>
              <w:t xml:space="preserve"> 0.688 </w:t>
            </w:r>
          </w:p>
        </w:tc>
      </w:tr>
      <w:tr>
        <w:tc>
          <w:tcPr>
            <w:vAlign w:val="center"/>
          </w:tcPr>
          <w:p>
            <w:pPr>
              <w:pStyle w:val="Compact"/>
              <w:suppressAutoHyphens/>
              <w:jc w:val="center"/>
            </w:pPr>
            <w:r>
              <w:rPr>
                <w:sz w:val="18"/>
                <w:szCs w:val="18"/>
                <w:highlight w:val="green"/>
              </w:rPr>
              <w:t xml:space="preserve"> USAD </w:t>
            </w:r>
          </w:p>
        </w:tc>
        <w:tc>
          <w:tcPr>
            <w:vAlign w:val="center"/>
          </w:tcPr>
          <w:p>
            <w:pPr>
              <w:pStyle w:val="Compact"/>
              <w:suppressAutoHyphens/>
              <w:jc w:val="center"/>
            </w:pPr>
            <w:r>
              <w:rPr>
                <w:sz w:val="18"/>
                <w:szCs w:val="18"/>
                <w:highlight w:val="green"/>
              </w:rPr>
              <w:t xml:space="preserve"> 0.466 </w:t>
            </w:r>
          </w:p>
        </w:tc>
        <w:tc>
          <w:tcPr>
            <w:vAlign w:val="center"/>
          </w:tcPr>
          <w:p>
            <w:pPr>
              <w:pStyle w:val="Compact"/>
              <w:suppressAutoHyphens/>
              <w:jc w:val="center"/>
            </w:pPr>
            <w:r>
              <w:rPr>
                <w:sz w:val="18"/>
                <w:szCs w:val="18"/>
                <w:highlight w:val="green"/>
              </w:rPr>
              <w:t xml:space="preserve"> 0.442±0.021 </w:t>
            </w:r>
          </w:p>
        </w:tc>
        <w:tc>
          <w:tcPr>
            <w:vAlign w:val="center"/>
          </w:tcPr>
          <w:p>
            <w:pPr>
              <w:pStyle w:val="Compact"/>
              <w:suppressAutoHyphens/>
              <w:jc w:val="center"/>
            </w:pPr>
            <w:r>
              <w:rPr>
                <w:sz w:val="18"/>
                <w:szCs w:val="18"/>
                <w:highlight w:val="green"/>
              </w:rPr>
              <w:t xml:space="preserve"> 0.609 </w:t>
            </w:r>
          </w:p>
        </w:tc>
      </w:tr>
      <w:tr>
        <w:tc>
          <w:tcPr>
            <w:vAlign w:val="center"/>
          </w:tcPr>
          <w:p>
            <w:pPr>
              <w:pStyle w:val="Compact"/>
              <w:suppressAutoHyphens/>
              <w:jc w:val="center"/>
            </w:pPr>
            <w:r>
              <w:rPr>
                <w:sz w:val="18"/>
                <w:szCs w:val="18"/>
                <w:highlight w:val="green"/>
              </w:rPr>
              <w:t xml:space="preserve"> TranAD </w:t>
            </w:r>
          </w:p>
        </w:tc>
        <w:tc>
          <w:tcPr>
            <w:vAlign w:val="center"/>
          </w:tcPr>
          <w:p>
            <w:pPr>
              <w:pStyle w:val="Compact"/>
              <w:suppressAutoHyphens/>
              <w:jc w:val="center"/>
            </w:pPr>
            <w:r>
              <w:rPr>
                <w:sz w:val="18"/>
                <w:szCs w:val="18"/>
                <w:highlight w:val="green"/>
              </w:rPr>
              <w:t xml:space="preserve"> 0.489 </w:t>
            </w:r>
          </w:p>
        </w:tc>
        <w:tc>
          <w:tcPr>
            <w:vAlign w:val="center"/>
          </w:tcPr>
          <w:p>
            <w:pPr>
              <w:pStyle w:val="Compact"/>
              <w:suppressAutoHyphens/>
              <w:jc w:val="center"/>
            </w:pPr>
            <w:r>
              <w:rPr>
                <w:sz w:val="18"/>
                <w:szCs w:val="18"/>
                <w:highlight w:val="green"/>
              </w:rPr>
              <w:t xml:space="preserve"> 0.418±0.009 </w:t>
            </w:r>
          </w:p>
        </w:tc>
        <w:tc>
          <w:tcPr>
            <w:vAlign w:val="center"/>
          </w:tcPr>
          <w:p>
            <w:pPr>
              <w:pStyle w:val="Compact"/>
              <w:suppressAutoHyphens/>
              <w:jc w:val="center"/>
            </w:pPr>
            <w:r>
              <w:rPr>
                <w:sz w:val="18"/>
                <w:szCs w:val="18"/>
                <w:highlight w:val="green"/>
              </w:rPr>
              <w:t xml:space="preserve"> 0.604 </w:t>
            </w:r>
          </w:p>
        </w:tc>
      </w:tr>
      <w:tr>
        <w:tc>
          <w:tcPr>
            <w:vAlign w:val="center"/>
          </w:tcPr>
          <w:p>
            <w:pPr>
              <w:pStyle w:val="Compact"/>
              <w:suppressAutoHyphens/>
              <w:jc w:val="center"/>
            </w:pPr>
            <w:r>
              <w:rPr>
                <w:sz w:val="18"/>
                <w:szCs w:val="18"/>
                <w:highlight w:val="green"/>
              </w:rPr>
              <w:t xml:space="preserve"> GDN </w:t>
            </w:r>
          </w:p>
        </w:tc>
        <w:tc>
          <w:tcPr>
            <w:vAlign w:val="center"/>
          </w:tcPr>
          <w:p>
            <w:pPr>
              <w:pStyle w:val="Compact"/>
              <w:suppressAutoHyphens/>
              <w:jc w:val="center"/>
            </w:pPr>
            <w:r>
              <w:rPr>
                <w:sz w:val="18"/>
                <w:szCs w:val="18"/>
                <w:highlight w:val="green"/>
              </w:rPr>
              <w:t xml:space="preserve"> 0.550 </w:t>
            </w:r>
          </w:p>
        </w:tc>
        <w:tc>
          <w:tcPr>
            <w:vAlign w:val="center"/>
          </w:tcPr>
          <w:p>
            <w:pPr>
              <w:pStyle w:val="Compact"/>
              <w:suppressAutoHyphens/>
              <w:jc w:val="center"/>
            </w:pPr>
            <w:r>
              <w:rPr>
                <w:sz w:val="18"/>
                <w:szCs w:val="18"/>
                <w:highlight w:val="green"/>
              </w:rPr>
              <w:t xml:space="preserve"> 0.469 </w:t>
            </w:r>
          </w:p>
        </w:tc>
        <w:tc>
          <w:tcPr>
            <w:vAlign w:val="center"/>
          </w:tcPr>
          <w:p>
            <w:pPr>
              <w:pStyle w:val="Compact"/>
              <w:suppressAutoHyphens/>
              <w:jc w:val="center"/>
            </w:pPr>
            <w:r>
              <w:rPr>
                <w:sz w:val="18"/>
                <w:szCs w:val="18"/>
                <w:highlight w:val="green"/>
              </w:rPr>
              <w:t xml:space="preserve"> 0.615 </w:t>
            </w:r>
          </w:p>
        </w:tc>
      </w:tr>
      <w:tr>
        <w:tc>
          <w:tcPr>
            <w:vAlign w:val="center"/>
          </w:tcPr>
          <w:p>
            <w:pPr>
              <w:pStyle w:val="Compact"/>
              <w:suppressAutoHyphens/>
              <w:jc w:val="center"/>
            </w:pPr>
            <w:r>
              <w:rPr>
                <w:sz w:val="18"/>
                <w:szCs w:val="18"/>
                <w:highlight w:val="green"/>
              </w:rPr>
              <w:t xml:space="preserve"> LatAD (global density) </w:t>
            </w:r>
          </w:p>
        </w:tc>
        <w:tc>
          <w:tcPr>
            <w:vAlign w:val="center"/>
          </w:tcPr>
          <w:p>
            <w:pPr>
              <w:pStyle w:val="Compact"/>
              <w:suppressAutoHyphens/>
              <w:jc w:val="center"/>
            </w:pPr>
            <w:r>
              <w:rPr>
                <w:sz w:val="18"/>
                <w:szCs w:val="18"/>
                <w:highlight w:val="green"/>
              </w:rPr>
              <w:t xml:space="preserve"> 0.571±0.013 </w:t>
            </w:r>
          </w:p>
        </w:tc>
        <w:tc>
          <w:tcPr>
            <w:vAlign w:val="center"/>
          </w:tcPr>
          <w:p>
            <w:pPr>
              <w:pStyle w:val="Compact"/>
              <w:suppressAutoHyphens/>
              <w:jc w:val="center"/>
            </w:pPr>
            <w:r>
              <w:rPr>
                <w:sz w:val="18"/>
                <w:szCs w:val="18"/>
                <w:highlight w:val="green"/>
              </w:rPr>
              <w:t xml:space="preserve"> 0.806±0.019 </w:t>
            </w:r>
          </w:p>
        </w:tc>
        <w:tc>
          <w:tcPr>
            <w:vAlign w:val="center"/>
          </w:tcPr>
          <w:p>
            <w:pPr>
              <w:pStyle w:val="Compact"/>
              <w:suppressAutoHyphens/>
              <w:jc w:val="center"/>
            </w:pPr>
            <w:r>
              <w:rPr>
                <w:sz w:val="18"/>
                <w:szCs w:val="18"/>
                <w:highlight w:val="green"/>
              </w:rPr>
              <w:t xml:space="preserve"> 0.728±0.010 </w:t>
            </w:r>
          </w:p>
        </w:tc>
      </w:tr>
      <w:tr>
        <w:tc>
          <w:tcPr>
            <w:vAlign w:val="center"/>
          </w:tcPr>
          <w:p>
            <w:pPr>
              <w:pStyle w:val="Compact"/>
              <w:suppressAutoHyphens/>
              <w:jc w:val="center"/>
            </w:pPr>
            <w:r>
              <w:rPr>
                <w:sz w:val="18"/>
                <w:szCs w:val="18"/>
                <w:highlight w:val="green"/>
              </w:rPr>
              <w:t xml:space="preserve"> </w:t>
            </w:r>
            <w:r>
              <w:rPr>
                <w:b/>
                <w:bCs/>
                <w:sz w:val="18"/>
                <w:szCs w:val="18"/>
                <w:highlight w:val="green"/>
              </w:rPr>
              <w:t xml:space="preserve">LatAD (regime-community)</w:t>
            </w:r>
            <w:r>
              <w:rPr>
                <w:sz w:val="18"/>
                <w:szCs w:val="18"/>
                <w:highlight w:val="green"/>
              </w:rPr>
              <w:t xml:space="preserve"> </w:t>
            </w:r>
          </w:p>
        </w:tc>
        <w:tc>
          <w:tcPr>
            <w:vAlign w:val="center"/>
          </w:tcPr>
          <w:p>
            <w:pPr>
              <w:pStyle w:val="Compact"/>
              <w:suppressAutoHyphens/>
              <w:jc w:val="center"/>
            </w:pPr>
            <w:r>
              <w:rPr>
                <w:sz w:val="18"/>
                <w:szCs w:val="18"/>
                <w:highlight w:val="green"/>
              </w:rPr>
              <w:t xml:space="preserve"> 0.662±0.040 </w:t>
            </w:r>
          </w:p>
        </w:tc>
        <w:tc>
          <w:tcPr>
            <w:vAlign w:val="center"/>
          </w:tcPr>
          <w:p>
            <w:pPr>
              <w:pStyle w:val="Compact"/>
              <w:suppressAutoHyphens/>
              <w:jc w:val="center"/>
            </w:pPr>
            <w:r>
              <w:rPr>
                <w:sz w:val="18"/>
                <w:szCs w:val="18"/>
                <w:highlight w:val="green"/>
              </w:rPr>
              <w:t xml:space="preserve"> 0.814±0.024 </w:t>
            </w:r>
          </w:p>
        </w:tc>
        <w:tc>
          <w:tcPr>
            <w:vAlign w:val="center"/>
          </w:tcPr>
          <w:p>
            <w:pPr>
              <w:pStyle w:val="Compact"/>
              <w:suppressAutoHyphens/>
              <w:jc w:val="center"/>
            </w:pPr>
            <w:r>
              <w:rPr>
                <w:sz w:val="18"/>
                <w:szCs w:val="18"/>
                <w:highlight w:val="green"/>
              </w:rPr>
              <w:t xml:space="preserve"> 0.773±0.006 </w:t>
            </w:r>
          </w:p>
        </w:tc>
      </w:tr>
    </w:tbl>
    <w:p>
      <w:pPr>
        <w:pStyle w:val="MDPI31text"/>
        <w:ind w:left="2608"/>
      </w:pPr>
      <w:r>
        <w:rPr>
          <w:b/>
          <w:bCs/>
        </w:rPr>
        <w:t xml:space="preserve">Deep SOTA under raw metrics.</w:t>
      </w:r>
      <w:r>
        <w:rPr/>
        <w:t xml:space="preserve"> </w:t>
      </w:r>
      <w:r>
        <w:rPr/>
        <w:t xml:space="preserve">Re-computed with raw point-wise metrics, the deep detectors USAD</w:t>
      </w:r>
      <w:r>
        <w:rPr/>
        <w:t xml:space="preserve"> </w:t>
      </w:r>
      <w:r>
        <w:rPr>
          <w:highlight w:val="green"/>
        </w:rPr>
        <w:t xml:space="preserve">and TranAD fall to</w:t>
      </w:r>
      <w:r>
        <w:rPr>
          <w:highlight w:val="green"/>
        </w:rPr>
        <w:t xml:space="preserve"> </w:t>
      </w:r>
      <w:r>
        <w:rPr>
          <w:highlight w:val="green"/>
        </w:rPr>
        <w:t xml:space="preserve">0.477 and 0.444 on the HAI difficult subset, near or below chance and far below LatAD's 0.845, even while they</w:t>
      </w:r>
      <w:r>
        <w:rPr>
          <w:highlight w:val="green"/>
        </w:rPr>
        <w:t xml:space="preserve"> </w:t>
      </w:r>
      <w:r>
        <w:rPr>
          <w:highlight w:val="green"/>
        </w:rPr>
        <w:t xml:space="preserve">remain strong on Easy (0.96–1.00). On WADI and canonical SWaT they trail LatAD by a wide margin without</w:t>
      </w:r>
      <w:r>
        <w:rPr>
          <w:highlight w:val="green"/>
        </w:rPr>
        <w:t xml:space="preserve"> </w:t>
      </w:r>
      <w:r>
        <w:rPr>
          <w:highlight w:val="green"/>
        </w:rPr>
        <w:t xml:space="preserve">collapsing (WADI 0.579 / 0.613 versus 0.771; SWaT 0.658 / 0.655 versus 0.837).</w:t>
      </w:r>
      <w:r>
        <w:rPr/>
        <w:t xml:space="preserve"> </w:t>
      </w:r>
      <w:r>
        <w:rPr/>
        <w:t xml:space="preserve">This is the concrete face of the “illusion of success”:</w:t>
      </w:r>
      <w:r>
        <w:rPr/>
        <w:t xml:space="preserve"> </w:t>
      </w:r>
      <w:r>
        <w:rPr/>
        <w:t xml:space="preserve">models that look strong under point-adjusted F1 have little difficult-fault signal once the metric is raw</w:t>
      </w:r>
      <w:r>
        <w:rPr>
          <w:highlight w:val="green"/>
        </w:rPr>
        <w:t xml:space="preserve">, and lose most sharply where the fault breaks joint structure</w:t>
      </w:r>
      <w:r>
        <w:rPr/>
        <w:t xml:space="preserve">.</w:t>
      </w:r>
    </w:p>
    <w:p xmlns:a="http://schemas.openxmlformats.org/drawingml/2006/main" xmlns:pic="http://schemas.openxmlformats.org/drawingml/2006/picture">
      <w:pPr>
        <w:pStyle w:val="MDPI52figure"/>
        <w:ind w:left="2608"/>
        <w:jc w:val="center"/>
      </w:pPr>
      <w:r>
        <w:rPr/>
        <w:drawing>
          <wp:inline>
            <wp:extent cx="4989830" cy="2080135"/>
            <wp:effectExtent b="0" l="0" r="0" t="0"/>
            <wp:docPr descr="figure" title="" id="40" name="Picture"/>
            <a:graphic>
              <a:graphicData uri="http://schemas.openxmlformats.org/drawingml/2006/picture">
                <pic:pic>
                  <pic:nvPicPr>
                    <pic:cNvPr descr="_inlinesvg_2.png" id="41" name="Picture"/>
                    <pic:cNvPicPr>
                      <a:picLocks noChangeArrowheads="1" noChangeAspect="1"/>
                    </pic:cNvPicPr>
                  </pic:nvPicPr>
                  <pic:blipFill>
                    <a:blip r:embed="rId21"/>
                    <a:stretch>
                      <a:fillRect/>
                    </a:stretch>
                  </pic:blipFill>
                  <pic:spPr bwMode="auto">
                    <a:xfrm>
                      <a:off x="0" y="0"/>
                      <a:ext cx="4989830" cy="2080135"/>
                    </a:xfrm>
                    <a:prstGeom prst="rect">
                      <a:avLst/>
                    </a:prstGeom>
                    <a:noFill/>
                    <a:ln w="9525">
                      <a:noFill/>
                      <a:headEnd/>
                      <a:tailEnd/>
                    </a:ln>
                  </pic:spPr>
                </pic:pic>
              </a:graphicData>
            </a:graphic>
          </wp:inline>
        </w:drawing>
      </w:r>
    </w:p>
    <w:p>
      <w:pPr>
        <w:pStyle w:val="MDPI51figurecaption"/>
        <w:ind w:left="2608"/>
      </w:pPr>
      <w:r>
        <w:rPr>
          <w:b/>
          <w:bCs/>
          <w:highlight w:val="green"/>
        </w:rPr>
        <w:t xml:space="preserve">Figure 3.</w:t>
      </w:r>
      <w:r>
        <w:rPr/>
        <w:t xml:space="preserve"> </w:t>
      </w:r>
      <w:r>
        <w:rPr>
          <w:highlight w:val="green"/>
        </w:rPr>
        <w:t xml:space="preserve">Difficult-subset AUROC by method (five-seed mean for the learned detectors; whiskers show ±1 SD over seeds where it exceeds zero, for Isolation Forest, AutoEncoder, USAD, TranAD, and LatAD).</w:t>
      </w:r>
      <w:r>
        <w:rPr/>
        <w:t xml:space="preserve"> </w:t>
      </w:r>
      <w:r>
        <w:rPr>
          <w:highlight w:val="green"/>
        </w:rPr>
        <w:t xml:space="preserve">LatAD leads on all three datasets: significantly over the strongest baseline on HAI (0.845, a +0.088 margin over the AutoEncoder, 95% CI [0.042, 0.157]) and on canonical SWaT (0.837 vs the linear baseline 0.782, P = 0.007), and ahead of every learned detector on WADI (0.771, tying the linear baseline over 8 episodes). On HAI's joint-structure faults the deep detectors USAD and TranAD fall to 0.44–0.48, near chance; on WADI and SWaT they trail LatAD without collapsing.</w:t>
      </w:r>
    </w:p>
    <w:p>
      <w:pPr>
        <w:pStyle w:val="MDPI31text"/>
        <w:ind w:left="2608"/>
      </w:pPr>
      <w:r>
        <w:rPr>
          <w:b/>
          <w:bCs/>
          <w:highlight w:val="green"/>
        </w:rPr>
        <w:t xml:space="preserve">Where the gain comes from.</w:t>
      </w:r>
      <w:r>
        <w:rPr>
          <w:highlight w:val="green"/>
        </w:rPr>
        <w:t xml:space="preserve"> </w:t>
      </w:r>
      <w:r>
        <w:rPr>
          <w:highlight w:val="green"/>
        </w:rPr>
        <w:t xml:space="preserve">The difficult-subset advantage is driven primarily by cross-channel density modeling rather than by the window representation, which is a separate and smaller complementary lever (Appendix A, Table A2). Replacing the cross-channel latent density with a channel-independent product of per-channel densities (Table 5) collapses the advantage on exactly the two datasets where LatAD wins significantly: the cross-channel density adds +0.200 on HAI and +0.141 on SWaT over the channel-independent baseline, while on the WADI difficult subset it adds essentially nothing (</w:t>
      </w:r>
      <w:r>
        <w:rPr>
          <w:highlight w:val="green"/>
        </w:rPr>
        <w:t xml:space="preserve">+0.017</w:t>
      </w:r>
      <w:r>
        <w:rPr>
          <w:highlight w:val="green"/>
        </w:rPr>
        <w:t xml:space="preserve">). WADI’s difficult anomalies are single-channel or linear, so per-channel marginals already suffice; a rescaled analyzer channel (</w:t>
      </w:r>
      <w:r>
        <w:rPr>
          <w:rStyle w:val="VerbatimChar"/>
          <w:highlight w:val="green"/>
        </w:rPr>
        <w:t xml:space="preserve">2B_AIT_002_PV</w:t>
      </w:r>
      <w:r>
        <w:rPr>
          <w:highlight w:val="green"/>
        </w:rPr>
        <w:t xml:space="preserve">) in the public WADI release inflates single-channel separability and is excluded from the evaluation (§5.1). The head-level decomposition (Table 6) and the factorization/aggregation ablation (Table A1) localize the same gain: the latent density anchors the base score, and factorizing it over correlation communities lifts the difficult subset further, most on WADI and by a similar margin on HAI and SWaT (Appendix A).</w:t>
      </w:r>
    </w:p>
    <w:p>
      <w:pPr>
        <w:pStyle w:val="MDPI41tablecaption"/>
        <w:ind w:left="2608"/>
      </w:pPr>
      <w:r>
        <w:rPr>
          <w:b/>
          <w:bCs/>
        </w:rPr>
        <w:t xml:space="preserve">Table 5.</w:t>
      </w:r>
      <w:r>
        <w:rPr>
          <w:highlight w:val="green"/>
        </w:rPr>
        <w:t xml:space="preserve"> Source of gain: difficult-subset AUROC (five-seed mean±standard deviation) of the cross-channel latent density against a channel-independent product of per-channel densities, on the WADI, HAI, and SWaT difficult subsets (30 / 167 / 85 anomaly windows). The cross-channel gain is carried by HAI and SWaT; on WADI it is essentially zero, because WADI’s difficult anomalies are single-channel or linear and per-channel marginals already suffice. Bold marks the cross-channel gains that survive the significance test.</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2428"/>
        <w:gridCol w:w="1809"/>
        <w:gridCol w:w="1809"/>
        <w:gridCol w:w="1812"/>
      </w:tblGrid>
      <w:tr>
        <w:trPr>
          <w:tblHeader w:val="on"/>
        </w:trPr>
        <w:tc>
          <w:tcPr>
            <w:tcBorders>
              <w:bottom w:val="single" w:sz="8" w:space="0" w:color="auto"/>
            </w:tcBorders>
            <w:vAlign w:val="center"/>
          </w:tcPr>
          <w:p>
            <w:pPr>
              <w:pStyle w:val="Compact"/>
              <w:suppressAutoHyphens/>
              <w:jc w:val="center"/>
            </w:pPr>
            <w:r>
              <w:rPr>
                <w:b/>
                <w:sz w:val="18"/>
                <w:szCs w:val="18"/>
                <w:highlight w:val="green"/>
              </w:rPr>
              <w:t xml:space="preserve"> Density model </w:t>
            </w:r>
          </w:p>
        </w:tc>
        <w:tc>
          <w:tcPr>
            <w:tcBorders>
              <w:bottom w:val="single" w:sz="8" w:space="0" w:color="auto"/>
            </w:tcBorders>
            <w:vAlign w:val="center"/>
          </w:tcPr>
          <w:p>
            <w:pPr>
              <w:pStyle w:val="Compact"/>
              <w:suppressAutoHyphens/>
              <w:jc w:val="center"/>
            </w:pPr>
            <w:r>
              <w:rPr>
                <w:b/>
                <w:sz w:val="18"/>
                <w:szCs w:val="18"/>
                <w:highlight w:val="green"/>
              </w:rPr>
              <w:t xml:space="preserve"> WADI </w:t>
            </w:r>
          </w:p>
        </w:tc>
        <w:tc>
          <w:tcPr>
            <w:tcBorders>
              <w:bottom w:val="single" w:sz="8" w:space="0" w:color="auto"/>
            </w:tcBorders>
            <w:vAlign w:val="center"/>
          </w:tcPr>
          <w:p>
            <w:pPr>
              <w:pStyle w:val="Compact"/>
              <w:suppressAutoHyphens/>
              <w:jc w:val="center"/>
            </w:pPr>
            <w:r>
              <w:rPr>
                <w:b/>
                <w:sz w:val="18"/>
                <w:szCs w:val="18"/>
                <w:highlight w:val="green"/>
              </w:rPr>
              <w:t xml:space="preserve"> HAI </w:t>
            </w:r>
          </w:p>
        </w:tc>
        <w:tc>
          <w:tcPr>
            <w:tcBorders>
              <w:bottom w:val="single" w:sz="8" w:space="0" w:color="auto"/>
            </w:tcBorders>
            <w:vAlign w:val="center"/>
          </w:tcPr>
          <w:p>
            <w:pPr>
              <w:pStyle w:val="Compact"/>
              <w:suppressAutoHyphens/>
              <w:jc w:val="center"/>
            </w:pPr>
            <w:r>
              <w:rPr>
                <w:b/>
                <w:sz w:val="18"/>
                <w:szCs w:val="18"/>
                <w:highlight w:val="green"/>
              </w:rPr>
              <w:t xml:space="preserve"> SWaT </w:t>
            </w:r>
          </w:p>
        </w:tc>
      </w:tr>
      <w:tr>
        <w:tc>
          <w:tcPr>
            <w:vAlign w:val="center"/>
          </w:tcPr>
          <w:p>
            <w:pPr>
              <w:pStyle w:val="Compact"/>
              <w:suppressAutoHyphens/>
              <w:jc w:val="center"/>
            </w:pPr>
            <w:r>
              <w:rPr>
                <w:sz w:val="18"/>
                <w:szCs w:val="18"/>
                <w:highlight w:val="green"/>
              </w:rPr>
              <w:t xml:space="preserve"> cross-channel latent density </w:t>
            </w:r>
          </w:p>
        </w:tc>
        <w:tc>
          <w:tcPr>
            <w:vAlign w:val="center"/>
          </w:tcPr>
          <w:p>
            <w:pPr>
              <w:pStyle w:val="Compact"/>
              <w:suppressAutoHyphens/>
              <w:jc w:val="center"/>
            </w:pPr>
            <w:r>
              <w:rPr>
                <w:sz w:val="18"/>
                <w:szCs w:val="18"/>
                <w:highlight w:val="green"/>
              </w:rPr>
              <w:t xml:space="preserve"> 0.656±0.016 </w:t>
            </w:r>
          </w:p>
        </w:tc>
        <w:tc>
          <w:tcPr>
            <w:vAlign w:val="center"/>
          </w:tcPr>
          <w:p>
            <w:pPr>
              <w:pStyle w:val="Compact"/>
              <w:suppressAutoHyphens/>
              <w:jc w:val="center"/>
            </w:pPr>
            <w:r>
              <w:rPr>
                <w:sz w:val="18"/>
                <w:szCs w:val="18"/>
                <w:highlight w:val="green"/>
              </w:rPr>
              <w:t xml:space="preserve"> 0.789±0.018 </w:t>
            </w:r>
          </w:p>
        </w:tc>
        <w:tc>
          <w:tcPr>
            <w:vAlign w:val="center"/>
          </w:tcPr>
          <w:p>
            <w:pPr>
              <w:pStyle w:val="Compact"/>
              <w:suppressAutoHyphens/>
              <w:jc w:val="center"/>
            </w:pPr>
            <w:r>
              <w:rPr>
                <w:sz w:val="18"/>
                <w:szCs w:val="18"/>
                <w:highlight w:val="green"/>
              </w:rPr>
              <w:t xml:space="preserve"> 0.795±0.010 </w:t>
            </w:r>
          </w:p>
        </w:tc>
      </w:tr>
      <w:tr>
        <w:tc>
          <w:tcPr>
            <w:vAlign w:val="center"/>
          </w:tcPr>
          <w:p>
            <w:pPr>
              <w:pStyle w:val="Compact"/>
              <w:suppressAutoHyphens/>
              <w:jc w:val="center"/>
            </w:pPr>
            <w:r>
              <w:rPr>
                <w:sz w:val="18"/>
                <w:szCs w:val="18"/>
                <w:highlight w:val="green"/>
              </w:rPr>
              <w:t xml:space="preserve"> channel-independent product of marginals </w:t>
            </w:r>
          </w:p>
        </w:tc>
        <w:tc>
          <w:tcPr>
            <w:vAlign w:val="center"/>
          </w:tcPr>
          <w:p>
            <w:pPr>
              <w:pStyle w:val="Compact"/>
              <w:suppressAutoHyphens/>
              <w:jc w:val="center"/>
            </w:pPr>
            <w:r>
              <w:rPr>
                <w:sz w:val="18"/>
                <w:szCs w:val="18"/>
                <w:highlight w:val="green"/>
              </w:rPr>
              <w:t xml:space="preserve"> 0.639±0.004 </w:t>
            </w:r>
          </w:p>
        </w:tc>
        <w:tc>
          <w:tcPr>
            <w:vAlign w:val="center"/>
          </w:tcPr>
          <w:p>
            <w:pPr>
              <w:pStyle w:val="Compact"/>
              <w:suppressAutoHyphens/>
              <w:jc w:val="center"/>
            </w:pPr>
            <w:r>
              <w:rPr>
                <w:sz w:val="18"/>
                <w:szCs w:val="18"/>
                <w:highlight w:val="green"/>
              </w:rPr>
              <w:t xml:space="preserve"> 0.589±0.004 </w:t>
            </w:r>
          </w:p>
        </w:tc>
        <w:tc>
          <w:tcPr>
            <w:vAlign w:val="center"/>
          </w:tcPr>
          <w:p>
            <w:pPr>
              <w:pStyle w:val="Compact"/>
              <w:suppressAutoHyphens/>
              <w:jc w:val="center"/>
            </w:pPr>
            <w:r>
              <w:rPr>
                <w:sz w:val="18"/>
                <w:szCs w:val="18"/>
                <w:highlight w:val="green"/>
              </w:rPr>
              <w:t xml:space="preserve"> 0.654±0.002 </w:t>
            </w:r>
          </w:p>
        </w:tc>
      </w:tr>
      <w:tr>
        <w:tc>
          <w:tcPr>
            <w:vAlign w:val="center"/>
          </w:tcPr>
          <w:p>
            <w:pPr>
              <w:pStyle w:val="Compact"/>
              <w:suppressAutoHyphens/>
              <w:jc w:val="center"/>
            </w:pPr>
            <w:r>
              <w:rPr>
                <w:sz w:val="18"/>
                <w:szCs w:val="18"/>
                <w:highlight w:val="green"/>
              </w:rPr>
              <w:t xml:space="preserve"> </w:t>
            </w:r>
            <w:r>
              <w:rPr>
                <w:b/>
                <w:bCs/>
                <w:sz w:val="18"/>
                <w:szCs w:val="18"/>
                <w:highlight w:val="green"/>
              </w:rPr>
              <w:t xml:space="preserve">cross-channel gain</w:t>
            </w:r>
            <w:r>
              <w:rPr>
                <w:sz w:val="18"/>
                <w:szCs w:val="18"/>
                <w:highlight w:val="green"/>
              </w:rPr>
              <w:t xml:space="preserve"> </w:t>
            </w:r>
          </w:p>
        </w:tc>
        <w:tc>
          <w:tcPr>
            <w:vAlign w:val="center"/>
          </w:tcPr>
          <w:p>
            <w:pPr>
              <w:pStyle w:val="Compact"/>
              <w:suppressAutoHyphens/>
              <w:jc w:val="center"/>
            </w:pPr>
            <w:r>
              <w:rPr>
                <w:sz w:val="18"/>
                <w:szCs w:val="18"/>
                <w:highlight w:val="green"/>
              </w:rPr>
              <w:t xml:space="preserve"> +0.017 </w:t>
            </w:r>
          </w:p>
        </w:tc>
        <w:tc>
          <w:tcPr>
            <w:vAlign w:val="center"/>
          </w:tcPr>
          <w:p>
            <w:pPr>
              <w:pStyle w:val="Compact"/>
              <w:suppressAutoHyphens/>
              <w:jc w:val="center"/>
            </w:pPr>
            <w:r>
              <w:rPr>
                <w:sz w:val="18"/>
                <w:szCs w:val="18"/>
                <w:highlight w:val="green"/>
              </w:rPr>
              <w:t xml:space="preserve"> +0.200 </w:t>
            </w:r>
          </w:p>
        </w:tc>
        <w:tc>
          <w:tcPr>
            <w:vAlign w:val="center"/>
          </w:tcPr>
          <w:p>
            <w:pPr>
              <w:pStyle w:val="Compact"/>
              <w:suppressAutoHyphens/>
              <w:jc w:val="center"/>
            </w:pPr>
            <w:r>
              <w:rPr>
                <w:sz w:val="18"/>
                <w:szCs w:val="18"/>
                <w:highlight w:val="green"/>
              </w:rPr>
              <w:t xml:space="preserve"> +0.141 </w:t>
            </w:r>
          </w:p>
        </w:tc>
      </w:tr>
    </w:tbl>
    <w:p>
      <w:pPr>
        <w:pStyle w:val="MDPI21heading1"/>
        <w:ind w:left="2608"/>
      </w:pPr>
      <w:r>
        <w:rPr/>
        <w:t xml:space="preserve">7  Discussion</w:t>
      </w:r>
    </w:p>
    <w:p>
      <w:pPr>
        <w:pStyle w:val="MDPI32textnoindent"/>
        <w:ind w:left="2608"/>
      </w:pPr>
      <w:r>
        <w:rPr>
          <w:b/>
          <w:bCs/>
        </w:rPr>
        <w:t xml:space="preserve">What the results show.</w:t>
      </w:r>
      <w:r>
        <w:rPr/>
        <w:t xml:space="preserve"> </w:t>
      </w:r>
      <w:r>
        <w:rPr/>
        <w:t xml:space="preserve">Under a fair protocol (raw point-wise metrics, difficulty</w:t>
      </w:r>
      <w:r>
        <w:rPr/>
        <w:t xml:space="preserve"> </w:t>
      </w:r>
      <w:r>
        <w:rPr/>
        <w:t xml:space="preserve">stratification, and train-normal-only calibration) on three real CPS attack benchmarks, LatAD</w:t>
      </w:r>
      <w:r>
        <w:rPr/>
        <w:t xml:space="preserve"> </w:t>
      </w:r>
      <w:r>
        <w:rPr>
          <w:b/>
          <w:bCs/>
        </w:rPr>
        <w:t xml:space="preserve">attains the</w:t>
      </w:r>
      <w:r>
        <w:rPr>
          <w:b/>
          <w:bCs/>
        </w:rPr>
        <w:t xml:space="preserve"> </w:t>
      </w:r>
      <w:r>
        <w:rPr>
          <w:b/>
          <w:bCs/>
          <w:highlight w:val="green"/>
        </w:rPr>
        <w:t xml:space="preserve">best overall AUROC on HAI and SWaT and leads the difficult subset of all three over five seeds</w:t>
      </w:r>
      <w:r>
        <w:rPr/>
        <w:t xml:space="preserve">. The</w:t>
      </w:r>
      <w:r>
        <w:rPr/>
        <w:t xml:space="preserve"> </w:t>
      </w:r>
      <w:r>
        <w:rPr/>
        <w:t xml:space="preserve">clearest demonstration is HAI, whose difficult faults break joint structure: LatAD reaches</w:t>
      </w:r>
      <w:r>
        <w:rPr/>
        <w:t xml:space="preserve"> </w:t>
      </w:r>
      <w:r>
        <w:rPr>
          <w:highlight w:val="green"/>
        </w:rPr>
        <w:t xml:space="preserve">0.845</w:t>
      </w:r>
      <w:r>
        <w:rPr/>
        <w:t xml:space="preserve">, a statistically</w:t>
      </w:r>
      <w:r>
        <w:rPr/>
        <w:t xml:space="preserve"> </w:t>
      </w:r>
      <w:r>
        <w:rPr/>
        <w:t xml:space="preserve">significant margin over the next-best baseline (paired episode-bootstrap 95% CI</w:t>
      </w:r>
      <w:r>
        <w:rPr/>
        <w:t xml:space="preserve"> </w:t>
      </w:r>
      <w:r>
        <w:rPr>
          <w:highlight w:val="green"/>
        </w:rPr>
        <w:t xml:space="preserve">[0.042, 0.157]</w:t>
      </w:r>
      <w:r>
        <w:rPr/>
        <w:t xml:space="preserve">), while the deep</w:t>
      </w:r>
      <w:r>
        <w:rPr/>
        <w:t xml:space="preserve"> </w:t>
      </w:r>
      <w:r>
        <w:rPr/>
        <w:t xml:space="preserve">detectors USAD and TranAD fall near chance (0.44–0.48).</w:t>
      </w:r>
      <w:r>
        <w:rPr/>
        <w:t xml:space="preserve"> </w:t>
      </w:r>
      <w:r>
        <w:rPr>
          <w:highlight w:val="green"/>
        </w:rPr>
        <w:t xml:space="preserve">On canonical SWaT the lead is also significant</w:t>
      </w:r>
      <w:r>
        <w:rPr>
          <w:highlight w:val="green"/>
        </w:rPr>
        <w:t xml:space="preserve"> </w:t>
      </w:r>
      <w:r>
        <w:rPr>
          <w:highlight w:val="green"/>
        </w:rPr>
        <w:t xml:space="preserve">(0.837 versus the linear baseline 0.782, P = 0.007), and on WADI the difficult-subset lead is carried by the</w:t>
      </w:r>
      <w:r>
        <w:rPr>
          <w:highlight w:val="green"/>
        </w:rPr>
        <w:t xml:space="preserve"> </w:t>
      </w:r>
      <w:r>
        <w:rPr>
          <w:highlight w:val="green"/>
        </w:rPr>
        <w:t xml:space="preserve">community density aggregation (cohesion-weighted Higher Criticism, 0.795): the single-latent global density collapses to 0.634 on the difficult</w:t>
      </w:r>
      <w:r>
        <w:rPr>
          <w:highlight w:val="green"/>
        </w:rPr>
        <w:t xml:space="preserve"> </w:t>
      </w:r>
      <w:r>
        <w:rPr>
          <w:highlight w:val="green"/>
        </w:rPr>
        <w:t xml:space="preserve">subset, below the linear baseline, while the fused detector reaches 0.771, ahead of every learned detector though not</w:t>
      </w:r>
      <w:r>
        <w:rPr>
          <w:highlight w:val="green"/>
        </w:rPr>
        <w:t xml:space="preserve"> </w:t>
      </w:r>
      <w:r>
        <w:rPr>
          <w:highlight w:val="green"/>
        </w:rPr>
        <w:t xml:space="preserve">separable from the linear baseline over 8 episodes.</w:t>
      </w:r>
      <w:r>
        <w:rPr/>
        <w:t xml:space="preserve"> </w:t>
      </w:r>
      <w:r>
        <w:rPr/>
        <w:t xml:space="preserve">Modeling normal as a jointly learned latent plus explicit regime clustering, scored by probability and factorized</w:t>
      </w:r>
      <w:r>
        <w:rPr/>
        <w:t xml:space="preserve"> </w:t>
      </w:r>
      <w:r>
        <w:rPr/>
        <w:t xml:space="preserve">over the plant’s subsystems, is what delivers the advantage.</w:t>
      </w:r>
    </w:p>
    <w:p>
      <w:pPr>
        <w:pStyle w:val="MDPI31text"/>
        <w:ind w:left="2608"/>
      </w:pPr>
      <w:r>
        <w:rPr>
          <w:b/>
          <w:bCs/>
        </w:rPr>
        <w:t xml:space="preserve">Why reconstruction fails and density wins.</w:t>
      </w:r>
      <w:r>
        <w:rPr/>
        <w:t xml:space="preserve"> </w:t>
      </w:r>
      <w:r>
        <w:rPr/>
        <w:t xml:space="preserve">The deep detectors USAD and TranAD score by</w:t>
      </w:r>
      <w:r>
        <w:rPr/>
        <w:t xml:space="preserve"> </w:t>
      </w:r>
      <w:r>
        <w:rPr/>
        <w:t xml:space="preserve">reconstruction, and reconstruction measures</w:t>
      </w:r>
      <w:r>
        <w:rPr/>
        <w:t xml:space="preserve"> </w:t>
      </w:r>
      <w:r>
        <w:rPr>
          <w:i/>
          <w:iCs/>
        </w:rPr>
        <w:t xml:space="preserve">reachability</w:t>
      </w:r>
      <w:r>
        <w:rPr/>
        <w:t xml:space="preserve"> </w:t>
      </w:r>
      <w:r>
        <w:rPr/>
        <w:t xml:space="preserve">(can the decoder reproduce this vector?), not</w:t>
      </w:r>
      <w:r>
        <w:rPr/>
        <w:t xml:space="preserve"> </w:t>
      </w:r>
      <w:r>
        <w:rPr>
          <w:i/>
          <w:iCs/>
        </w:rPr>
        <w:t xml:space="preserve">probability</w:t>
      </w:r>
      <w:r>
        <w:rPr/>
        <w:t xml:space="preserve"> </w:t>
      </w:r>
      <w:r>
        <w:rPr/>
        <w:t xml:space="preserve">(is this vector likely under normal?). On multimodal normal data the two diverge: a flexible</w:t>
      </w:r>
      <w:r>
        <w:rPr/>
        <w:t xml:space="preserve"> </w:t>
      </w:r>
      <w:r>
        <w:rPr/>
        <w:t xml:space="preserve">decoder trained to reproduce several regimes interpolates between them, so an improbable between-regime or</w:t>
      </w:r>
      <w:r>
        <w:rPr/>
        <w:t xml:space="preserve"> </w:t>
      </w:r>
      <w:r>
        <w:rPr/>
        <w:t xml:space="preserve">in-regime-tail combination sits inside the decoder's reachable range and reconstructs with low error.</w:t>
      </w:r>
      <w:r>
        <w:rPr/>
        <w:t xml:space="preserve"> </w:t>
      </w:r>
      <w:r>
        <w:rPr>
          <w:highlight w:val="green"/>
        </w:rPr>
        <w:t xml:space="preserve">The</w:t>
      </w:r>
      <w:r>
        <w:rPr>
          <w:highlight w:val="green"/>
        </w:rPr>
        <w:t xml:space="preserve"> </w:t>
      </w:r>
      <w:r>
        <w:rPr>
          <w:highlight w:val="green"/>
        </w:rPr>
        <w:t xml:space="preserve">reconstruction-based deep detectors show this on the difficult subsets: they trail LatAD on all three and fall to</w:t>
      </w:r>
      <w:r>
        <w:rPr>
          <w:highlight w:val="green"/>
        </w:rPr>
        <w:t xml:space="preserve"> </w:t>
      </w:r>
      <w:r>
        <w:rPr>
          <w:highlight w:val="green"/>
        </w:rPr>
        <w:t xml:space="preserve">near chance on HAI (USAD 0.477, TranAD 0.444, and the graph detector GDN 0.481, which learns inter-channel relations</w:t>
      </w:r>
      <w:r>
        <w:rPr>
          <w:highlight w:val="green"/>
        </w:rPr>
        <w:t xml:space="preserve"> </w:t>
      </w:r>
      <w:r>
        <w:rPr>
          <w:highlight w:val="green"/>
        </w:rPr>
        <w:t xml:space="preserve">yet collapses on the same faults), whose difficult faults are reconstructable but improbable. At the</w:t>
      </w:r>
      <w:r>
        <w:rPr>
          <w:highlight w:val="green"/>
        </w:rPr>
        <w:t xml:space="preserve"> </w:t>
      </w:r>
      <w:r>
        <w:rPr>
          <w:highlight w:val="green"/>
        </w:rPr>
        <w:t xml:space="preserve">head level (Table 6) the whitened reconstruction residual is the weakest base head on HAI (0.695) while the latent</w:t>
      </w:r>
      <w:r>
        <w:rPr>
          <w:highlight w:val="green"/>
        </w:rPr>
        <w:t xml:space="preserve"> </w:t>
      </w:r>
      <w:r>
        <w:rPr>
          <w:highlight w:val="green"/>
        </w:rPr>
        <w:t xml:space="preserve">density carries the signal (0.802).</w:t>
      </w:r>
      <w:r>
        <w:rPr/>
        <w:t xml:space="preserve"> </w:t>
      </w:r>
      <w:r>
        <w:rPr/>
        <w:t xml:space="preserve">Scoring by density in the clustered latent replaces reachability</w:t>
      </w:r>
      <w:r>
        <w:rPr/>
        <w:t xml:space="preserve"> </w:t>
      </w:r>
      <w:r>
        <w:rPr/>
        <w:t xml:space="preserve">with probability, which is exactly what reconstruction cannot see. This is why the base score omits reconstruction</w:t>
      </w:r>
      <w:r>
        <w:rPr/>
        <w:t xml:space="preserve"> </w:t>
      </w:r>
      <w:r>
        <w:rPr/>
        <w:t xml:space="preserve">and scores in the jointly learned latent, with a high-resolution density head for non-Gaussian fringes (A3) and a</w:t>
      </w:r>
      <w:r>
        <w:rPr/>
        <w:t xml:space="preserve"> </w:t>
      </w:r>
      <w:r>
        <w:rPr/>
        <w:t xml:space="preserve">rare-regime-safe nearest-component likelihood (A5); reconstruction is added back only through the optional,</w:t>
      </w:r>
      <w:r>
        <w:rPr/>
        <w:t xml:space="preserve"> </w:t>
      </w:r>
      <w:r>
        <w:rPr/>
        <w:t xml:space="preserve">auto-gated residual head where it demonstrably helps (§4.3 iii).</w:t>
      </w:r>
    </w:p>
    <w:p>
      <w:pPr>
        <w:pStyle w:val="MDPI31text"/>
        <w:ind w:left="2608"/>
      </w:pPr>
      <w:r>
        <w:rPr>
          <w:b/>
          <w:bCs/>
        </w:rPr>
        <w:t xml:space="preserve">Why local density beats global density.</w:t>
      </w:r>
      <w:r>
        <w:rPr/>
        <w:t xml:space="preserve"> </w:t>
      </w:r>
      <w:r>
        <w:rPr/>
        <w:t xml:space="preserve">The reconstructable-but-improbable argument explains why</w:t>
      </w:r>
      <w:r>
        <w:rPr/>
        <w:t xml:space="preserve"> </w:t>
      </w:r>
      <w:r>
        <w:rPr/>
        <w:t xml:space="preserve">we score density rather than reconstruction; a second mechanism explains why we score it per subsystem. A fault</w:t>
      </w:r>
      <w:r>
        <w:rPr/>
        <w:t xml:space="preserve"> </w:t>
      </w:r>
      <w:r>
        <w:rPr/>
        <w:t xml:space="preserve">confined to one correlated channel group is, in the full-dimensional latent, a small perturbation of a mostly-normal</w:t>
      </w:r>
      <w:r>
        <w:rPr/>
        <w:t xml:space="preserve"> </w:t>
      </w:r>
      <w:r>
        <w:rPr/>
        <w:t xml:space="preserve">state, so its surprise is averaged down by the many communities that stay normal, and the global density under-weights</w:t>
      </w:r>
      <w:r>
        <w:rPr/>
        <w:t xml:space="preserve"> </w:t>
      </w:r>
      <w:r>
        <w:rPr/>
        <w:t xml:space="preserve">exactly the local violations that matter. Estimating density inside each community removes that dilution, and</w:t>
      </w:r>
      <w:r>
        <w:rPr/>
        <w:t xml:space="preserve"> </w:t>
      </w:r>
      <w:r>
        <w:rPr/>
        <w:t xml:space="preserve">combining the per-community surprises by a sparsity-adaptive statistic recovers a signal carried by a few communities</w:t>
      </w:r>
      <w:r>
        <w:rPr/>
        <w:t xml:space="preserve"> </w:t>
      </w:r>
      <w:r>
        <w:rPr/>
        <w:t xml:space="preserve">that a global sum would wash out. This is the mechanism behind the WADI gain (Table A1):</w:t>
      </w:r>
      <w:r>
        <w:rPr/>
        <w:t xml:space="preserve"> </w:t>
      </w:r>
      <w:r>
        <w:rPr>
          <w:highlight w:val="green"/>
        </w:rPr>
        <w:t xml:space="preserve">a coordinated</w:t>
      </w:r>
      <w:r>
        <w:rPr>
          <w:highlight w:val="green"/>
        </w:rPr>
        <w:t xml:space="preserve"> </w:t>
      </w:r>
      <w:r>
        <w:rPr>
          <w:highlight w:val="green"/>
        </w:rPr>
        <w:t xml:space="preserve">drift confined to a small correlated subsystem is improbable within that subsystem's own density yet unremarkable in</w:t>
      </w:r>
      <w:r>
        <w:rPr>
          <w:highlight w:val="green"/>
        </w:rPr>
        <w:t xml:space="preserve"> </w:t>
      </w:r>
      <w:r>
        <w:rPr>
          <w:highlight w:val="green"/>
        </w:rPr>
        <w:t xml:space="preserve">the whole-plant density, so factorization lifts the single-latent global density (0.634 on the WADI difficult</w:t>
      </w:r>
      <w:r>
        <w:rPr>
          <w:highlight w:val="green"/>
        </w:rPr>
        <w:t xml:space="preserve"> </w:t>
      </w:r>
      <w:r>
        <w:rPr>
          <w:highlight w:val="green"/>
        </w:rPr>
        <w:t xml:space="preserve">subset, below the linear baseline) to the community-density lead (cohesion-weighted Higher Criticism, 0.795), and the fused detector reaches</w:t>
      </w:r>
      <w:r>
        <w:rPr>
          <w:highlight w:val="green"/>
        </w:rPr>
        <w:t xml:space="preserve"> </w:t>
      </w:r>
      <w:r>
        <w:rPr>
          <w:highlight w:val="green"/>
        </w:rPr>
        <w:t xml:space="preserve">0.771.</w:t>
      </w:r>
    </w:p>
    <w:p>
      <w:pPr>
        <w:pStyle w:val="MDPI41tablecaption"/>
        <w:ind w:left="2608"/>
      </w:pPr>
      <w:r>
        <w:rPr>
          <w:b/>
          <w:bCs/>
        </w:rPr>
        <w:t xml:space="preserve">Table 6.</w:t>
      </w:r>
      <w:r>
        <w:rPr/>
        <w:t xml:space="preserve"> </w:t>
      </w:r>
      <w:r>
        <w:rPr/>
        <w:t xml:space="preserve">Difficult-subset AUROC by score head, five-seed mean±standard deviation</w:t>
      </w:r>
      <w:r>
        <w:rPr/>
        <w:t xml:space="preserve"> </w:t>
      </w:r>
      <w:r>
        <w:rPr/>
        <w:t xml:space="preserve">on all three datasets (an independent five-seed run).</w:t>
      </w:r>
      <w:r>
        <w:rPr/>
        <w:t xml:space="preserve"> </w:t>
      </w:r>
      <w:r>
        <w:rPr>
          <w:i/>
          <w:iCs/>
        </w:rPr>
        <w:t xml:space="preserve">recon</w:t>
      </w:r>
      <w:r>
        <w:rPr/>
        <w:t xml:space="preserve"> </w:t>
      </w:r>
      <w:r>
        <w:rPr/>
        <w:t xml:space="preserve">is the whitened reconstruction residual (the term the base score omits);</w:t>
      </w:r>
      <w:r>
        <w:rPr/>
        <w:t xml:space="preserve"> </w:t>
      </w:r>
      <w:r>
        <w:rPr/>
        <w:t xml:space="preserve"> </w:t>
      </w:r>
      <w:r>
        <w:rPr>
          <w:highlight w:val="green"/>
        </w:rPr>
        <w:t xml:space="preserve"> </w:t>
      </w:r>
      <w:r>
        <w:rPr>
          <w:i/>
          <w:iCs/>
          <w:highlight w:val="green"/>
        </w:rPr>
        <w:t xml:space="preserve">latent density</w:t>
      </w:r>
      <w:r>
        <w:rPr>
          <w:highlight w:val="green"/>
        </w:rPr>
        <w:t xml:space="preserve"> </w:t>
      </w:r>
      <w:r>
        <w:rPr>
          <w:highlight w:val="green"/>
        </w:rPr>
        <w:t xml:space="preserve">is the</w:t>
      </w:r>
      <w:r>
        <w:rPr>
          <w:highlight w:val="green"/>
        </w:rPr>
        <w:t xml:space="preserve"> </w:t>
      </w:r>
      <m:oMath>
        <m:r>
          <m:t>M</m:t>
        </m:r>
        <m:r>
          <m:rPr>
            <m:sty m:val="p"/>
          </m:rPr>
          <m:t>=</m:t>
        </m:r>
        <m:r>
          <m:t>80</m:t>
        </m:r>
      </m:oMath>
      <w:r>
        <w:rPr>
          <w:highlight w:val="green"/>
        </w:rPr>
        <w:t xml:space="preserve">-component density head of Equation (4) and</w:t>
      </w:r>
      <w:r>
        <w:rPr>
          <w:highlight w:val="green"/>
        </w:rPr>
        <w:t xml:space="preserve"> </w:t>
      </w:r>
      <w:r>
        <w:rPr>
          <w:i/>
          <w:iCs/>
          <w:highlight w:val="green"/>
        </w:rPr>
        <w:t xml:space="preserve">nearest-component NLL</w:t>
      </w:r>
      <w:r>
        <w:rPr>
          <w:highlight w:val="green"/>
        </w:rPr>
        <w:t xml:space="preserve"> </w:t>
      </w:r>
      <w:r>
        <w:rPr>
          <w:highlight w:val="green"/>
        </w:rPr>
        <w:t xml:space="preserve">is the head of Equation (5); </w:t>
      </w:r>
      <w:r>
        <w:rPr/>
        <w:t xml:space="preserve"> </w:t>
      </w:r>
      <w:r>
        <w:rPr/>
        <w:t xml:space="preserve"> </w:t>
      </w:r>
      <w:r>
        <w:rPr>
          <w:i/>
          <w:iCs/>
        </w:rPr>
        <w:t xml:space="preserve">base</w:t>
      </w:r>
      <w:r>
        <w:rPr/>
        <w:t xml:space="preserve"> </w:t>
      </w:r>
      <w:r>
        <w:rPr/>
        <w:t xml:space="preserve">is density+nearest; the final row adds the auto-gated residual head, which is by definition the single-latent</w:t>
      </w:r>
      <w:r>
        <w:rPr/>
        <w:t xml:space="preserve"> </w:t>
      </w:r>
      <w:r>
        <w:rPr>
          <w:i/>
          <w:iCs/>
        </w:rPr>
        <w:t xml:space="preserve">LatAD (global density)</w:t>
      </w:r>
      <w:r>
        <w:rPr/>
        <w:t xml:space="preserve"> </w:t>
      </w:r>
      <w:r>
        <w:rPr/>
        <w:t xml:space="preserve">configuration and reproduces its Table 3 row within seed variation; its per-community</w:t>
      </w:r>
      <w:r>
        <w:rPr/>
        <w:t xml:space="preserve"> </w:t>
      </w:r>
      <w:r>
        <w:rPr/>
        <w:t xml:space="preserve">application (§4.4) gives the headline detector.</w:t>
      </w:r>
      <w:r>
        <w:rPr/>
        <w:t xml:space="preserve"> </w:t>
      </w:r>
      <w:r>
        <w:rPr/>
        <w:t xml:space="preserve"> </w:t>
      </w:r>
      <w:r>
        <w:rPr>
          <w:highlight w:val="green"/>
        </w:rPr>
        <w:t xml:space="preserve"> Bold marks the LatAD (global density) configuration, not a column maximum. </w:t>
      </w:r>
      <w:r>
        <w:rPr/>
        <w:t xml:space="preserve"> </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2572"/>
        <w:gridCol w:w="1761"/>
        <w:gridCol w:w="1761"/>
        <w:gridCol w:w="1764"/>
      </w:tblGrid>
      <w:tr>
        <w:trPr>
          <w:tblHeader w:val="on"/>
        </w:trPr>
        <w:tc>
          <w:tcPr>
            <w:tcBorders>
              <w:bottom w:val="single" w:sz="8" w:space="0" w:color="auto"/>
            </w:tcBorders>
            <w:vAlign w:val="center"/>
          </w:tcPr>
          <w:p>
            <w:pPr>
              <w:pStyle w:val="Compact"/>
              <w:suppressAutoHyphens/>
              <w:jc w:val="center"/>
            </w:pPr>
            <w:r>
              <w:rPr>
                <w:b/>
                <w:sz w:val="18"/>
                <w:szCs w:val="18"/>
              </w:rPr>
              <w:t xml:space="preserve">Score head</w:t>
            </w:r>
          </w:p>
        </w:tc>
        <w:tc>
          <w:tcPr>
            <w:tcBorders>
              <w:bottom w:val="single" w:sz="8" w:space="0" w:color="auto"/>
            </w:tcBorders>
            <w:vAlign w:val="center"/>
          </w:tcPr>
          <w:p>
            <w:pPr>
              <w:pStyle w:val="Compact"/>
              <w:suppressAutoHyphens/>
              <w:jc w:val="center"/>
            </w:pPr>
            <w:r>
              <w:rPr>
                <w:b/>
                <w:sz w:val="18"/>
                <w:szCs w:val="18"/>
              </w:rPr>
              <w:t xml:space="preserve">WADI</w:t>
            </w:r>
          </w:p>
        </w:tc>
        <w:tc>
          <w:tcPr>
            <w:tcBorders>
              <w:bottom w:val="single" w:sz="8" w:space="0" w:color="auto"/>
            </w:tcBorders>
            <w:vAlign w:val="center"/>
          </w:tcPr>
          <w:p>
            <w:pPr>
              <w:pStyle w:val="Compact"/>
              <w:suppressAutoHyphens/>
              <w:jc w:val="center"/>
            </w:pPr>
            <w:r>
              <w:rPr>
                <w:b/>
                <w:sz w:val="18"/>
                <w:szCs w:val="18"/>
              </w:rPr>
              <w:t xml:space="preserve">HAI</w:t>
            </w:r>
          </w:p>
        </w:tc>
        <w:tc>
          <w:tcPr>
            <w:tcBorders>
              <w:bottom w:val="single" w:sz="8" w:space="0" w:color="auto"/>
            </w:tcBorders>
            <w:vAlign w:val="center"/>
          </w:tcPr>
          <w:p>
            <w:pPr>
              <w:pStyle w:val="Compact"/>
              <w:suppressAutoHyphens/>
              <w:jc w:val="center"/>
            </w:pPr>
            <w:r>
              <w:rPr>
                <w:b/>
                <w:sz w:val="18"/>
                <w:szCs w:val="18"/>
              </w:rPr>
              <w:t xml:space="preserve">SWaT</w:t>
            </w:r>
          </w:p>
        </w:tc>
      </w:tr>
      <w:tr>
        <w:tc>
          <w:tcPr>
            <w:vAlign w:val="center"/>
          </w:tcPr>
          <w:p>
            <w:pPr>
              <w:pStyle w:val="Compact"/>
              <w:suppressAutoHyphens/>
              <w:jc w:val="center"/>
            </w:pPr>
            <w:r>
              <w:rPr>
                <w:sz w:val="18"/>
                <w:szCs w:val="18"/>
                <w:highlight w:val="green"/>
              </w:rPr>
              <w:t xml:space="preserve"> reconstruction residual (dropped term) </w:t>
            </w:r>
          </w:p>
        </w:tc>
        <w:tc>
          <w:tcPr>
            <w:vAlign w:val="center"/>
          </w:tcPr>
          <w:p>
            <w:pPr>
              <w:pStyle w:val="Compact"/>
              <w:suppressAutoHyphens/>
              <w:jc w:val="center"/>
            </w:pPr>
            <w:r>
              <w:rPr>
                <w:sz w:val="18"/>
                <w:szCs w:val="18"/>
                <w:highlight w:val="green"/>
              </w:rPr>
              <w:t xml:space="preserve"> 0.740±0.002 </w:t>
            </w:r>
          </w:p>
        </w:tc>
        <w:tc>
          <w:tcPr>
            <w:vAlign w:val="center"/>
          </w:tcPr>
          <w:p>
            <w:pPr>
              <w:pStyle w:val="Compact"/>
              <w:suppressAutoHyphens/>
              <w:jc w:val="center"/>
            </w:pPr>
            <w:r>
              <w:rPr>
                <w:sz w:val="18"/>
                <w:szCs w:val="18"/>
                <w:highlight w:val="green"/>
              </w:rPr>
              <w:t xml:space="preserve"> 0.695±0.004 </w:t>
            </w:r>
          </w:p>
        </w:tc>
        <w:tc>
          <w:tcPr>
            <w:vAlign w:val="center"/>
          </w:tcPr>
          <w:p>
            <w:pPr>
              <w:pStyle w:val="Compact"/>
              <w:suppressAutoHyphens/>
              <w:jc w:val="center"/>
            </w:pPr>
            <w:r>
              <w:rPr>
                <w:sz w:val="18"/>
                <w:szCs w:val="18"/>
                <w:highlight w:val="green"/>
              </w:rPr>
              <w:t xml:space="preserve"> 0.835±0.000 </w:t>
            </w:r>
          </w:p>
        </w:tc>
      </w:tr>
      <w:tr>
        <w:tc>
          <w:tcPr>
            <w:vAlign w:val="center"/>
          </w:tcPr>
          <w:p>
            <w:pPr>
              <w:pStyle w:val="Compact"/>
              <w:suppressAutoHyphens/>
              <w:jc w:val="center"/>
            </w:pPr>
            <w:r>
              <w:rPr>
                <w:sz w:val="18"/>
                <w:szCs w:val="18"/>
                <w:highlight w:val="green"/>
              </w:rPr>
              <w:t xml:space="preserve"> latent density </w:t>
            </w:r>
          </w:p>
        </w:tc>
        <w:tc>
          <w:tcPr>
            <w:vAlign w:val="center"/>
          </w:tcPr>
          <w:p>
            <w:pPr>
              <w:pStyle w:val="Compact"/>
              <w:suppressAutoHyphens/>
              <w:jc w:val="center"/>
            </w:pPr>
            <w:r>
              <w:rPr>
                <w:sz w:val="18"/>
                <w:szCs w:val="18"/>
                <w:highlight w:val="green"/>
              </w:rPr>
              <w:t xml:space="preserve"> 0.656±0.016 </w:t>
            </w:r>
          </w:p>
        </w:tc>
        <w:tc>
          <w:tcPr>
            <w:vAlign w:val="center"/>
          </w:tcPr>
          <w:p>
            <w:pPr>
              <w:pStyle w:val="Compact"/>
              <w:suppressAutoHyphens/>
              <w:jc w:val="center"/>
            </w:pPr>
            <w:r>
              <w:rPr>
                <w:sz w:val="18"/>
                <w:szCs w:val="18"/>
                <w:highlight w:val="green"/>
              </w:rPr>
              <w:t xml:space="preserve"> 0.802±0.011 </w:t>
            </w:r>
          </w:p>
        </w:tc>
        <w:tc>
          <w:tcPr>
            <w:vAlign w:val="center"/>
          </w:tcPr>
          <w:p>
            <w:pPr>
              <w:pStyle w:val="Compact"/>
              <w:suppressAutoHyphens/>
              <w:jc w:val="center"/>
            </w:pPr>
            <w:r>
              <w:rPr>
                <w:sz w:val="18"/>
                <w:szCs w:val="18"/>
                <w:highlight w:val="green"/>
              </w:rPr>
              <w:t xml:space="preserve"> 0.794±0.006 </w:t>
            </w:r>
          </w:p>
        </w:tc>
      </w:tr>
      <w:tr>
        <w:tc>
          <w:tcPr>
            <w:vAlign w:val="center"/>
          </w:tcPr>
          <w:p>
            <w:pPr>
              <w:pStyle w:val="Compact"/>
              <w:suppressAutoHyphens/>
              <w:jc w:val="center"/>
            </w:pPr>
            <w:r>
              <w:rPr>
                <w:sz w:val="18"/>
                <w:szCs w:val="18"/>
                <w:highlight w:val="green"/>
              </w:rPr>
              <w:t xml:space="preserve"> nearest-component NLL </w:t>
            </w:r>
          </w:p>
        </w:tc>
        <w:tc>
          <w:tcPr>
            <w:vAlign w:val="center"/>
          </w:tcPr>
          <w:p>
            <w:pPr>
              <w:pStyle w:val="Compact"/>
              <w:suppressAutoHyphens/>
              <w:jc w:val="center"/>
            </w:pPr>
            <w:r>
              <w:rPr>
                <w:sz w:val="18"/>
                <w:szCs w:val="18"/>
                <w:highlight w:val="green"/>
              </w:rPr>
              <w:t xml:space="preserve"> 0.603±0.010 </w:t>
            </w:r>
          </w:p>
        </w:tc>
        <w:tc>
          <w:tcPr>
            <w:vAlign w:val="center"/>
          </w:tcPr>
          <w:p>
            <w:pPr>
              <w:pStyle w:val="Compact"/>
              <w:suppressAutoHyphens/>
              <w:jc w:val="center"/>
            </w:pPr>
            <w:r>
              <w:rPr>
                <w:sz w:val="18"/>
                <w:szCs w:val="18"/>
                <w:highlight w:val="green"/>
              </w:rPr>
              <w:t xml:space="preserve"> 0.797±0.008 </w:t>
            </w:r>
          </w:p>
        </w:tc>
        <w:tc>
          <w:tcPr>
            <w:vAlign w:val="center"/>
          </w:tcPr>
          <w:p>
            <w:pPr>
              <w:pStyle w:val="Compact"/>
              <w:suppressAutoHyphens/>
              <w:jc w:val="center"/>
            </w:pPr>
            <w:r>
              <w:rPr>
                <w:sz w:val="18"/>
                <w:szCs w:val="18"/>
                <w:highlight w:val="green"/>
              </w:rPr>
              <w:t xml:space="preserve"> 0.723±0.015 </w:t>
            </w:r>
          </w:p>
        </w:tc>
      </w:tr>
      <w:tr>
        <w:tc>
          <w:tcPr>
            <w:vAlign w:val="center"/>
          </w:tcPr>
          <w:p>
            <w:pPr>
              <w:pStyle w:val="Compact"/>
              <w:suppressAutoHyphens/>
              <w:jc w:val="center"/>
            </w:pPr>
            <w:r>
              <w:rPr>
                <w:sz w:val="18"/>
                <w:szCs w:val="18"/>
                <w:highlight w:val="green"/>
              </w:rPr>
              <w:t xml:space="preserve"> base (density + nearest) </w:t>
            </w:r>
          </w:p>
        </w:tc>
        <w:tc>
          <w:tcPr>
            <w:vAlign w:val="center"/>
          </w:tcPr>
          <w:p>
            <w:pPr>
              <w:pStyle w:val="Compact"/>
              <w:suppressAutoHyphens/>
              <w:jc w:val="center"/>
            </w:pPr>
            <w:r>
              <w:rPr>
                <w:sz w:val="18"/>
                <w:szCs w:val="18"/>
                <w:highlight w:val="green"/>
              </w:rPr>
              <w:t xml:space="preserve"> 0.634±0.011 </w:t>
            </w:r>
          </w:p>
        </w:tc>
        <w:tc>
          <w:tcPr>
            <w:vAlign w:val="center"/>
          </w:tcPr>
          <w:p>
            <w:pPr>
              <w:pStyle w:val="Compact"/>
              <w:suppressAutoHyphens/>
              <w:jc w:val="center"/>
            </w:pPr>
            <w:r>
              <w:rPr>
                <w:sz w:val="18"/>
                <w:szCs w:val="18"/>
                <w:highlight w:val="green"/>
              </w:rPr>
              <w:t xml:space="preserve"> 0.801±0.010 </w:t>
            </w:r>
          </w:p>
        </w:tc>
        <w:tc>
          <w:tcPr>
            <w:vAlign w:val="center"/>
          </w:tcPr>
          <w:p>
            <w:pPr>
              <w:pStyle w:val="Compact"/>
              <w:suppressAutoHyphens/>
              <w:jc w:val="center"/>
            </w:pPr>
            <w:r>
              <w:rPr>
                <w:sz w:val="18"/>
                <w:szCs w:val="18"/>
                <w:highlight w:val="green"/>
              </w:rPr>
              <w:t xml:space="preserve"> 0.775±0.009 </w:t>
            </w:r>
          </w:p>
        </w:tc>
      </w:tr>
      <w:tr>
        <w:tc>
          <w:tcPr>
            <w:vAlign w:val="center"/>
          </w:tcPr>
          <w:p>
            <w:pPr>
              <w:pStyle w:val="Compact"/>
              <w:suppressAutoHyphens/>
              <w:jc w:val="center"/>
            </w:pPr>
            <w:r>
              <w:rPr>
                <w:sz w:val="18"/>
                <w:szCs w:val="18"/>
                <w:highlight w:val="green"/>
              </w:rPr>
              <w:t xml:space="preserve"> </w:t>
            </w:r>
            <w:r>
              <w:rPr>
                <w:b/>
                <w:bCs/>
                <w:sz w:val="18"/>
                <w:szCs w:val="18"/>
                <w:highlight w:val="green"/>
              </w:rPr>
              <w:t xml:space="preserve">base + resid (auto) = LatAD (global density)</w:t>
            </w:r>
            <w:r>
              <w:rPr>
                <w:sz w:val="18"/>
                <w:szCs w:val="18"/>
                <w:highlight w:val="green"/>
              </w:rPr>
              <w:t xml:space="preserve"> </w:t>
            </w:r>
          </w:p>
        </w:tc>
        <w:tc>
          <w:tcPr>
            <w:vAlign w:val="center"/>
          </w:tcPr>
          <w:p>
            <w:pPr>
              <w:pStyle w:val="Compact"/>
              <w:suppressAutoHyphens/>
              <w:jc w:val="center"/>
            </w:pPr>
            <w:r>
              <w:rPr>
                <w:sz w:val="18"/>
                <w:szCs w:val="18"/>
                <w:highlight w:val="green"/>
              </w:rPr>
              <w:t xml:space="preserve"> 0.634±0.011 </w:t>
            </w:r>
          </w:p>
        </w:tc>
        <w:tc>
          <w:tcPr>
            <w:vAlign w:val="center"/>
          </w:tcPr>
          <w:p>
            <w:pPr>
              <w:pStyle w:val="Compact"/>
              <w:suppressAutoHyphens/>
              <w:jc w:val="center"/>
            </w:pPr>
            <w:r>
              <w:rPr>
                <w:sz w:val="18"/>
                <w:szCs w:val="18"/>
                <w:highlight w:val="green"/>
              </w:rPr>
              <w:t xml:space="preserve"> 0.820±0.010 </w:t>
            </w:r>
          </w:p>
        </w:tc>
        <w:tc>
          <w:tcPr>
            <w:vAlign w:val="center"/>
          </w:tcPr>
          <w:p>
            <w:pPr>
              <w:pStyle w:val="Compact"/>
              <w:suppressAutoHyphens/>
              <w:jc w:val="center"/>
            </w:pPr>
            <w:r>
              <w:rPr>
                <w:sz w:val="18"/>
                <w:szCs w:val="18"/>
                <w:highlight w:val="green"/>
              </w:rPr>
              <w:t xml:space="preserve"> 0.807±0.008 </w:t>
            </w:r>
          </w:p>
        </w:tc>
      </w:tr>
    </w:tbl>
    <w:p>
      <w:pPr>
        <w:pStyle w:val="MDPI31text"/>
        <w:ind w:left="2608"/>
      </w:pPr>
      <w:r>
        <w:rPr/>
        <w:t xml:space="preserve">Table 6 decomposes the score into its heads across five seeds and all three datasets.</w:t>
      </w:r>
      <w:r>
        <w:rPr/>
        <w:t xml:space="preserve"> </w:t>
      </w:r>
      <w:r>
        <w:rPr>
          <w:highlight w:val="green"/>
        </w:rPr>
        <w:t xml:space="preserve">On HAI reconstruction is</w:t>
      </w:r>
      <w:r>
        <w:rPr>
          <w:highlight w:val="green"/>
        </w:rPr>
        <w:t xml:space="preserve"> </w:t>
      </w:r>
      <w:r>
        <w:rPr>
          <w:highlight w:val="green"/>
        </w:rPr>
        <w:t xml:space="preserve">informative but the weakest base head (0.695) while the latent density dominates (0.802); on WADI the standalone</w:t>
      </w:r>
      <w:r>
        <w:rPr>
          <w:highlight w:val="green"/>
        </w:rPr>
        <w:t xml:space="preserve"> </w:t>
      </w:r>
      <w:r>
        <w:rPr>
          <w:highlight w:val="green"/>
        </w:rPr>
        <w:t xml:space="preserve">reconstruction residual is in fact informative (</w:t>
      </w:r>
      <w:r>
        <w:rPr>
          <w:highlight w:val="green"/>
        </w:rPr>
        <w:t xml:space="preserve">0.740</w:t>
      </w:r>
      <w:r>
        <w:rPr>
          <w:highlight w:val="green"/>
        </w:rPr>
        <w:t xml:space="preserve">), but it fails the held-out-normal generalization gate</w:t>
      </w:r>
      <w:r>
        <w:rPr>
          <w:highlight w:val="green"/>
        </w:rPr>
        <w:t xml:space="preserve"> </w:t>
      </w:r>
      <w:r>
        <w:rPr>
          <w:highlight w:val="green"/>
        </w:rPr>
        <w:t xml:space="preserve">(§4.3 iii) and is switched off, so the reported single-latent model relies on the latent density (</w:t>
      </w:r>
      <w:r>
        <w:rPr>
          <w:highlight w:val="green"/>
        </w:rPr>
        <w:t xml:space="preserve">0.656</w:t>
      </w:r>
      <w:r>
        <w:rPr>
          <w:highlight w:val="green"/>
        </w:rPr>
        <w:t xml:space="preserve">) and</w:t>
      </w:r>
      <w:r>
        <w:rPr>
          <w:highlight w:val="green"/>
        </w:rPr>
        <w:t xml:space="preserve"> </w:t>
      </w:r>
      <w:r>
        <w:rPr>
          <w:highlight w:val="green"/>
        </w:rPr>
        <w:t xml:space="preserve">the density-plus-nearest base (</w:t>
      </w:r>
      <w:r>
        <w:rPr>
          <w:highlight w:val="green"/>
        </w:rPr>
        <w:t xml:space="preserve">0.634</w:t>
      </w:r>
      <w:r>
        <w:rPr>
          <w:highlight w:val="green"/>
        </w:rPr>
        <w:t xml:space="preserve">). Where the gate turns the residual on it lifts the base score (HAI</w:t>
      </w:r>
      <w:r>
        <w:rPr>
          <w:highlight w:val="green"/>
        </w:rPr>
        <w:t xml:space="preserve"> </w:t>
      </w:r>
      <w:r>
        <w:rPr>
          <w:highlight w:val="green"/>
        </w:rPr>
        <w:t xml:space="preserve">0.801→0.820, SWaT 0.775→0.807); on SWaT reconstruction is the strongest single head (0.835), consistent with</w:t>
      </w:r>
      <w:r>
        <w:rPr>
          <w:highlight w:val="green"/>
        </w:rPr>
        <w:t xml:space="preserve"> </w:t>
      </w:r>
      <w:r>
        <w:rPr>
          <w:highlight w:val="green"/>
        </w:rPr>
        <w:t xml:space="preserve">SWaT's difficult faults being larger multivariate deviations that reconstruction catches, which is why the gate</w:t>
      </w:r>
      <w:r>
        <w:rPr>
          <w:highlight w:val="green"/>
        </w:rPr>
        <w:t xml:space="preserve"> </w:t>
      </w:r>
      <w:r>
        <w:rPr>
          <w:highlight w:val="green"/>
        </w:rPr>
        <w:t xml:space="preserve">keeps it on there. The decomposition supports the mechanism at the head level: the latent density anchors the base</w:t>
      </w:r>
      <w:r>
        <w:rPr>
          <w:highlight w:val="green"/>
        </w:rPr>
        <w:t xml:space="preserve"> </w:t>
      </w:r>
      <w:r>
        <w:rPr>
          <w:highlight w:val="green"/>
        </w:rPr>
        <w:t xml:space="preserve">score, and reconstruction is added back only where it generalizes to held-out normal.</w:t>
      </w:r>
    </w:p>
    <w:p>
      <w:pPr>
        <w:pStyle w:val="MDPI31text"/>
        <w:ind w:left="2608"/>
      </w:pPr>
      <w:r>
        <w:rPr>
          <w:b/>
          <w:bCs/>
          <w:strike w:val="true"/>
          <w:color w:val="C0392B"/>
        </w:rPr>
        <w:t xml:space="preserve">Auto-gating adapts one architecture to three datasets.</w:t>
      </w:r>
      <w:r>
        <w:rPr>
          <w:strike w:val="true"/>
          <w:color w:val="C0392B"/>
        </w:rPr>
        <w:t xml:space="preserve"> </w:t>
      </w:r>
      <w:r>
        <w:rPr>
          <w:strike w:val="true"/>
          <w:color w:val="C0392B"/>
        </w:rPr>
        <w:t xml:space="preserve">The winning signal is</w:t>
      </w:r>
      <w:r>
        <w:rPr>
          <w:strike w:val="true"/>
          <w:color w:val="C0392B"/>
        </w:rPr>
        <w:t xml:space="preserve"> </w:t>
      </w:r>
      <w:r>
        <w:rPr>
          <w:strike w:val="true"/>
          <w:color w:val="C0392B"/>
        </w:rPr>
        <w:t xml:space="preserve">dataset-dependent, so rather than hand-select we gate the optional whitened-residual head by a purely train-normal signal, its held-out-normal generalization (active on HAI and SWaT). The single</w:t>
      </w:r>
      <w:r>
        <w:rPr>
          <w:strike w:val="true"/>
          <w:color w:val="C0392B"/>
        </w:rPr>
        <w:t xml:space="preserve"> </w:t>
      </w:r>
      <w:r>
        <w:rPr>
          <w:strike w:val="true"/>
          <w:color w:val="C0392B"/>
        </w:rPr>
        <w:t xml:space="preserve">global-density configuration then adapts itself: the residual head activates on HAI and SWaT, where the</w:t>
      </w:r>
      <w:r>
        <w:rPr>
          <w:strike w:val="true"/>
          <w:color w:val="C0392B"/>
        </w:rPr>
        <w:t xml:space="preserve"> </w:t>
      </w:r>
      <w:r>
        <w:rPr>
          <w:strike w:val="true"/>
          <w:color w:val="C0392B"/>
        </w:rPr>
        <w:t xml:space="preserve">fault leaves a whitened-residual signal, and stays off on WADI, whose difficult faults are pure low-density</w:t>
      </w:r>
      <w:r>
        <w:rPr>
          <w:strike w:val="true"/>
          <w:color w:val="C0392B"/>
        </w:rPr>
        <w:t xml:space="preserve"> </w:t>
      </w:r>
      <w:r>
        <w:rPr>
          <w:strike w:val="true"/>
          <w:color w:val="C0392B"/>
        </w:rPr>
        <w:t xml:space="preserve">pockets in the latent.</w:t>
      </w:r>
    </w:p>
    <w:p>
      <w:pPr>
        <w:pStyle w:val="MDPI31text"/>
        <w:ind w:left="2608"/>
      </w:pPr>
      <w:r>
        <w:rPr>
          <w:b/>
          <w:bCs/>
          <w:highlight w:val="green"/>
        </w:rPr>
        <w:t xml:space="preserve">Assumption A8 (between-regime overlap): specified, over-coverage defended, masking coupled to A10.</w:t>
      </w:r>
      <w:r>
        <w:rPr>
          <w:highlight w:val="green"/>
        </w:rPr>
        <w:t xml:space="preserve"> </w:t>
      </w:r>
      <w:r>
        <w:rPr>
          <w:highlight w:val="green"/>
        </w:rPr>
        <w:t xml:space="preserve">A8 posits regimes lying so close in observation space that a window can be improbable while every channel stays in range. Its precondition, adjacent-but-distinct regimes, holds on every multi-loop plant we screened (WADI, HAI, SWaT, Cranfield, MetroPT [</w:t>
      </w:r>
      <w:hyperlink w:anchor="r-metropt">
        <w:r>
          <w:rPr>
            <w:rStyle w:val="Hyperlink"/>
            <w:highlight w:val="green"/>
          </w:rPr>
          <w:t xml:space="preserve">53</w:t>
        </w:r>
      </w:hyperlink>
      <w:r>
        <w:rPr>
          <w:highlight w:val="green"/>
        </w:rPr>
        <w:t xml:space="preserve">], and the SMD server machines [</w:t>
      </w:r>
      <w:hyperlink w:anchor="r-omni">
        <w:r>
          <w:rPr>
            <w:rStyle w:val="Hyperlink"/>
            <w:highlight w:val="green"/>
          </w:rPr>
          <w:t xml:space="preserve">31</w:t>
        </w:r>
      </w:hyperlink>
      <w:r>
        <w:rPr>
          <w:highlight w:val="green"/>
        </w:rPr>
        <w:t xml:space="preserve">]: 94 to 100 percent of train-normal mass sits in a discovered regime with a valley-separated neighbour within twice its own normal envelope). The overlap itself is absent: under four observation-space measures (overlap coefficient, density-valley ratio, cross-regime nearest-neighbour share, and discriminant error) no benchmark approaches the 30-percent-overlap positive control, and the labelled anomaly-masking rate never exceeds its lag-matched regime-switch base rate (Appendix C, Table C1). The one A8 variant the reported model already defends is over-coverage: a wide two-component head misses about 80 percent of WADI's isolated anomalies, the 80-component density head of §4.3 (i) about 13 percent. Masking, the remaining variant, is identifiable only through the path by which a window arrived, so it belongs with A10 and is left to operational-scale data (Appendix C). The reported model carries no dedicated overlap head.</w:t>
      </w:r>
    </w:p>
    <w:p>
      <w:pPr>
        <w:pStyle w:val="MDPI31text"/>
        <w:ind w:left="2608"/>
      </w:pPr>
      <w:r>
        <w:rPr>
          <w:b/>
          <w:bCs/>
        </w:rPr>
        <w:t xml:space="preserve">The residual frontier on WADI.</w:t>
      </w:r>
      <w:r>
        <w:rPr/>
        <w:t xml:space="preserve"> </w:t>
      </w:r>
      <w:r>
        <w:rPr>
          <w:highlight w:val="green"/>
        </w:rPr>
        <w:t xml:space="preserve">A minority of WADI difficult windows carry near-absent</w:t>
      </w:r>
      <w:r>
        <w:rPr>
          <w:highlight w:val="green"/>
        </w:rPr>
        <w:t xml:space="preserve"> </w:t>
      </w:r>
      <w:r>
        <w:rPr>
          <w:highlight w:val="green"/>
        </w:rPr>
        <w:t xml:space="preserve">instantaneous fault content and sit inside the normal tail, where normal CPS operation is itself noisy. No evaluated</w:t>
      </w:r>
      <w:r>
        <w:rPr>
          <w:highlight w:val="green"/>
        </w:rPr>
        <w:t xml:space="preserve"> </w:t>
      </w:r>
      <w:r>
        <w:rPr>
          <w:highlight w:val="green"/>
        </w:rPr>
        <w:t xml:space="preserve">snapshot detector, ours or the deep baselines, separates these at a low false-alarm budget; they are an intrinsic</w:t>
      </w:r>
      <w:r>
        <w:rPr>
          <w:highlight w:val="green"/>
        </w:rPr>
        <w:t xml:space="preserve"> </w:t>
      </w:r>
      <w:r>
        <w:rPr>
          <w:highlight w:val="green"/>
        </w:rPr>
        <w:t xml:space="preserve">limit of instantaneous-window detection rather than of any one detector. Reaching them would require information</w:t>
      </w:r>
      <w:r>
        <w:rPr>
          <w:highlight w:val="green"/>
        </w:rPr>
        <w:t xml:space="preserve"> </w:t>
      </w:r>
      <w:r>
        <w:rPr>
          <w:highlight w:val="green"/>
        </w:rPr>
        <w:t xml:space="preserve">beyond the instantaneous window, such as a physics-informed process residual or explicit temporal features, which we</w:t>
      </w:r>
      <w:r>
        <w:rPr>
          <w:highlight w:val="green"/>
        </w:rPr>
        <w:t xml:space="preserve"> </w:t>
      </w:r>
      <w:r>
        <w:rPr>
          <w:highlight w:val="green"/>
        </w:rPr>
        <w:t xml:space="preserve">leave to future work.</w:t>
      </w:r>
    </w:p>
    <w:p>
      <w:pPr>
        <w:pStyle w:val="MDPI31text"/>
        <w:ind w:left="2608"/>
      </w:pPr>
      <w:r>
        <w:rPr>
          <w:b/>
          <w:bCs/>
          <w:highlight w:val="green"/>
        </w:rPr>
        <w:t xml:space="preserve">Benchmark coverage as a diagnosable property.</w:t>
      </w:r>
      <w:r>
        <w:rPr>
          <w:highlight w:val="green"/>
        </w:rPr>
        <w:t xml:space="preserve"> </w:t>
      </w:r>
      <w:r>
        <w:rPr>
          <w:highlight w:val="green"/>
        </w:rPr>
        <w:t xml:space="preserve">The per-community model also reports where a</w:t>
      </w:r>
      <w:r>
        <w:rPr>
          <w:highlight w:val="green"/>
        </w:rPr>
        <w:t xml:space="preserve"> </w:t>
      </w:r>
      <w:r>
        <w:rPr>
          <w:highlight w:val="green"/>
        </w:rPr>
        <w:t xml:space="preserve">benchmark leaves training coverage thin. On HAI one operating regime is almost absent from the training record</w:t>
      </w:r>
      <w:r>
        <w:rPr>
          <w:highlight w:val="green"/>
        </w:rPr>
        <w:t xml:space="preserve"> </w:t>
      </w:r>
      <w:r>
        <w:rPr>
          <w:highlight w:val="green"/>
        </w:rPr>
        <w:t xml:space="preserve">(0.4% of train windows against 6.3% of test) and appears as a contiguous block of test-normal windows after</w:t>
      </w:r>
      <w:r>
        <w:rPr>
          <w:highlight w:val="green"/>
        </w:rPr>
        <w:t xml:space="preserve"> </w:t>
      </w:r>
      <w:r>
        <w:rPr>
          <w:highlight w:val="green"/>
        </w:rPr>
        <w:t xml:space="preserve">training ends, a recording-duration limit rather than a fault. LatAD's own regime model flags this block as an unseen</w:t>
      </w:r>
      <w:r>
        <w:rPr>
          <w:highlight w:val="green"/>
        </w:rPr>
        <w:t xml:space="preserve"> </w:t>
      </w:r>
      <w:r>
        <w:rPr>
          <w:highlight w:val="green"/>
        </w:rPr>
        <w:t xml:space="preserve">regime, and its false alarms at a 5% budget concentrate there. Excluding that regime, a label-free operation that</w:t>
      </w:r>
      <w:r>
        <w:rPr>
          <w:highlight w:val="green"/>
        </w:rPr>
        <w:t xml:space="preserve"> </w:t>
      </w:r>
      <w:r>
        <w:rPr>
          <w:highlight w:val="green"/>
        </w:rPr>
        <w:t xml:space="preserve">removes 18.4% of test-normal windows and no anomaly, lifts a secondary coverage-diagnostic view of the headline model</w:t>
      </w:r>
      <w:r>
        <w:rPr>
          <w:highlight w:val="green"/>
        </w:rPr>
        <w:t xml:space="preserve"> </w:t>
      </w:r>
      <w:r>
        <w:rPr>
          <w:highlight w:val="green"/>
        </w:rPr>
        <w:t xml:space="preserve">(in that pass all-subset AUROC 0.948 to 0.965, difficult-subset 0.845 to 0.890, and the true-positive rate at a 5%</w:t>
      </w:r>
      <w:r>
        <w:rPr>
          <w:highlight w:val="green"/>
        </w:rPr>
        <w:t xml:space="preserve"> </w:t>
      </w:r>
      <w:r>
        <w:rPr>
          <w:highlight w:val="green"/>
        </w:rPr>
        <w:t xml:space="preserve">false-alarm budget 0.789 to 0.916), with LatAD leading throughout. The main tables report the full test set; we note</w:t>
      </w:r>
      <w:r>
        <w:rPr>
          <w:highlight w:val="green"/>
        </w:rPr>
        <w:t xml:space="preserve"> </w:t>
      </w:r>
      <w:r>
        <w:rPr>
          <w:highlight w:val="green"/>
        </w:rPr>
        <w:t xml:space="preserve">the effect as a secondary view and as evidence that the regime-community model diagnoses its own coverage gaps.</w:t>
      </w:r>
    </w:p>
    <w:p>
      <w:pPr>
        <w:pStyle w:val="MDPI31text"/>
        <w:ind w:left="2608"/>
      </w:pPr>
      <w:r>
        <w:rPr>
          <w:b/>
          <w:bCs/>
        </w:rPr>
        <w:t xml:space="preserve">Trajectory assumptions A9–A10.</w:t>
      </w:r>
      <w:r>
        <w:rPr/>
        <w:t xml:space="preserve"> </w:t>
      </w:r>
      <w:r>
        <w:rPr/>
        <w:t xml:space="preserve">The reported model is window-only and leverages the</w:t>
      </w:r>
      <w:r>
        <w:rPr/>
        <w:t xml:space="preserve"> </w:t>
      </w:r>
      <w:r>
        <w:rPr/>
        <w:t xml:space="preserve">instantaneous-structure assumptions A1–A7 (A8 is specified but not realized).</w:t>
      </w:r>
      <w:r>
        <w:rPr/>
        <w:t xml:space="preserve"> </w:t>
      </w:r>
      <w:r>
        <w:rPr>
          <w:highlight w:val="green"/>
        </w:rPr>
        <w:t xml:space="preserve">A9 (multiscale, many clocks) is</w:t>
      </w:r>
      <w:r>
        <w:rPr>
          <w:highlight w:val="green"/>
        </w:rPr>
        <w:t xml:space="preserve"> </w:t>
      </w:r>
      <w:r>
        <w:rPr>
          <w:highlight w:val="green"/>
        </w:rPr>
        <w:t xml:space="preserve">present in the data as a measured property: per-channel autocorrelation timescales span 3.4 to 3.7 decades on all</w:t>
      </w:r>
      <w:r>
        <w:rPr>
          <w:highlight w:val="green"/>
        </w:rPr>
        <w:t xml:space="preserve"> </w:t>
      </w:r>
      <w:r>
        <w:rPr>
          <w:highlight w:val="green"/>
        </w:rPr>
        <w:t xml:space="preserve">three plants. It is only partly exploitable at the window scale here. On HAI a longer 600-sample window adds about</w:t>
      </w:r>
      <w:r>
        <w:rPr>
          <w:highlight w:val="green"/>
        </w:rPr>
        <w:t xml:space="preserve"> </w:t>
      </w:r>
      <w:r>
        <w:rPr>
          <w:highlight w:val="green"/>
        </w:rPr>
        <w:t xml:space="preserve">+0.06 difficult-subset AUROC on the part of the difficult subset whose history is attack-free, a slow persistent fault</w:t>
      </w:r>
      <w:r>
        <w:rPr>
          <w:highlight w:val="green"/>
        </w:rPr>
        <w:t xml:space="preserve"> </w:t>
      </w:r>
      <w:r>
        <w:rPr>
          <w:highlight w:val="green"/>
        </w:rPr>
        <w:t xml:space="preserve">that accumulates over the longer horizon, corroborating the +0.072 that explicit temporal features add in</w:t>
      </w:r>
      <w:r>
        <w:rPr>
          <w:highlight w:val="green"/>
        </w:rPr>
        <w:t xml:space="preserve"> </w:t>
      </w:r>
      <w:r>
        <w:rPr>
          <w:highlight w:val="green"/>
        </w:rPr>
        <w:t xml:space="preserve">Appendix A; on WADI and canonical SWaT longer windows do not help. A10 (path dependence) is measured absent rather</w:t>
      </w:r>
      <w:r>
        <w:rPr>
          <w:highlight w:val="green"/>
        </w:rPr>
        <w:t xml:space="preserve"> </w:t>
      </w:r>
      <w:r>
        <w:rPr>
          <w:highlight w:val="green"/>
        </w:rPr>
        <w:t xml:space="preserve">than merely unobserved: three conditional scorers (a linear autoregressor on the two preceding windows, a</w:t>
      </w:r>
      <w:r>
        <w:rPr>
          <w:highlight w:val="green"/>
        </w:rPr>
        <w:t xml:space="preserve"> </w:t>
      </w:r>
      <w:r>
        <w:rPr>
          <w:highlight w:val="green"/>
        </w:rPr>
        <w:t xml:space="preserve">nearest-neighbour successor model, and a regime-transition matrix), validated on a synthetic positive control and</w:t>
      </w:r>
      <w:r>
        <w:rPr>
          <w:highlight w:val="green"/>
        </w:rPr>
        <w:t xml:space="preserve"> </w:t>
      </w:r>
      <w:r>
        <w:rPr>
          <w:highlight w:val="green"/>
        </w:rPr>
        <w:t xml:space="preserve">guarded by an order-shuffle control, find no window that is marginally normal yet improbable given its history above the</w:t>
      </w:r>
      <w:r>
        <w:rPr>
          <w:highlight w:val="green"/>
        </w:rPr>
        <w:t xml:space="preserve"> </w:t>
      </w:r>
      <w:r>
        <w:rPr>
          <w:highlight w:val="green"/>
        </w:rPr>
        <w:t xml:space="preserve">shuffle floor, on all three benchmarks, once windows whose history already contains an attack are excluded.</w:t>
      </w:r>
      <w:r>
        <w:rPr>
          <w:highlight w:val="green"/>
        </w:rPr>
        <w:t xml:space="preserve"> </w:t>
      </w:r>
      <w:r>
        <w:rPr>
          <w:highlight w:val="green"/>
        </w:rPr>
        <w:t xml:space="preserve">“Snapshot-detectable” is thus a measured finding for these benchmarks, not an assumption.</w:t>
      </w:r>
      <w:r>
        <w:rPr/>
        <w:t xml:space="preserve"> </w:t>
      </w:r>
      <w:r>
        <w:rPr/>
        <w:t xml:space="preserve">Extending the detector with explicit multiscale-temporal features (A9) and</w:t>
      </w:r>
      <w:r>
        <w:rPr/>
        <w:t xml:space="preserve"> </w:t>
      </w:r>
      <w:r>
        <w:rPr/>
        <w:t xml:space="preserve">history-conditioned, path-dependent scoring (A10) is the natural next step; exercising the trajectory assumptions further requires data that contains a history-dependent</w:t>
      </w:r>
      <w:r>
        <w:rPr/>
        <w:t xml:space="preserve"> </w:t>
      </w:r>
      <w:r>
        <w:rPr/>
        <w:t xml:space="preserve">fault.</w:t>
      </w:r>
    </w:p>
    <w:p>
      <w:pPr>
        <w:pStyle w:val="MDPI31text"/>
        <w:ind w:left="2608"/>
      </w:pPr>
      <w:r>
        <w:rPr>
          <w:b/>
          <w:bCs/>
          <w:highlight w:val="green"/>
        </w:rPr>
        <w:t xml:space="preserve">Benchmark scale and the trajectory assumptions.</w:t>
      </w:r>
      <w:r>
        <w:rPr>
          <w:highlight w:val="green"/>
        </w:rPr>
        <w:t xml:space="preserve"> </w:t>
      </w:r>
      <w:r>
        <w:rPr>
          <w:highlight w:val="green"/>
        </w:rPr>
        <w:t xml:space="preserve">Assumptions A8 (between-regime proximity and masking), A9 (multiscale, many-clocks structure), and A10 (path dependence) concern properties that surface most clearly when a system has many channels, long duration, and rich regime variability. The public CPS benchmarks cannot fully exercise them: with one nominal operating mode (though the mixture discovers many sub-regimes within it) and days of data there is little between-regime masking to observe and short trajectories with limited path history. Exercising A8 through A10 on history-dependent faults therefore calls for operational-scale data, for example the multi-year, thousand-stream Building Data Genome Project 2 [</w:t>
      </w:r>
      <w:hyperlink w:anchor="r-bdg2">
        <w:r>
          <w:rPr>
            <w:rStyle w:val="Hyperlink"/>
            <w:highlight w:val="green"/>
          </w:rPr>
          <w:t xml:space="preserve">11</w:t>
        </w:r>
      </w:hyperlink>
      <w:r>
        <w:rPr>
          <w:highlight w:val="green"/>
        </w:rPr>
        <w:t xml:space="preserve">], the fleet run-to-failure trajectories of N-CMAPSS [</w:t>
      </w:r>
      <w:hyperlink w:anchor="r-ncmapss">
        <w:r>
          <w:rPr>
            <w:rStyle w:val="Hyperlink"/>
            <w:highlight w:val="green"/>
          </w:rPr>
          <w:t xml:space="preserve">47</w:t>
        </w:r>
      </w:hyperlink>
      <w:r>
        <w:rPr>
          <w:highlight w:val="green"/>
        </w:rPr>
        <w:t xml:space="preserve">], or historian exports from an instrumented plant. This is the primary axis for follow-up evaluation.</w:t>
      </w:r>
    </w:p>
    <w:p>
      <w:pPr>
        <w:pStyle w:val="MDPI31text"/>
        <w:ind w:left="2608"/>
      </w:pPr>
      <w:r>
        <w:rPr>
          <w:b/>
          <w:bCs/>
        </w:rPr>
        <w:t xml:space="preserve">Alternative realizations and validation.</w:t>
      </w:r>
      <w:r>
        <w:rPr/>
        <w:t xml:space="preserve"> </w:t>
      </w:r>
      <w:r>
        <w:rPr/>
        <w:t xml:space="preserve">The MIIM assumptions fix the structure to model</w:t>
      </w:r>
      <w:r>
        <w:rPr/>
        <w:t xml:space="preserve"> </w:t>
      </w:r>
      <w:r>
        <w:rPr/>
        <w:t xml:space="preserve">rather than the estimator, so the detector of §4 is one point in a larger design space. The regime-community</w:t>
      </w:r>
      <w:r>
        <w:rPr/>
        <w:t xml:space="preserve"> </w:t>
      </w:r>
      <w:r>
        <w:rPr/>
        <w:t xml:space="preserve">realization (§4.4) exercises the factorization and sparsity-adaptive-combination routes; further routes remain</w:t>
      </w:r>
      <w:r>
        <w:rPr/>
        <w:t xml:space="preserve"> </w:t>
      </w:r>
      <w:r>
        <w:rPr/>
        <w:t xml:space="preserve">open within the same assumption set: non-parametric or normalizing-flow densities per community, alternative</w:t>
      </w:r>
      <w:r>
        <w:rPr/>
        <w:t xml:space="preserve"> </w:t>
      </w:r>
      <w:r>
        <w:rPr/>
        <w:t xml:space="preserve">unsupervised partitioners, and a deeper multiscale community hierarchy than the current nested-subtree construction.</w:t>
      </w:r>
      <w:r>
        <w:rPr/>
        <w:t xml:space="preserve"> </w:t>
      </w:r>
      <w:r>
        <w:rPr>
          <w:highlight w:val="green"/>
        </w:rPr>
        <w:t xml:space="preserve">Because A7 spans discrete and mixed-type channels, native categorical likelihoods for discrete channels (HI-VAE</w:t>
      </w:r>
      <w:r>
        <w:rPr>
          <w:highlight w:val="green"/>
        </w:rPr>
        <w:t xml:space="preserve"> </w:t>
      </w:r>
      <w:r>
        <w:rPr>
          <w:highlight w:val="green"/>
        </w:rPr>
        <w:t xml:space="preserve">[</w:t>
      </w:r>
      <w:hyperlink w:anchor="r-hivae">
        <w:r>
          <w:rPr>
            <w:rStyle w:val="Hyperlink"/>
            <w:highlight w:val="green"/>
          </w:rPr>
          <w:t xml:space="preserve">55</w:t>
        </w:r>
      </w:hyperlink>
      <w:r>
        <w:rPr>
          <w:highlight w:val="green"/>
        </w:rPr>
        <w:t xml:space="preserve">], VAEM [</w:t>
      </w:r>
      <w:hyperlink w:anchor="r-vaem">
        <w:r>
          <w:rPr>
            <w:rStyle w:val="Hyperlink"/>
            <w:highlight w:val="green"/>
          </w:rPr>
          <w:t xml:space="preserve">56</w:t>
        </w:r>
      </w:hyperlink>
      <w:r>
        <w:rPr>
          <w:highlight w:val="green"/>
        </w:rPr>
        <w:t xml:space="preserve">]) and graphical-model ICS detectors that type actuator</w:t>
      </w:r>
      <w:r>
        <w:rPr>
          <w:highlight w:val="green"/>
        </w:rPr>
        <w:t xml:space="preserve"> </w:t>
      </w:r>
      <w:r>
        <w:rPr>
          <w:highlight w:val="green"/>
        </w:rPr>
        <w:t xml:space="preserve">states (TABOR [</w:t>
      </w:r>
      <w:hyperlink w:anchor="r-tabor">
        <w:r>
          <w:rPr>
            <w:rStyle w:val="Hyperlink"/>
            <w:highlight w:val="green"/>
          </w:rPr>
          <w:t xml:space="preserve">57</w:t>
        </w:r>
      </w:hyperlink>
      <w:r>
        <w:rPr>
          <w:highlight w:val="green"/>
        </w:rPr>
        <w:t xml:space="preserve">]) are complementary realizations of A7 that this instantaneous, all-Gaussian</w:t>
      </w:r>
      <w:r>
        <w:rPr>
          <w:highlight w:val="green"/>
        </w:rPr>
        <w:t xml:space="preserve"> </w:t>
      </w:r>
      <w:r>
        <w:rPr>
          <w:highlight w:val="green"/>
        </w:rPr>
        <w:t xml:space="preserve">model does not use.</w:t>
      </w:r>
      <w:r>
        <w:rPr/>
        <w:t xml:space="preserve"> </w:t>
      </w:r>
      <w:r>
        <w:rPr/>
        <w:t xml:space="preserve">Because the community construction and the cohesion-weighted Higher Criticism combiner were developed on these three</w:t>
      </w:r>
      <w:r>
        <w:rPr/>
        <w:t xml:space="preserve"> </w:t>
      </w:r>
      <w:r>
        <w:rPr/>
        <w:t xml:space="preserve">benchmarks,</w:t>
      </w:r>
      <w:r>
        <w:rPr/>
        <w:t xml:space="preserve"> </w:t>
      </w:r>
      <w:r>
        <w:rPr>
          <w:highlight w:val="green"/>
        </w:rPr>
        <w:t xml:space="preserve">validation on additional CPS systems is the next test of the regime-community realization; its build and calibration use train-normal data only, so that test requires no labels. The community construction and combiner settings were fixed</w:t>
      </w:r>
      <w:r>
        <w:rPr>
          <w:highlight w:val="green"/>
        </w:rPr>
        <w:t xml:space="preserve"> </w:t>
      </w:r>
      <w:r>
        <w:rPr>
          <w:highlight w:val="green"/>
        </w:rPr>
        <w:t xml:space="preserve">before the WADI and SWaT evaluations reported here, so those two results are out-of-sample confirmations of the design.</w:t>
      </w:r>
    </w:p>
    <w:p>
      <w:pPr>
        <w:pStyle w:val="MDPI31text"/>
        <w:ind w:left="2608"/>
      </w:pPr>
      <w:r>
        <w:rPr>
          <w:b/>
          <w:bCs/>
          <w:highlight w:val="yellow"/>
        </w:rPr>
        <w:t xml:space="preserve">Implications for IIoT deployment.</w:t>
      </w:r>
      <w:r>
        <w:rPr>
          <w:highlight w:val="yellow"/>
        </w:rPr>
        <w:t xml:space="preserve"> </w:t>
      </w:r>
      <w:r>
        <w:rPr>
          <w:highlight w:val="yellow"/>
        </w:rPr>
        <w:t xml:space="preserve">The detector maps onto a standard Industrial-IoT monitoring</w:t>
      </w:r>
      <w:r>
        <w:rPr>
          <w:highlight w:val="yellow"/>
        </w:rPr>
        <w:t xml:space="preserve"> </w:t>
      </w:r>
      <w:r>
        <w:rPr>
          <w:highlight w:val="yellow"/>
        </w:rPr>
        <w:t xml:space="preserve">pipeline: field sensors and programmable logic controllers emit telemetry that an edge gateway or SCADA historian</w:t>
      </w:r>
      <w:r>
        <w:rPr>
          <w:highlight w:val="yellow"/>
        </w:rPr>
        <w:t xml:space="preserve"> </w:t>
      </w:r>
      <w:r>
        <w:rPr>
          <w:highlight w:val="yellow"/>
        </w:rPr>
        <w:t xml:space="preserve">aggregates into the same fixed windows used here; the trained encoder and per-community density models then score</w:t>
      </w:r>
      <w:r>
        <w:rPr>
          <w:highlight w:val="yellow"/>
        </w:rPr>
        <w:t xml:space="preserve"> </w:t>
      </w:r>
      <w:r>
        <w:rPr>
          <w:highlight w:val="yellow"/>
        </w:rPr>
        <w:t xml:space="preserve">each completed window online, and an alarm together with the most-surprised community is forwarded to the operator,</w:t>
      </w:r>
      <w:r>
        <w:rPr>
          <w:highlight w:val="yellow"/>
        </w:rPr>
        <w:t xml:space="preserve"> </w:t>
      </w:r>
      <w:r>
        <w:rPr>
          <w:highlight w:val="yellow"/>
        </w:rPr>
        <w:t xml:space="preserve">maintenance, or security stack. Two properties make this practical for IIoT: all model fitting and calibration use</w:t>
      </w:r>
      <w:r>
        <w:rPr>
          <w:highlight w:val="yellow"/>
        </w:rPr>
        <w:t xml:space="preserve"> </w:t>
      </w:r>
      <w:r>
        <w:rPr>
          <w:highlight w:val="yellow"/>
        </w:rPr>
        <w:t xml:space="preserve">train-normal data only, so a site can be commissioned from its own normal telemetry without labeled attacks, and the</w:t>
      </w:r>
      <w:r>
        <w:rPr>
          <w:highlight w:val="yellow"/>
        </w:rPr>
        <w:t xml:space="preserve"> </w:t>
      </w:r>
      <w:r>
        <w:rPr>
          <w:highlight w:val="yellow"/>
        </w:rPr>
        <w:t xml:space="preserve">per-community score localizes an anomaly to a physical subsystem rather than issuing only a plant-wide flag. Scoring</w:t>
      </w:r>
      <w:r>
        <w:rPr>
          <w:highlight w:val="yellow"/>
        </w:rPr>
        <w:t xml:space="preserve"> </w:t>
      </w:r>
      <w:r>
        <w:rPr>
          <w:highlight w:val="yellow"/>
        </w:rPr>
        <w:t xml:space="preserve">is sequential, with each completed window evaluated without access to future observations.</w:t>
      </w:r>
      <w:r>
        <w:rPr>
          <w:highlight w:val="yellow"/>
        </w:rPr>
        <w:t xml:space="preserve"> </w:t>
      </w:r>
      <w:r>
        <w:rPr>
          <w:highlight w:val="yellow"/>
          <w:strike w:val="true"/>
          <w:color w:val="C0392B"/>
        </w:rPr>
        <w:t xml:space="preserve">This is a deployment</w:t>
      </w:r>
      <w:r>
        <w:rPr>
          <w:highlight w:val="yellow"/>
          <w:strike w:val="true"/>
          <w:color w:val="C0392B"/>
        </w:rPr>
        <w:t xml:space="preserve"> </w:t>
      </w:r>
      <w:r>
        <w:rPr>
          <w:highlight w:val="yellow"/>
          <w:strike w:val="true"/>
          <w:color w:val="C0392B"/>
        </w:rPr>
        <w:t xml:space="preserve">architecture rather than an experimentally evaluated configuration.</w:t>
      </w:r>
      <w:r>
        <w:rPr>
          <w:highlight w:val="green"/>
        </w:rPr>
        <w:t xml:space="preserve">The training and inference cost of this configuration is measured in Appendix B (Table B1).</w:t>
      </w:r>
    </w:p>
    <w:p>
      <w:pPr>
        <w:pStyle w:val="MDPI31text"/>
        <w:ind w:left="2608"/>
      </w:pPr>
      <w:r>
        <w:rPr>
          <w:highlight w:val="yellow"/>
        </w:rPr>
        <w:t xml:space="preserve">Pushing inference to the network edge (a gateway or the device itself) reduces telemetry backhaul and enables local</w:t>
      </w:r>
      <w:r>
        <w:rPr>
          <w:highlight w:val="yellow"/>
        </w:rPr>
        <w:t xml:space="preserve"> </w:t>
      </w:r>
      <w:r>
        <w:rPr>
          <w:highlight w:val="yellow"/>
        </w:rPr>
        <w:t xml:space="preserve">response, but the regime-community realization instantiates one density model per community, so its inference cost</w:t>
      </w:r>
      <w:r>
        <w:rPr>
          <w:highlight w:val="yellow"/>
        </w:rPr>
        <w:t xml:space="preserve"> </w:t>
      </w:r>
      <w:r>
        <w:rPr>
          <w:highlight w:val="yellow"/>
        </w:rPr>
        <w:t xml:space="preserve">grows with the number of subsystems. Where that footprint matters, adaptive-inference optimizations are a natural</w:t>
      </w:r>
      <w:r>
        <w:rPr>
          <w:highlight w:val="yellow"/>
        </w:rPr>
        <w:t xml:space="preserve"> </w:t>
      </w:r>
      <w:r>
        <w:rPr>
          <w:highlight w:val="yellow"/>
        </w:rPr>
        <w:t xml:space="preserve">fit: early-exit cascades terminate computation early on inputs that are already confidently normal and cut average</w:t>
      </w:r>
      <w:r>
        <w:rPr>
          <w:highlight w:val="yellow"/>
        </w:rPr>
        <w:t xml:space="preserve"> </w:t>
      </w:r>
      <w:r>
        <w:rPr>
          <w:highlight w:val="yellow"/>
        </w:rPr>
        <w:t xml:space="preserve">inference cost substantially, for example CalexNet [</w:t>
      </w:r>
      <w:hyperlink w:anchor="r-calexnet">
        <w:r>
          <w:rPr>
            <w:rStyle w:val="Hyperlink"/>
            <w:highlight w:val="yellow"/>
          </w:rPr>
          <w:t xml:space="preserve">58</w:t>
        </w:r>
      </w:hyperlink>
      <w:r>
        <w:rPr>
          <w:highlight w:val="yellow"/>
        </w:rPr>
        <w:t xml:space="preserve">], a cascade-aligned early-exit method</w:t>
      </w:r>
      <w:r>
        <w:rPr>
          <w:highlight w:val="yellow"/>
        </w:rPr>
        <w:t xml:space="preserve"> </w:t>
      </w:r>
      <w:r>
        <w:rPr>
          <w:highlight w:val="yellow"/>
        </w:rPr>
        <w:t xml:space="preserve">reported to reduce inference cost by roughly 30 to 70 percent, which applies directly to the per-community expert</w:t>
      </w:r>
      <w:r>
        <w:rPr>
          <w:highlight w:val="yellow"/>
        </w:rPr>
        <w:t xml:space="preserve"> </w:t>
      </w:r>
      <w:r>
        <w:rPr>
          <w:highlight w:val="yellow"/>
        </w:rPr>
        <w:t xml:space="preserve">stack on constrained edge hardware.</w:t>
      </w:r>
      <w:r>
        <w:rPr>
          <w:highlight w:val="yellow"/>
        </w:rPr>
        <w:t xml:space="preserve"> </w:t>
      </w:r>
      <w:r>
        <w:rPr>
          <w:highlight w:val="green"/>
        </w:rPr>
        <w:t xml:space="preserve">We report training and inference cost in Appendix B (Table B1): LatAD-global trains roughly 47 to 72 times</w:t>
      </w:r>
      <w:r>
        <w:rPr>
          <w:highlight w:val="green"/>
        </w:rPr>
        <w:t xml:space="preserve"> </w:t>
      </w:r>
      <w:r>
        <w:rPr>
          <w:highlight w:val="green"/>
        </w:rPr>
        <w:t xml:space="preserve">faster than TranAD, per-window latency stays within gateway-class real-time budgets on both a shared GPU and a CPU edge</w:t>
      </w:r>
      <w:r>
        <w:rPr>
          <w:highlight w:val="green"/>
        </w:rPr>
        <w:t xml:space="preserve"> </w:t>
      </w:r>
      <w:r>
        <w:rPr>
          <w:highlight w:val="green"/>
        </w:rPr>
        <w:t xml:space="preserve">proxy, and both configurations run within about 3.5 to 3.9 GB of host memory. The CalexNet early-exit path above is a</w:t>
      </w:r>
      <w:r>
        <w:rPr>
          <w:highlight w:val="green"/>
        </w:rPr>
        <w:t xml:space="preserve"> </w:t>
      </w:r>
      <w:r>
        <w:rPr>
          <w:highlight w:val="green"/>
        </w:rPr>
        <w:t xml:space="preserve">further-reduction route on top of these figures for the per-community stack on constrained edge hardware.</w:t>
      </w:r>
    </w:p>
    <w:p>
      <w:pPr>
        <w:pStyle w:val="MDPI31text"/>
        <w:ind w:left="2608"/>
      </w:pPr>
      <w:r>
        <w:rPr>
          <w:b/>
          <w:bCs/>
        </w:rPr>
        <w:t xml:space="preserve">Limitations.</w:t>
      </w:r>
      <w:r>
        <w:rPr/>
        <w:t xml:space="preserve"> </w:t>
      </w:r>
      <w:r>
        <w:rPr/>
        <w:t xml:space="preserve">Three boundary conditions apply: three datasets, one trained configuration per</w:t>
      </w:r>
      <w:r>
        <w:rPr/>
        <w:t xml:space="preserve"> </w:t>
      </w:r>
      <w:r>
        <w:rPr/>
        <w:t xml:space="preserve">dataset (evaluated over five seeds), and a single instantaneous representation.</w:t>
      </w:r>
      <w:r>
        <w:rPr/>
        <w:t xml:space="preserve"> </w:t>
      </w:r>
      <w:r>
        <w:rPr>
          <w:highlight w:val="green"/>
        </w:rPr>
        <w:t xml:space="preserve">Two further boundaries follow from</w:t>
      </w:r>
      <w:r>
        <w:rPr>
          <w:highlight w:val="green"/>
        </w:rPr>
        <w:t xml:space="preserve"> </w:t>
      </w:r>
      <w:r>
        <w:rPr>
          <w:highlight w:val="green"/>
        </w:rPr>
        <w:t xml:space="preserve">the data: WADI results are on the 122-channel set with the rescaled analyzer channel removed</w:t>
      </w:r>
      <w:r>
        <w:rPr>
          <w:highlight w:val="green"/>
        </w:rPr>
        <w:t xml:space="preserve"> </w:t>
      </w:r>
      <w:r>
        <w:rPr>
          <w:highlight w:val="green"/>
        </w:rPr>
        <w:t xml:space="preserve">(§5.1), and HAI's test record contains one operating regime almost absent from training, so its full-test-set</w:t>
      </w:r>
      <w:r>
        <w:rPr>
          <w:highlight w:val="green"/>
        </w:rPr>
        <w:t xml:space="preserve"> </w:t>
      </w:r>
      <w:r>
        <w:rPr>
          <w:highlight w:val="green"/>
        </w:rPr>
        <w:t xml:space="preserve">numbers include a train-empty regime; all reported numbers use the full test set.</w:t>
      </w:r>
      <w:r>
        <w:rPr/>
        <w:t xml:space="preserve"> </w:t>
      </w:r>
      <w:r>
        <w:rPr/>
        <w:t xml:space="preserve">AUROC is threshold-free and reported</w:t>
      </w:r>
      <w:r>
        <w:rPr/>
        <w:t xml:space="preserve"> </w:t>
      </w:r>
      <w:r>
        <w:rPr/>
        <w:t xml:space="preserve">as a five-seed mean; the F1 column is a best-threshold raw F1. The easy/difficult split is a property of one cut, the trivial</w:t>
      </w:r>
      <w:r>
        <w:rPr/>
        <w:t xml:space="preserve"> </w:t>
      </w:r>
      <w:r>
        <w:rPr/>
        <w:t xml:space="preserve">detector's 99th-percentile-of-train-normal threshold; a different percentile would redraw the boundary between the</w:t>
      </w:r>
      <w:r>
        <w:rPr/>
        <w:t xml:space="preserve"> </w:t>
      </w:r>
      <w:r>
        <w:rPr/>
        <w:t xml:space="preserve">subsets, though the gap between the trivial rule's Easy and Difficult performance is large enough that the split is</w:t>
      </w:r>
      <w:r>
        <w:rPr/>
        <w:t xml:space="preserve"> </w:t>
      </w:r>
      <w:r>
        <w:rPr/>
        <w:t xml:space="preserve">not knife-edge. We report only raw point-wise metrics, which makes our numbers lower than point-adjusted</w:t>
      </w:r>
      <w:r>
        <w:rPr/>
        <w:t xml:space="preserve"> </w:t>
      </w:r>
      <w:r>
        <w:rPr/>
        <w:t xml:space="preserve">leaderboard figures by design.</w:t>
      </w:r>
    </w:p>
    <w:p>
      <w:pPr>
        <w:pStyle w:val="MDPI21heading1"/>
        <w:ind w:left="2608"/>
      </w:pPr>
      <w:r>
        <w:rPr/>
        <w:t xml:space="preserve">8  Conclusion</w:t>
      </w:r>
    </w:p>
    <w:p>
      <w:pPr>
        <w:pStyle w:val="MDPI32textnoindent"/>
        <w:ind w:left="2608"/>
      </w:pPr>
      <w:r>
        <w:rPr/>
        <w:t xml:space="preserve">We restated the structural assumptions of CPS normal data as an explicit MIIM list (A1–A10) and built</w:t>
      </w:r>
      <w:r>
        <w:rPr/>
        <w:t xml:space="preserve"> </w:t>
      </w:r>
      <w:r>
        <w:rPr/>
        <w:t xml:space="preserve">LatAD, a detector that models normal as a jointly learned latent plus explicit regime clustering, scores anomalies</w:t>
      </w:r>
      <w:r>
        <w:rPr/>
        <w:t xml:space="preserve"> </w:t>
      </w:r>
      <w:r>
        <w:rPr/>
        <w:t xml:space="preserve">by probability in that latent rather than by reconstruction, and factorizes the density over the plant’s</w:t>
      </w:r>
      <w:r>
        <w:rPr/>
        <w:t xml:space="preserve"> </w:t>
      </w:r>
      <w:r>
        <w:rPr/>
        <w:t xml:space="preserve">correlation-community subsystems. Under a deliberately fair, raw-metric, difficulty-stratified protocol on three</w:t>
      </w:r>
      <w:r>
        <w:rPr/>
        <w:t xml:space="preserve"> </w:t>
      </w:r>
      <w:r>
        <w:rPr/>
        <w:t xml:space="preserve">real CPS attack benchmarks, LatAD</w:t>
      </w:r>
      <w:r>
        <w:rPr/>
        <w:t xml:space="preserve"> </w:t>
      </w:r>
      <w:r>
        <w:rPr>
          <w:highlight w:val="green"/>
        </w:rPr>
        <w:t xml:space="preserve">attains the best overall AUROC on HAI and SWaT and leads the difficult subset of</w:t>
      </w:r>
      <w:r>
        <w:rPr>
          <w:highlight w:val="green"/>
        </w:rPr>
        <w:t xml:space="preserve"> </w:t>
      </w:r>
      <w:r>
        <w:rPr>
          <w:highlight w:val="green"/>
        </w:rPr>
        <w:t xml:space="preserve">all three, with statistically significant margins over the strongest baseline on HAI (paired 95% CI [0.042, 0.157])</w:t>
      </w:r>
      <w:r>
        <w:rPr>
          <w:highlight w:val="green"/>
        </w:rPr>
        <w:t xml:space="preserve"> </w:t>
      </w:r>
      <w:r>
        <w:rPr>
          <w:highlight w:val="green"/>
        </w:rPr>
        <w:t xml:space="preserve">and canonical SWaT (P = 0.007), and a lead over every learned detector on WADI (tying the linear baseline), whose difficult</w:t>
      </w:r>
      <w:r>
        <w:rPr>
          <w:highlight w:val="green"/>
        </w:rPr>
        <w:t xml:space="preserve"> </w:t>
      </w:r>
      <w:r>
        <w:rPr>
          <w:highlight w:val="green"/>
        </w:rPr>
        <w:t xml:space="preserve">faults are reconstructable but improbable.</w:t>
      </w:r>
    </w:p>
    <w:p>
      <w:pPr>
        <w:pStyle w:val="MDPI31text"/>
        <w:ind w:left="2608"/>
      </w:pPr>
      <w:r>
        <w:rPr/>
        <w:t xml:space="preserve">The mechanism is simple to state. Reconstruction scores reachability; a density in a clustered latent scores</w:t>
      </w:r>
      <w:r>
        <w:rPr/>
        <w:t xml:space="preserve"> </w:t>
      </w:r>
      <w:r>
        <w:rPr/>
        <w:t xml:space="preserve">probability; and the CPS faults that matter are reconstructable but improbable. Treating multimodal normal as a</w:t>
      </w:r>
      <w:r>
        <w:rPr/>
        <w:t xml:space="preserve"> </w:t>
      </w:r>
      <w:r>
        <w:rPr/>
        <w:t xml:space="preserve">single blob, or as a reconstruction target, is a modeling failure.</w:t>
      </w:r>
    </w:p>
    <w:p>
      <w:pPr>
        <w:pStyle w:val="MDPI31text"/>
        <w:ind w:left="2608"/>
      </w:pPr>
      <w:r>
        <w:rPr>
          <w:highlight w:val="yellow"/>
        </w:rPr>
        <w:t xml:space="preserve">These results position normal-only latent-density modeling as an anomaly-monitoring approach for multivariate IIoT telemetry, particularly where labels are scarce and anomalous behavior is local to a coupled physical subsystem.</w:t>
      </w:r>
      <w:r>
        <w:rPr/>
        <w:t xml:space="preserve"> </w:t>
      </w:r>
      <w:r>
        <w:rPr/>
        <w:t xml:space="preserve">Two properties make the detector well-suited to condition monitoring and predictive maintenance: scoring against</w:t>
      </w:r>
      <w:r>
        <w:rPr/>
        <w:t xml:space="preserve"> </w:t>
      </w:r>
      <w:r>
        <w:rPr/>
        <w:t xml:space="preserve">the nearest regime keeps rare-but-valid states (startups, rare manoeuvres) from paging an operator, and the</w:t>
      </w:r>
      <w:r>
        <w:rPr/>
        <w:t xml:space="preserve"> </w:t>
      </w:r>
      <w:r>
        <w:rPr/>
        <w:t xml:space="preserve">regime-community density catches in-envelope, subsystem-local faults that stay inside every alarm limit. Extending</w:t>
      </w:r>
      <w:r>
        <w:rPr/>
        <w:t xml:space="preserve"> </w:t>
      </w:r>
      <w:r>
        <w:rPr/>
        <w:t xml:space="preserve">LatAD to the trajectory assumptions</w:t>
      </w:r>
      <w:r>
        <w:rPr/>
        <w:t xml:space="preserve"> </w:t>
      </w:r>
      <w:r>
        <w:rPr>
          <w:strike w:val="true"/>
          <w:color w:val="C0392B"/>
        </w:rPr>
        <w:t xml:space="preserve">(A9, A10)</w:t>
      </w:r>
      <w:r>
        <w:rPr>
          <w:highlight w:val="green"/>
        </w:rPr>
        <w:t xml:space="preserve">(A9, A10, and the masking form of A8 coupled to A10)</w:t>
      </w:r>
      <w:r>
        <w:rPr/>
        <w:t xml:space="preserve"> </w:t>
      </w:r>
      <w:r>
        <w:rPr/>
        <w:t xml:space="preserve">and validating the regime-community realization on additional CPS</w:t>
      </w:r>
      <w:r>
        <w:rPr/>
        <w:t xml:space="preserve"> </w:t>
      </w:r>
      <w:r>
        <w:rPr/>
        <w:t xml:space="preserve">systems are the natural next steps.</w:t>
      </w:r>
    </w:p>
    <w:p>
      <w:pPr>
        <w:pStyle w:val="MDPI62backmatter"/>
        <w:ind w:left="2608"/>
      </w:pPr>
      <w:r>
        <w:rPr>
          <w:b/>
          <w:bCs/>
        </w:rPr>
        <w:t xml:space="preserve">Author Contributions:</w:t>
      </w:r>
      <w:r>
        <w:rPr/>
        <w:t xml:space="preserve"> </w:t>
      </w:r>
      <w:r>
        <w:rPr/>
        <w:t xml:space="preserve">Conceptualization, methodology, software, validation, formal analysis, investigation, writing (original draft preparation), and writing (review and editing), A.A. and Y.A. The authors contributed equally to all aspects of the work. All authors have read and agreed to the published version of the manuscript.</w:t>
      </w:r>
    </w:p>
    <w:p>
      <w:pPr>
        <w:pStyle w:val="MDPI62backmatter"/>
        <w:ind w:left="2608"/>
      </w:pPr>
      <w:r>
        <w:rPr>
          <w:b/>
          <w:bCs/>
        </w:rPr>
        <w:t xml:space="preserve">Funding:</w:t>
      </w:r>
      <w:r>
        <w:rPr/>
        <w:t xml:space="preserve"> </w:t>
      </w:r>
      <w:r>
        <w:rPr/>
        <w:t xml:space="preserve">This research received no external funding.</w:t>
      </w:r>
    </w:p>
    <w:p>
      <w:pPr>
        <w:pStyle w:val="MDPI62backmatter"/>
        <w:ind w:left="2608"/>
      </w:pPr>
      <w:r>
        <w:rPr>
          <w:b/>
          <w:bCs/>
        </w:rPr>
        <w:t xml:space="preserve">Institutional Review Board Statement:</w:t>
      </w:r>
      <w:r>
        <w:rPr/>
        <w:t xml:space="preserve"> </w:t>
      </w:r>
      <w:r>
        <w:rPr/>
        <w:t xml:space="preserve">Not applicable.</w:t>
      </w:r>
    </w:p>
    <w:p>
      <w:pPr>
        <w:pStyle w:val="MDPI62backmatter"/>
        <w:ind w:left="2608"/>
      </w:pPr>
      <w:r>
        <w:rPr>
          <w:b/>
          <w:bCs/>
        </w:rPr>
        <w:t xml:space="preserve">Informed Consent Statement:</w:t>
      </w:r>
      <w:r>
        <w:rPr/>
        <w:t xml:space="preserve"> </w:t>
      </w:r>
      <w:r>
        <w:rPr/>
        <w:t xml:space="preserve">Not applicable.</w:t>
      </w:r>
    </w:p>
    <w:p>
      <w:pPr>
        <w:pStyle w:val="MDPI62backmatter"/>
        <w:ind w:left="2608"/>
      </w:pPr>
      <w:r>
        <w:rPr>
          <w:b/>
          <w:bCs/>
        </w:rPr>
        <w:t xml:space="preserve">Data Availability Statement:</w:t>
      </w:r>
      <w:r>
        <w:rPr/>
        <w:t xml:space="preserve"> </w:t>
      </w:r>
      <w:r>
        <w:rPr/>
        <w:t xml:space="preserve">This study uses only publicly available community benchmark datasets and created no new data. WADI and SWaT are available from iTrust, Singapore University of Technology and Design (https://itrust.sutd.edu.sg/, access granted on request); HAI is available from its public release by ETRI. The trained model checkpoints (one per dataset) and the source code supporting the reported results are openly archived on Zenodo at https://doi.org/10.5281/zenodo.21821524. Each checkpoint contains learned parameters only, not the underlying data; each is trained with a fixed seed and reproduces that seed's scores, and the released scripts reproduce the five-seed aggregates reported in the tables.</w:t>
      </w:r>
    </w:p>
    <w:p>
      <w:pPr>
        <w:pStyle w:val="MDPI62backmatter"/>
        <w:ind w:left="2608"/>
      </w:pPr>
      <w:r>
        <w:rPr>
          <w:b/>
          <w:bCs/>
        </w:rPr>
        <w:t xml:space="preserve">Conflicts of Interest:</w:t>
      </w:r>
      <w:r>
        <w:rPr/>
        <w:t xml:space="preserve"> </w:t>
      </w:r>
      <w:r>
        <w:rPr/>
        <w:t xml:space="preserve">The authors declare no conflicts of interest.</w:t>
      </w:r>
    </w:p>
    <w:p>
      <w:pPr>
        <w:pStyle w:val="MDPI21heading1"/>
        <w:ind w:left="2608"/>
      </w:pPr>
      <w:r>
        <w:rPr/>
        <w:t xml:space="preserve">Appendix A. Ablation over the design axes</w:t>
      </w:r>
    </w:p>
    <w:p>
      <w:pPr>
        <w:pStyle w:val="MDPI32textnoindent"/>
        <w:ind w:left="2608"/>
      </w:pPr>
      <w:r>
        <w:rPr/>
        <w:t xml:space="preserve">LatAD is one point on each design axis of §4: representation, density estimation (single global versus a</w:t>
      </w:r>
      <w:r>
        <w:rPr/>
        <w:t xml:space="preserve"> </w:t>
      </w:r>
      <w:r>
        <w:rPr/>
        <w:t xml:space="preserve">regime-community ensemble, itself construction plus aggregation), scoring heads, and calibration. Table A1 varies the</w:t>
      </w:r>
      <w:r>
        <w:rPr/>
        <w:t xml:space="preserve"> </w:t>
      </w:r>
      <w:r>
        <w:rPr/>
        <w:t xml:space="preserve">density-estimation axes on the difficult subset, holding the rest fixed. Factorizing the global density over regime</w:t>
      </w:r>
      <w:r>
        <w:rPr/>
        <w:t xml:space="preserve"> </w:t>
      </w:r>
      <w:r>
        <w:rPr/>
        <w:t xml:space="preserve">communities lifts all three datasets, most on WADI, whose difficult faults are confined to small correlated subsystems that a global density dilutes;</w:t>
      </w:r>
      <w:r>
        <w:rPr/>
        <w:t xml:space="preserve"> </w:t>
      </w:r>
      <w:r>
        <w:rPr>
          <w:highlight w:val="green"/>
        </w:rPr>
        <w:t xml:space="preserve">on WADI the community aggregation carries the whole effect, lifting the single-latent global density from 0.634 to 0.795 through cohesion-weighted Higher Criticism over the per-community experts, and fusing in the whole-plant expert (the headline fusion) is mildly counterproductive there, so the fused headline settles at 0.771;</w:t>
      </w:r>
      <w:r>
        <w:rPr>
          <w:highlight w:val="green"/>
        </w:rPr>
        <w:t xml:space="preserve"> </w:t>
      </w:r>
      <w:r>
        <w:rPr>
          <w:highlight w:val="green"/>
        </w:rPr>
        <w:t xml:space="preserve">on HAI and SWaT the whole-plant-expert fusion instead lifts the score, most on HAI, where the hard valve and flow deviations are correlation-conditional;</w:t>
      </w:r>
      <w:r>
        <w:rPr/>
        <w:t xml:space="preserve"> </w:t>
      </w:r>
      <w:r>
        <w:rPr/>
        <w:t xml:space="preserve">and among the sparsity-adaptive combiners,</w:t>
      </w:r>
      <w:r>
        <w:rPr/>
        <w:t xml:space="preserve"> </w:t>
      </w:r>
      <w:r>
        <w:rPr/>
        <w:t xml:space="preserve">cohesion-weighted Higher Criticism is the one that leads on all three</w:t>
      </w:r>
      <w:r>
        <w:rPr/>
        <w:t xml:space="preserve"> </w:t>
      </w:r>
      <w:r>
        <w:rPr>
          <w:highlight w:val="green"/>
        </w:rPr>
        <w:t xml:space="preserve">once the community experts and the whole-plant expert are fused (and, on WADI, the community aggregation without that fusion leads outright)</w:t>
      </w:r>
      <w:r>
        <w:rPr/>
        <w:t xml:space="preserve">, because it weights a violation by the</w:t>
      </w:r>
      <w:r>
        <w:rPr/>
        <w:t xml:space="preserve"> </w:t>
      </w:r>
      <w:r>
        <w:rPr/>
        <w:t xml:space="preserve">coupling strength of the subsystem it occurs in (A7) while adapting to the fault’s extent.</w:t>
      </w:r>
    </w:p>
    <w:p>
      <w:pPr>
        <w:pStyle w:val="MDPI41tablecaption"/>
        <w:ind w:left="2608"/>
      </w:pPr>
      <w:r>
        <w:rPr>
          <w:b/>
          <w:bCs/>
        </w:rPr>
        <w:t xml:space="preserve">Table A1.</w:t>
      </w:r>
      <w:r>
        <w:rPr/>
        <w:t xml:space="preserve"> </w:t>
      </w:r>
      <w:r>
        <w:rPr/>
        <w:t xml:space="preserve">Design-axis ablation, difficult-subset AUROC (five-seed mean). Top block: the</w:t>
      </w:r>
      <w:r>
        <w:rPr/>
        <w:t xml:space="preserve"> </w:t>
      </w:r>
      <w:r>
        <w:rPr/>
        <w:t xml:space="preserve">factorization axis (single global density, then the regime-community ensemble with density-only versus full</w:t>
      </w:r>
      <w:r>
        <w:rPr/>
        <w:t xml:space="preserve"> </w:t>
      </w:r>
      <w:r>
        <w:rPr/>
        <w:t xml:space="preserve">per-community heads). Bottom block: the aggregation axis over the full-stack experts (how per-community surprises</w:t>
      </w:r>
      <w:r>
        <w:rPr/>
        <w:t xml:space="preserve"> </w:t>
      </w:r>
      <w:r>
        <w:rPr/>
        <w:t xml:space="preserve">are combined). Every aggregation-block row is fused with the global</w:t>
      </w:r>
      <w:r>
        <w:rPr/>
        <w:t xml:space="preserve"> </w:t>
      </w:r>
      <w:r>
        <w:rPr/>
        <w:t xml:space="preserve"> </w:t>
      </w:r>
      <w:r>
        <w:rPr>
          <w:strike w:val="true"/>
          <w:color w:val="C0392B"/>
        </w:rPr>
        <w:t xml:space="preserve"> null </w:t>
      </w:r>
      <w:r>
        <w:rPr/>
        <w:t xml:space="preserve"> </w:t>
      </w:r>
      <w:r>
        <w:rPr/>
        <w:t xml:space="preserve"> </w:t>
      </w:r>
      <w:r>
        <w:rPr>
          <w:highlight w:val="green"/>
        </w:rPr>
        <w:t xml:space="preserve"> whole-plant </w:t>
      </w:r>
      <w:r>
        <w:rPr/>
        <w:t xml:space="preserve"> </w:t>
      </w:r>
      <w:r>
        <w:rPr/>
        <w:t xml:space="preserve"> </w:t>
      </w:r>
      <w:r>
        <w:rPr/>
        <w:t xml:space="preserve">expert: the first four sum the community</w:t>
      </w:r>
      <w:r>
        <w:rPr/>
        <w:t xml:space="preserve"> </w:t>
      </w:r>
      <w:r>
        <w:rPr/>
        <w:t xml:space="preserve">combiner and the</w:t>
      </w:r>
      <w:r>
        <w:rPr/>
        <w:t xml:space="preserve"> </w:t>
      </w:r>
      <w:r>
        <w:rPr/>
        <w:t xml:space="preserve"> </w:t>
      </w:r>
      <w:r>
        <w:rPr>
          <w:strike w:val="true"/>
          <w:color w:val="C0392B"/>
        </w:rPr>
        <w:t xml:space="preserve"> null </w:t>
      </w:r>
      <w:r>
        <w:rPr/>
        <w:t xml:space="preserve"> </w:t>
      </w:r>
      <w:r>
        <w:rPr/>
        <w:t xml:space="preserve"> </w:t>
      </w:r>
      <w:r>
        <w:rPr>
          <w:highlight w:val="green"/>
        </w:rPr>
        <w:t xml:space="preserve"> whole-plant </w:t>
      </w:r>
      <w:r>
        <w:rPr/>
        <w:t xml:space="preserve"> </w:t>
      </w:r>
      <w:r>
        <w:rPr/>
        <w:t xml:space="preserve"> </w:t>
      </w:r>
      <w:r>
        <w:rPr/>
        <w:t xml:space="preserve">expert in train-normal</w:t>
      </w:r>
      <w:r>
        <w:rPr/>
        <w:t xml:space="preserve"> </w:t>
      </w:r>
      <w:r>
        <w:rPr/>
        <w:t xml:space="preserve"> </w:t>
      </w:r>
      <w:r>
        <w:rPr>
          <w:strike w:val="true"/>
          <w:color w:val="C0392B"/>
        </w:rPr>
        <w:t xml:space="preserve"> z-score </w:t>
      </w:r>
      <w:r>
        <w:rPr/>
        <w:t xml:space="preserve"> </w:t>
      </w:r>
      <w:r>
        <w:rPr/>
        <w:t xml:space="preserve"> </w:t>
      </w:r>
      <w:r>
        <w:rPr>
          <w:highlight w:val="green"/>
        </w:rPr>
        <w:t xml:space="preserve"> standardized </w:t>
      </w:r>
      <w:r>
        <w:rPr/>
        <w:t xml:space="preserve"> </w:t>
      </w:r>
      <w:r>
        <w:rPr/>
        <w:t xml:space="preserve"> </w:t>
      </w:r>
      <w:r>
        <w:rPr/>
        <w:t xml:space="preserve">units (the headline fusion), while the last fuses unweighted</w:t>
      </w:r>
      <w:r>
        <w:rPr/>
        <w:t xml:space="preserve"> </w:t>
      </w:r>
      <w:r>
        <w:rPr/>
        <w:t xml:space="preserve">Higher Criticism with the</w:t>
      </w:r>
      <w:r>
        <w:rPr/>
        <w:t xml:space="preserve"> </w:t>
      </w:r>
      <w:r>
        <w:rPr/>
        <w:t xml:space="preserve"> </w:t>
      </w:r>
      <w:r>
        <w:rPr>
          <w:strike w:val="true"/>
          <w:color w:val="C0392B"/>
        </w:rPr>
        <w:t xml:space="preserve"> null </w:t>
      </w:r>
      <w:r>
        <w:rPr/>
        <w:t xml:space="preserve"> </w:t>
      </w:r>
      <w:r>
        <w:rPr/>
        <w:t xml:space="preserve"> </w:t>
      </w:r>
      <w:r>
        <w:rPr>
          <w:highlight w:val="green"/>
        </w:rPr>
        <w:t xml:space="preserve"> whole-plant </w:t>
      </w:r>
      <w:r>
        <w:rPr/>
        <w:t xml:space="preserve"> </w:t>
      </w:r>
      <w:r>
        <w:rPr/>
        <w:t xml:space="preserve"> </w:t>
      </w:r>
      <w:r>
        <w:rPr/>
        <w:t xml:space="preserve">expert by a maximum instead. The headline detector is the full per-community,</w:t>
      </w:r>
      <w:r>
        <w:rPr/>
        <w:t xml:space="preserve"> </w:t>
      </w:r>
      <w:r>
        <w:rPr/>
        <w:t xml:space="preserve">cohesion-weighted Higher Criticism row.</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3279"/>
        <w:gridCol w:w="1526"/>
        <w:gridCol w:w="1526"/>
        <w:gridCol w:w="1527"/>
      </w:tblGrid>
      <w:tr>
        <w:trPr>
          <w:tblHeader w:val="on"/>
        </w:trPr>
        <w:tc>
          <w:tcPr>
            <w:tcBorders>
              <w:bottom w:val="single" w:sz="8" w:space="0" w:color="auto"/>
            </w:tcBorders>
            <w:vAlign w:val="center"/>
          </w:tcPr>
          <w:p>
            <w:pPr>
              <w:pStyle w:val="Compact"/>
              <w:suppressAutoHyphens/>
              <w:jc w:val="center"/>
            </w:pPr>
            <w:r>
              <w:rPr>
                <w:b/>
                <w:sz w:val="18"/>
                <w:szCs w:val="18"/>
              </w:rPr>
              <w:t xml:space="preserve">Ablation</w:t>
            </w:r>
          </w:p>
        </w:tc>
        <w:tc>
          <w:tcPr>
            <w:tcBorders>
              <w:bottom w:val="single" w:sz="8" w:space="0" w:color="auto"/>
            </w:tcBorders>
            <w:vAlign w:val="center"/>
          </w:tcPr>
          <w:p>
            <w:pPr>
              <w:pStyle w:val="Compact"/>
              <w:suppressAutoHyphens/>
              <w:jc w:val="center"/>
            </w:pPr>
            <w:r>
              <w:rPr>
                <w:b/>
                <w:sz w:val="18"/>
                <w:szCs w:val="18"/>
              </w:rPr>
              <w:t xml:space="preserve">WADI</w:t>
            </w:r>
          </w:p>
        </w:tc>
        <w:tc>
          <w:tcPr>
            <w:tcBorders>
              <w:bottom w:val="single" w:sz="8" w:space="0" w:color="auto"/>
            </w:tcBorders>
            <w:vAlign w:val="center"/>
          </w:tcPr>
          <w:p>
            <w:pPr>
              <w:pStyle w:val="Compact"/>
              <w:suppressAutoHyphens/>
              <w:jc w:val="center"/>
            </w:pPr>
            <w:r>
              <w:rPr>
                <w:b/>
                <w:sz w:val="18"/>
                <w:szCs w:val="18"/>
              </w:rPr>
              <w:t xml:space="preserve">HAI</w:t>
            </w:r>
          </w:p>
        </w:tc>
        <w:tc>
          <w:tcPr>
            <w:tcBorders>
              <w:bottom w:val="single" w:sz="8" w:space="0" w:color="auto"/>
            </w:tcBorders>
            <w:vAlign w:val="center"/>
          </w:tcPr>
          <w:p>
            <w:pPr>
              <w:pStyle w:val="Compact"/>
              <w:suppressAutoHyphens/>
              <w:jc w:val="center"/>
            </w:pPr>
            <w:r>
              <w:rPr>
                <w:b/>
                <w:sz w:val="18"/>
                <w:szCs w:val="18"/>
              </w:rPr>
              <w:t xml:space="preserve">SWaT</w:t>
            </w:r>
          </w:p>
        </w:tc>
      </w:tr>
      <w:tr>
        <w:tc>
          <w:tcPr>
            <w:gridSpan w:val="4"/>
            <w:vAlign w:val="center"/>
          </w:tcPr>
          <w:p>
            <w:pPr>
              <w:pStyle w:val="Compact"/>
              <w:suppressAutoHyphens/>
              <w:jc w:val="center"/>
            </w:pPr>
            <w:r>
              <w:rPr>
                <w:b/>
                <w:bCs/>
                <w:sz w:val="18"/>
                <w:szCs w:val="18"/>
              </w:rPr>
              <w:t xml:space="preserve">Factorization (density-estimation axis)</w:t>
            </w:r>
          </w:p>
        </w:tc>
      </w:tr>
      <w:tr>
        <w:tc>
          <w:tcPr>
            <w:vAlign w:val="center"/>
          </w:tcPr>
          <w:p>
            <w:pPr>
              <w:pStyle w:val="Compact"/>
              <w:suppressAutoHyphens/>
              <w:jc w:val="center"/>
            </w:pPr>
            <w:r>
              <w:rPr>
                <w:sz w:val="18"/>
                <w:szCs w:val="18"/>
                <w:highlight w:val="green"/>
              </w:rPr>
              <w:t xml:space="preserve"> LatAD (global density), no factorization </w:t>
            </w:r>
          </w:p>
        </w:tc>
        <w:tc>
          <w:tcPr>
            <w:vAlign w:val="center"/>
          </w:tcPr>
          <w:p>
            <w:pPr>
              <w:pStyle w:val="Compact"/>
              <w:suppressAutoHyphens/>
              <w:jc w:val="center"/>
            </w:pPr>
            <w:r>
              <w:rPr>
                <w:sz w:val="18"/>
                <w:szCs w:val="18"/>
                <w:highlight w:val="green"/>
              </w:rPr>
              <w:t xml:space="preserve"> 0.634 </w:t>
            </w:r>
          </w:p>
        </w:tc>
        <w:tc>
          <w:tcPr>
            <w:vAlign w:val="center"/>
          </w:tcPr>
          <w:p>
            <w:pPr>
              <w:pStyle w:val="Compact"/>
              <w:suppressAutoHyphens/>
              <w:jc w:val="center"/>
            </w:pPr>
            <w:r>
              <w:rPr>
                <w:sz w:val="18"/>
                <w:szCs w:val="18"/>
                <w:highlight w:val="green"/>
              </w:rPr>
              <w:t xml:space="preserve"> 0.811 </w:t>
            </w:r>
          </w:p>
        </w:tc>
        <w:tc>
          <w:tcPr>
            <w:vAlign w:val="center"/>
          </w:tcPr>
          <w:p>
            <w:pPr>
              <w:pStyle w:val="Compact"/>
              <w:suppressAutoHyphens/>
              <w:jc w:val="center"/>
            </w:pPr>
            <w:r>
              <w:rPr>
                <w:sz w:val="18"/>
                <w:szCs w:val="18"/>
                <w:highlight w:val="green"/>
              </w:rPr>
              <w:t xml:space="preserve"> 0.804 </w:t>
            </w:r>
          </w:p>
        </w:tc>
      </w:tr>
      <w:tr>
        <w:tc>
          <w:tcPr>
            <w:vAlign w:val="center"/>
          </w:tcPr>
          <w:p>
            <w:pPr>
              <w:pStyle w:val="Compact"/>
              <w:suppressAutoHyphens/>
              <w:jc w:val="center"/>
            </w:pPr>
            <w:r>
              <w:rPr>
                <w:sz w:val="18"/>
                <w:szCs w:val="18"/>
                <w:highlight w:val="green"/>
              </w:rPr>
              <w:t xml:space="preserve"> LatAD (regime-community), cohesion-weighted HC, no whole-plant-expert fusion </w:t>
            </w:r>
          </w:p>
        </w:tc>
        <w:tc>
          <w:tcPr>
            <w:vAlign w:val="center"/>
          </w:tcPr>
          <w:p>
            <w:pPr>
              <w:pStyle w:val="Compact"/>
              <w:suppressAutoHyphens/>
              <w:jc w:val="center"/>
            </w:pPr>
            <w:r>
              <w:rPr>
                <w:sz w:val="18"/>
                <w:szCs w:val="18"/>
                <w:highlight w:val="green"/>
              </w:rPr>
              <w:t xml:space="preserve"> 0.795 </w:t>
            </w:r>
          </w:p>
        </w:tc>
        <w:tc>
          <w:tcPr>
            <w:vAlign w:val="center"/>
          </w:tcPr>
          <w:p>
            <w:pPr>
              <w:pStyle w:val="Compact"/>
              <w:suppressAutoHyphens/>
              <w:jc w:val="center"/>
            </w:pPr>
            <w:r>
              <w:rPr>
                <w:sz w:val="18"/>
                <w:szCs w:val="18"/>
                <w:highlight w:val="green"/>
              </w:rPr>
              <w:t xml:space="preserve"> 0.801 </w:t>
            </w:r>
          </w:p>
        </w:tc>
        <w:tc>
          <w:tcPr>
            <w:vAlign w:val="center"/>
          </w:tcPr>
          <w:p>
            <w:pPr>
              <w:pStyle w:val="Compact"/>
              <w:suppressAutoHyphens/>
              <w:jc w:val="center"/>
            </w:pPr>
            <w:r>
              <w:rPr>
                <w:sz w:val="18"/>
                <w:szCs w:val="18"/>
                <w:highlight w:val="green"/>
              </w:rPr>
              <w:t xml:space="preserve"> 0.822 </w:t>
            </w:r>
          </w:p>
        </w:tc>
      </w:tr>
      <w:tr>
        <w:tc>
          <w:tcPr>
            <w:vAlign w:val="center"/>
          </w:tcPr>
          <w:p>
            <w:pPr>
              <w:pStyle w:val="Compact"/>
              <w:suppressAutoHyphens/>
              <w:jc w:val="center"/>
            </w:pPr>
            <w:r>
              <w:rPr>
                <w:sz w:val="18"/>
                <w:szCs w:val="18"/>
                <w:highlight w:val="green"/>
              </w:rPr>
              <w:t xml:space="preserve"> </w:t>
            </w:r>
            <w:r>
              <w:rPr>
                <w:b/>
                <w:bCs/>
                <w:sz w:val="18"/>
                <w:szCs w:val="18"/>
                <w:highlight w:val="green"/>
              </w:rPr>
              <w:t xml:space="preserve">LatAD (regime-community), cohesion-weighted HC + whole-plant expert (headline)</w:t>
            </w:r>
            <w:r>
              <w:rPr>
                <w:sz w:val="18"/>
                <w:szCs w:val="18"/>
                <w:highlight w:val="green"/>
              </w:rPr>
              <w:t xml:space="preserve"> </w:t>
            </w:r>
          </w:p>
        </w:tc>
        <w:tc>
          <w:tcPr>
            <w:vAlign w:val="center"/>
          </w:tcPr>
          <w:p>
            <w:pPr>
              <w:pStyle w:val="Compact"/>
              <w:suppressAutoHyphens/>
              <w:jc w:val="center"/>
            </w:pPr>
            <w:r>
              <w:rPr>
                <w:sz w:val="18"/>
                <w:szCs w:val="18"/>
                <w:highlight w:val="green"/>
              </w:rPr>
              <w:t xml:space="preserve"> 0.771 </w:t>
            </w:r>
          </w:p>
        </w:tc>
        <w:tc>
          <w:tcPr>
            <w:vAlign w:val="center"/>
          </w:tcPr>
          <w:p>
            <w:pPr>
              <w:pStyle w:val="Compact"/>
              <w:suppressAutoHyphens/>
              <w:jc w:val="center"/>
            </w:pPr>
            <w:r>
              <w:rPr>
                <w:sz w:val="18"/>
                <w:szCs w:val="18"/>
                <w:highlight w:val="green"/>
              </w:rPr>
              <w:t xml:space="preserve"> 0.845 </w:t>
            </w:r>
          </w:p>
        </w:tc>
        <w:tc>
          <w:tcPr>
            <w:vAlign w:val="center"/>
          </w:tcPr>
          <w:p>
            <w:pPr>
              <w:pStyle w:val="Compact"/>
              <w:suppressAutoHyphens/>
              <w:jc w:val="center"/>
            </w:pPr>
            <w:r>
              <w:rPr>
                <w:sz w:val="18"/>
                <w:szCs w:val="18"/>
                <w:highlight w:val="green"/>
              </w:rPr>
              <w:t xml:space="preserve"> 0.837 </w:t>
            </w:r>
          </w:p>
        </w:tc>
      </w:tr>
      <w:tr>
        <w:tc>
          <w:tcPr>
            <w:gridSpan w:val="4"/>
            <w:vAlign w:val="center"/>
          </w:tcPr>
          <w:p>
            <w:pPr>
              <w:pStyle w:val="Compact"/>
              <w:suppressAutoHyphens/>
              <w:jc w:val="center"/>
            </w:pPr>
            <w:r>
              <w:rPr>
                <w:b/>
                <w:bCs/>
                <w:sz w:val="18"/>
                <w:szCs w:val="18"/>
              </w:rPr>
              <w:t xml:space="preserve">Aggregation (over full-stack experts)</w:t>
            </w:r>
          </w:p>
        </w:tc>
      </w:tr>
      <w:tr>
        <w:tc>
          <w:tcPr>
            <w:vAlign w:val="center"/>
          </w:tcPr>
          <w:p>
            <w:pPr>
              <w:pStyle w:val="Compact"/>
              <w:suppressAutoHyphens/>
              <w:jc w:val="center"/>
            </w:pPr>
            <w:r>
              <w:rPr>
                <w:sz w:val="18"/>
                <w:szCs w:val="18"/>
                <w:highlight w:val="green"/>
              </w:rPr>
              <w:t xml:space="preserve"> sum (of community surprises) </w:t>
            </w:r>
          </w:p>
        </w:tc>
        <w:tc>
          <w:tcPr>
            <w:vAlign w:val="center"/>
          </w:tcPr>
          <w:p>
            <w:pPr>
              <w:pStyle w:val="Compact"/>
              <w:suppressAutoHyphens/>
              <w:jc w:val="center"/>
            </w:pPr>
            <w:r>
              <w:rPr>
                <w:sz w:val="18"/>
                <w:szCs w:val="18"/>
                <w:highlight w:val="green"/>
              </w:rPr>
              <w:t xml:space="preserve"> 0.698 </w:t>
            </w:r>
          </w:p>
        </w:tc>
        <w:tc>
          <w:tcPr>
            <w:vAlign w:val="center"/>
          </w:tcPr>
          <w:p>
            <w:pPr>
              <w:pStyle w:val="Compact"/>
              <w:suppressAutoHyphens/>
              <w:jc w:val="center"/>
            </w:pPr>
            <w:r>
              <w:rPr>
                <w:sz w:val="18"/>
                <w:szCs w:val="18"/>
                <w:highlight w:val="green"/>
              </w:rPr>
              <w:t xml:space="preserve"> 0.827 </w:t>
            </w:r>
          </w:p>
        </w:tc>
        <w:tc>
          <w:tcPr>
            <w:vAlign w:val="center"/>
          </w:tcPr>
          <w:p>
            <w:pPr>
              <w:pStyle w:val="Compact"/>
              <w:suppressAutoHyphens/>
              <w:jc w:val="center"/>
            </w:pPr>
            <w:r>
              <w:rPr>
                <w:sz w:val="18"/>
                <w:szCs w:val="18"/>
                <w:highlight w:val="green"/>
              </w:rPr>
              <w:t xml:space="preserve"> 0.805 </w:t>
            </w:r>
          </w:p>
        </w:tc>
      </w:tr>
      <w:tr>
        <w:tc>
          <w:tcPr>
            <w:vAlign w:val="center"/>
          </w:tcPr>
          <w:p>
            <w:pPr>
              <w:pStyle w:val="Compact"/>
              <w:suppressAutoHyphens/>
              <w:jc w:val="center"/>
            </w:pPr>
            <w:r>
              <w:rPr>
                <w:sz w:val="18"/>
                <w:szCs w:val="18"/>
                <w:highlight w:val="green"/>
              </w:rPr>
              <w:t xml:space="preserve"> max (most-surprised community) </w:t>
            </w:r>
          </w:p>
        </w:tc>
        <w:tc>
          <w:tcPr>
            <w:vAlign w:val="center"/>
          </w:tcPr>
          <w:p>
            <w:pPr>
              <w:pStyle w:val="Compact"/>
              <w:suppressAutoHyphens/>
              <w:jc w:val="center"/>
            </w:pPr>
            <w:r>
              <w:rPr>
                <w:sz w:val="18"/>
                <w:szCs w:val="18"/>
                <w:highlight w:val="green"/>
              </w:rPr>
              <w:t xml:space="preserve"> 0.712 </w:t>
            </w:r>
          </w:p>
        </w:tc>
        <w:tc>
          <w:tcPr>
            <w:vAlign w:val="center"/>
          </w:tcPr>
          <w:p>
            <w:pPr>
              <w:pStyle w:val="Compact"/>
              <w:suppressAutoHyphens/>
              <w:jc w:val="center"/>
            </w:pPr>
            <w:r>
              <w:rPr>
                <w:sz w:val="18"/>
                <w:szCs w:val="18"/>
                <w:highlight w:val="green"/>
              </w:rPr>
              <w:t xml:space="preserve"> 0.809 </w:t>
            </w:r>
          </w:p>
        </w:tc>
        <w:tc>
          <w:tcPr>
            <w:vAlign w:val="center"/>
          </w:tcPr>
          <w:p>
            <w:pPr>
              <w:pStyle w:val="Compact"/>
              <w:suppressAutoHyphens/>
              <w:jc w:val="center"/>
            </w:pPr>
            <w:r>
              <w:rPr>
                <w:sz w:val="18"/>
                <w:szCs w:val="18"/>
                <w:highlight w:val="green"/>
              </w:rPr>
              <w:t xml:space="preserve"> 0.804 </w:t>
            </w:r>
          </w:p>
        </w:tc>
      </w:tr>
      <w:tr>
        <w:tc>
          <w:tcPr>
            <w:vAlign w:val="center"/>
          </w:tcPr>
          <w:p>
            <w:pPr>
              <w:pStyle w:val="Compact"/>
              <w:suppressAutoHyphens/>
              <w:jc w:val="center"/>
            </w:pPr>
            <w:r>
              <w:rPr>
                <w:sz w:val="18"/>
                <w:szCs w:val="18"/>
                <w:highlight w:val="green"/>
              </w:rPr>
              <w:t xml:space="preserve"> Higher Criticism (unweighted) </w:t>
            </w:r>
          </w:p>
        </w:tc>
        <w:tc>
          <w:tcPr>
            <w:vAlign w:val="center"/>
          </w:tcPr>
          <w:p>
            <w:pPr>
              <w:pStyle w:val="Compact"/>
              <w:suppressAutoHyphens/>
              <w:jc w:val="center"/>
            </w:pPr>
            <w:r>
              <w:rPr>
                <w:sz w:val="18"/>
                <w:szCs w:val="18"/>
                <w:highlight w:val="green"/>
              </w:rPr>
              <w:t xml:space="preserve"> 0.760 </w:t>
            </w:r>
          </w:p>
        </w:tc>
        <w:tc>
          <w:tcPr>
            <w:vAlign w:val="center"/>
          </w:tcPr>
          <w:p>
            <w:pPr>
              <w:pStyle w:val="Compact"/>
              <w:suppressAutoHyphens/>
              <w:jc w:val="center"/>
            </w:pPr>
            <w:r>
              <w:rPr>
                <w:sz w:val="18"/>
                <w:szCs w:val="18"/>
                <w:highlight w:val="green"/>
              </w:rPr>
              <w:t xml:space="preserve"> 0.793 </w:t>
            </w:r>
          </w:p>
        </w:tc>
        <w:tc>
          <w:tcPr>
            <w:vAlign w:val="center"/>
          </w:tcPr>
          <w:p>
            <w:pPr>
              <w:pStyle w:val="Compact"/>
              <w:suppressAutoHyphens/>
              <w:jc w:val="center"/>
            </w:pPr>
            <w:r>
              <w:rPr>
                <w:sz w:val="18"/>
                <w:szCs w:val="18"/>
                <w:highlight w:val="green"/>
              </w:rPr>
              <w:t xml:space="preserve"> 0.826 </w:t>
            </w:r>
          </w:p>
        </w:tc>
      </w:tr>
      <w:tr>
        <w:tc>
          <w:tcPr>
            <w:vAlign w:val="center"/>
          </w:tcPr>
          <w:p>
            <w:pPr>
              <w:pStyle w:val="Compact"/>
              <w:suppressAutoHyphens/>
              <w:jc w:val="center"/>
            </w:pPr>
            <w:r>
              <w:rPr>
                <w:sz w:val="18"/>
                <w:szCs w:val="18"/>
                <w:highlight w:val="green"/>
              </w:rPr>
              <w:t xml:space="preserve"> </w:t>
            </w:r>
            <w:r>
              <w:rPr>
                <w:b/>
                <w:bCs/>
                <w:sz w:val="18"/>
                <w:szCs w:val="18"/>
                <w:highlight w:val="green"/>
              </w:rPr>
              <w:t xml:space="preserve">cohesion-weighted Higher Criticism (headline)</w:t>
            </w:r>
            <w:r>
              <w:rPr>
                <w:sz w:val="18"/>
                <w:szCs w:val="18"/>
                <w:highlight w:val="green"/>
              </w:rPr>
              <w:t xml:space="preserve"> </w:t>
            </w:r>
          </w:p>
        </w:tc>
        <w:tc>
          <w:tcPr>
            <w:vAlign w:val="center"/>
          </w:tcPr>
          <w:p>
            <w:pPr>
              <w:pStyle w:val="Compact"/>
              <w:suppressAutoHyphens/>
              <w:jc w:val="center"/>
            </w:pPr>
            <w:r>
              <w:rPr>
                <w:sz w:val="18"/>
                <w:szCs w:val="18"/>
                <w:highlight w:val="green"/>
              </w:rPr>
              <w:t xml:space="preserve"> 0.771 </w:t>
            </w:r>
          </w:p>
        </w:tc>
        <w:tc>
          <w:tcPr>
            <w:vAlign w:val="center"/>
          </w:tcPr>
          <w:p>
            <w:pPr>
              <w:pStyle w:val="Compact"/>
              <w:suppressAutoHyphens/>
              <w:jc w:val="center"/>
            </w:pPr>
            <w:r>
              <w:rPr>
                <w:sz w:val="18"/>
                <w:szCs w:val="18"/>
                <w:highlight w:val="green"/>
              </w:rPr>
              <w:t xml:space="preserve"> 0.845 </w:t>
            </w:r>
          </w:p>
        </w:tc>
        <w:tc>
          <w:tcPr>
            <w:vAlign w:val="center"/>
          </w:tcPr>
          <w:p>
            <w:pPr>
              <w:pStyle w:val="Compact"/>
              <w:suppressAutoHyphens/>
              <w:jc w:val="center"/>
            </w:pPr>
            <w:r>
              <w:rPr>
                <w:sz w:val="18"/>
                <w:szCs w:val="18"/>
                <w:highlight w:val="green"/>
              </w:rPr>
              <w:t xml:space="preserve"> 0.837 </w:t>
            </w:r>
          </w:p>
        </w:tc>
      </w:tr>
      <w:tr>
        <w:tc>
          <w:tcPr>
            <w:vAlign w:val="center"/>
          </w:tcPr>
          <w:p>
            <w:pPr>
              <w:pStyle w:val="Compact"/>
              <w:suppressAutoHyphens/>
              <w:jc w:val="center"/>
            </w:pPr>
            <w:r>
              <w:rPr>
                <w:sz w:val="18"/>
                <w:szCs w:val="18"/>
                <w:highlight w:val="green"/>
              </w:rPr>
              <w:t xml:space="preserve"> Higher Criticism with whole-plant expert, max-fused </w:t>
            </w:r>
          </w:p>
        </w:tc>
        <w:tc>
          <w:tcPr>
            <w:vAlign w:val="center"/>
          </w:tcPr>
          <w:p>
            <w:pPr>
              <w:pStyle w:val="Compact"/>
              <w:suppressAutoHyphens/>
              <w:jc w:val="center"/>
            </w:pPr>
            <w:r>
              <w:rPr>
                <w:sz w:val="18"/>
                <w:szCs w:val="18"/>
                <w:highlight w:val="green"/>
              </w:rPr>
              <w:t xml:space="preserve"> 0.749 </w:t>
            </w:r>
          </w:p>
        </w:tc>
        <w:tc>
          <w:tcPr>
            <w:vAlign w:val="center"/>
          </w:tcPr>
          <w:p>
            <w:pPr>
              <w:pStyle w:val="Compact"/>
              <w:suppressAutoHyphens/>
              <w:jc w:val="center"/>
            </w:pPr>
            <w:r>
              <w:rPr>
                <w:sz w:val="18"/>
                <w:szCs w:val="18"/>
                <w:highlight w:val="green"/>
              </w:rPr>
              <w:t xml:space="preserve"> 0.770 </w:t>
            </w:r>
          </w:p>
        </w:tc>
        <w:tc>
          <w:tcPr>
            <w:vAlign w:val="center"/>
          </w:tcPr>
          <w:p>
            <w:pPr>
              <w:pStyle w:val="Compact"/>
              <w:suppressAutoHyphens/>
              <w:jc w:val="center"/>
            </w:pPr>
            <w:r>
              <w:rPr>
                <w:sz w:val="18"/>
                <w:szCs w:val="18"/>
                <w:highlight w:val="green"/>
              </w:rPr>
              <w:t xml:space="preserve"> 0.811 </w:t>
            </w:r>
          </w:p>
        </w:tc>
      </w:tr>
    </w:tbl>
    <w:p>
      <w:pPr>
        <w:pStyle w:val="MDPI31text"/>
        <w:ind w:left="2608"/>
      </w:pPr>
      <w:r>
        <w:rPr>
          <w:highlight w:val="green"/>
        </w:rPr>
        <w:t xml:space="preserve">A second check on the representation axis asks whether the advantage comes from the six summary statistics per window</w:t>
      </w:r>
      <w:r>
        <w:rPr>
          <w:highlight w:val="green"/>
        </w:rPr>
        <w:t xml:space="preserve"> </w:t>
      </w:r>
      <w:r>
        <w:rPr>
          <w:highlight w:val="green"/>
        </w:rPr>
        <w:t xml:space="preserve">rather than from the latent-density mechanism. Table A2 re-runs the single-latent global-density detector with a</w:t>
      </w:r>
      <w:r>
        <w:rPr>
          <w:highlight w:val="green"/>
        </w:rPr>
        <w:t xml:space="preserve"> </w:t>
      </w:r>
      <w:r>
        <w:rPr>
          <w:highlight w:val="green"/>
        </w:rPr>
        <w:t xml:space="preserve">richer ten-feature temporal/spectral representation (adding within-window slope, velocity mean and standard deviation,</w:t>
      </w:r>
      <w:r>
        <w:rPr>
          <w:highlight w:val="green"/>
        </w:rPr>
        <w:t xml:space="preserve"> </w:t>
      </w:r>
      <w:r>
        <w:rPr>
          <w:highlight w:val="green"/>
        </w:rPr>
        <w:t xml:space="preserve">a spike measure, and low- and high-band spectral power) in place of the six statistics, at a fixed configuration and a</w:t>
      </w:r>
      <w:r>
        <w:rPr>
          <w:highlight w:val="green"/>
        </w:rPr>
        <w:t xml:space="preserve"> </w:t>
      </w:r>
      <w:r>
        <w:rPr>
          <w:highlight w:val="green"/>
        </w:rPr>
        <w:t xml:space="preserve">fixed difficulty mask so that only the representation changes; the detector stays a latent-density detector throughout,</w:t>
      </w:r>
      <w:r>
        <w:rPr>
          <w:highlight w:val="green"/>
        </w:rPr>
        <w:t xml:space="preserve"> </w:t>
      </w:r>
      <w:r>
        <w:rPr>
          <w:highlight w:val="green"/>
        </w:rPr>
        <w:t xml:space="preserve">which isolates the representation from the scoring mechanism. The richer representation is immaterial on WADI and</w:t>
      </w:r>
      <w:r>
        <w:rPr>
          <w:highlight w:val="green"/>
        </w:rPr>
        <w:t xml:space="preserve"> </w:t>
      </w:r>
      <w:r>
        <w:rPr>
          <w:highlight w:val="green"/>
        </w:rPr>
        <w:t xml:space="preserve">improves the global-density score on SWaT and HAI. In every case the method is the same latent-density model, so an</w:t>
      </w:r>
      <w:r>
        <w:rPr>
          <w:highlight w:val="green"/>
        </w:rPr>
        <w:t xml:space="preserve"> </w:t>
      </w:r>
      <w:r>
        <w:rPr>
          <w:highlight w:val="green"/>
        </w:rPr>
        <w:t xml:space="preserve">expanded within- or cross-window temporal representation is a complementary lever aligned with the multiscale-temporal</w:t>
      </w:r>
      <w:r>
        <w:rPr>
          <w:highlight w:val="green"/>
        </w:rPr>
        <w:t xml:space="preserve"> </w:t>
      </w:r>
      <w:r>
        <w:rPr>
          <w:highlight w:val="green"/>
        </w:rPr>
        <w:t xml:space="preserve">direction A9, not the source of the reported advantage; its integration is left to future work.</w:t>
      </w:r>
    </w:p>
    <w:p>
      <w:pPr>
        <w:pStyle w:val="MDPI41tablecaption"/>
        <w:ind w:left="2608"/>
      </w:pPr>
      <w:r>
        <w:rPr>
          <w:b/>
          <w:bCs/>
        </w:rPr>
        <w:t xml:space="preserve">Table A2.</w:t>
      </w:r>
      <w:r>
        <w:rPr>
          <w:highlight w:val="green"/>
        </w:rPr>
        <w:t xml:space="preserve"> Feature-representation check, difficult-subset AUROC of the single-latent</w:t>
      </w:r>
      <w:r>
        <w:rPr>
          <w:highlight w:val="green"/>
        </w:rPr>
        <w:t xml:space="preserve"> </w:t>
      </w:r>
      <w:r>
        <w:rPr>
          <w:highlight w:val="green"/>
        </w:rPr>
        <w:t xml:space="preserve">global-density detector under the six summary statistics per window versus a ten-feature temporal/spectral set, at a</w:t>
      </w:r>
      <w:r>
        <w:rPr>
          <w:highlight w:val="green"/>
        </w:rPr>
        <w:t xml:space="preserve"> </w:t>
      </w:r>
      <w:r>
        <w:rPr>
          <w:highlight w:val="green"/>
        </w:rPr>
        <w:t xml:space="preserve">fixed configuration and difficulty mask (five-seed mean±standard deviation). This is a self-contained within-harness</w:t>
      </w:r>
      <w:r>
        <w:rPr>
          <w:highlight w:val="green"/>
        </w:rPr>
        <w:t xml:space="preserve"> </w:t>
      </w:r>
      <w:r>
        <w:rPr>
          <w:highlight w:val="green"/>
        </w:rPr>
        <w:t xml:space="preserve">comparison isolating the representation axis; the absolute values use a reduced global-density configuration and are not</w:t>
      </w:r>
      <w:r>
        <w:rPr>
          <w:highlight w:val="green"/>
        </w:rPr>
        <w:t xml:space="preserve"> </w:t>
      </w:r>
      <w:r>
        <w:rPr>
          <w:highlight w:val="green"/>
        </w:rPr>
        <w:t xml:space="preserve">the headline numbers of Tables 3–5.</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2557"/>
        <w:gridCol w:w="1766"/>
        <w:gridCol w:w="1766"/>
        <w:gridCol w:w="1769"/>
      </w:tblGrid>
      <w:tr>
        <w:trPr>
          <w:tblHeader w:val="on"/>
        </w:trPr>
        <w:tc>
          <w:tcPr>
            <w:tcBorders>
              <w:bottom w:val="single" w:sz="8" w:space="0" w:color="auto"/>
            </w:tcBorders>
            <w:vAlign w:val="center"/>
          </w:tcPr>
          <w:p>
            <w:pPr>
              <w:pStyle w:val="Compact"/>
              <w:suppressAutoHyphens/>
              <w:jc w:val="center"/>
            </w:pPr>
            <w:r>
              <w:rPr>
                <w:b/>
                <w:sz w:val="18"/>
                <w:szCs w:val="18"/>
                <w:highlight w:val="green"/>
              </w:rPr>
              <w:t xml:space="preserve"> Representation </w:t>
            </w:r>
          </w:p>
        </w:tc>
        <w:tc>
          <w:tcPr>
            <w:tcBorders>
              <w:bottom w:val="single" w:sz="8" w:space="0" w:color="auto"/>
            </w:tcBorders>
            <w:vAlign w:val="center"/>
          </w:tcPr>
          <w:p>
            <w:pPr>
              <w:pStyle w:val="Compact"/>
              <w:suppressAutoHyphens/>
              <w:jc w:val="center"/>
            </w:pPr>
            <w:r>
              <w:rPr>
                <w:b/>
                <w:sz w:val="18"/>
                <w:szCs w:val="18"/>
                <w:highlight w:val="green"/>
              </w:rPr>
              <w:t xml:space="preserve"> WADI </w:t>
            </w:r>
          </w:p>
        </w:tc>
        <w:tc>
          <w:tcPr>
            <w:tcBorders>
              <w:bottom w:val="single" w:sz="8" w:space="0" w:color="auto"/>
            </w:tcBorders>
            <w:vAlign w:val="center"/>
          </w:tcPr>
          <w:p>
            <w:pPr>
              <w:pStyle w:val="Compact"/>
              <w:suppressAutoHyphens/>
              <w:jc w:val="center"/>
            </w:pPr>
            <w:r>
              <w:rPr>
                <w:b/>
                <w:sz w:val="18"/>
                <w:szCs w:val="18"/>
                <w:highlight w:val="green"/>
              </w:rPr>
              <w:t xml:space="preserve"> HAI </w:t>
            </w:r>
          </w:p>
        </w:tc>
        <w:tc>
          <w:tcPr>
            <w:tcBorders>
              <w:bottom w:val="single" w:sz="8" w:space="0" w:color="auto"/>
            </w:tcBorders>
            <w:vAlign w:val="center"/>
          </w:tcPr>
          <w:p>
            <w:pPr>
              <w:pStyle w:val="Compact"/>
              <w:suppressAutoHyphens/>
              <w:jc w:val="center"/>
            </w:pPr>
            <w:r>
              <w:rPr>
                <w:b/>
                <w:sz w:val="18"/>
                <w:szCs w:val="18"/>
                <w:highlight w:val="green"/>
              </w:rPr>
              <w:t xml:space="preserve"> SWaT </w:t>
            </w:r>
          </w:p>
        </w:tc>
      </w:tr>
      <w:tr>
        <w:tc>
          <w:tcPr>
            <w:vAlign w:val="center"/>
          </w:tcPr>
          <w:p>
            <w:pPr>
              <w:pStyle w:val="Compact"/>
              <w:suppressAutoHyphens/>
              <w:jc w:val="center"/>
            </w:pPr>
            <w:r>
              <w:rPr>
                <w:sz w:val="18"/>
                <w:szCs w:val="18"/>
                <w:highlight w:val="green"/>
              </w:rPr>
              <w:t xml:space="preserve"> six summary statistics (used by LatAD) </w:t>
            </w:r>
          </w:p>
        </w:tc>
        <w:tc>
          <w:tcPr>
            <w:vAlign w:val="center"/>
          </w:tcPr>
          <w:p>
            <w:pPr>
              <w:pStyle w:val="Compact"/>
              <w:suppressAutoHyphens/>
              <w:jc w:val="center"/>
            </w:pPr>
            <w:r>
              <w:rPr>
                <w:sz w:val="18"/>
                <w:szCs w:val="18"/>
                <w:highlight w:val="green"/>
              </w:rPr>
              <w:t xml:space="preserve"> 0.634±0.011 </w:t>
            </w:r>
          </w:p>
        </w:tc>
        <w:tc>
          <w:tcPr>
            <w:vAlign w:val="center"/>
          </w:tcPr>
          <w:p>
            <w:pPr>
              <w:pStyle w:val="Compact"/>
              <w:suppressAutoHyphens/>
              <w:jc w:val="center"/>
            </w:pPr>
            <w:r>
              <w:rPr>
                <w:sz w:val="18"/>
                <w:szCs w:val="18"/>
                <w:highlight w:val="green"/>
              </w:rPr>
              <w:t xml:space="preserve"> 0.743±0.011 </w:t>
            </w:r>
          </w:p>
        </w:tc>
        <w:tc>
          <w:tcPr>
            <w:vAlign w:val="center"/>
          </w:tcPr>
          <w:p>
            <w:pPr>
              <w:pStyle w:val="Compact"/>
              <w:suppressAutoHyphens/>
              <w:jc w:val="center"/>
            </w:pPr>
            <w:r>
              <w:rPr>
                <w:sz w:val="18"/>
                <w:szCs w:val="18"/>
                <w:highlight w:val="green"/>
              </w:rPr>
              <w:t xml:space="preserve"> 0.750±0.014 </w:t>
            </w:r>
          </w:p>
        </w:tc>
      </w:tr>
      <w:tr>
        <w:tc>
          <w:tcPr>
            <w:vAlign w:val="center"/>
          </w:tcPr>
          <w:p>
            <w:pPr>
              <w:pStyle w:val="Compact"/>
              <w:suppressAutoHyphens/>
              <w:jc w:val="center"/>
            </w:pPr>
            <w:r>
              <w:rPr>
                <w:sz w:val="18"/>
                <w:szCs w:val="18"/>
                <w:highlight w:val="green"/>
              </w:rPr>
              <w:t xml:space="preserve"> ten-feature temporal/spectral </w:t>
            </w:r>
          </w:p>
        </w:tc>
        <w:tc>
          <w:tcPr>
            <w:vAlign w:val="center"/>
          </w:tcPr>
          <w:p>
            <w:pPr>
              <w:pStyle w:val="Compact"/>
              <w:suppressAutoHyphens/>
              <w:jc w:val="center"/>
            </w:pPr>
            <w:r>
              <w:rPr>
                <w:sz w:val="18"/>
                <w:szCs w:val="18"/>
                <w:highlight w:val="green"/>
              </w:rPr>
              <w:t xml:space="preserve"> 0.626±0.017 </w:t>
            </w:r>
          </w:p>
        </w:tc>
        <w:tc>
          <w:tcPr>
            <w:vAlign w:val="center"/>
          </w:tcPr>
          <w:p>
            <w:pPr>
              <w:pStyle w:val="Compact"/>
              <w:suppressAutoHyphens/>
              <w:jc w:val="center"/>
            </w:pPr>
            <w:r>
              <w:rPr>
                <w:sz w:val="18"/>
                <w:szCs w:val="18"/>
                <w:highlight w:val="green"/>
              </w:rPr>
              <w:t xml:space="preserve"> 0.814±0.007 </w:t>
            </w:r>
          </w:p>
        </w:tc>
        <w:tc>
          <w:tcPr>
            <w:vAlign w:val="center"/>
          </w:tcPr>
          <w:p>
            <w:pPr>
              <w:pStyle w:val="Compact"/>
              <w:suppressAutoHyphens/>
              <w:jc w:val="center"/>
            </w:pPr>
            <w:r>
              <w:rPr>
                <w:sz w:val="18"/>
                <w:szCs w:val="18"/>
                <w:highlight w:val="green"/>
              </w:rPr>
              <w:t xml:space="preserve"> 0.776±0.007 </w:t>
            </w:r>
          </w:p>
        </w:tc>
      </w:tr>
      <w:tr>
        <w:tc>
          <w:tcPr>
            <w:vAlign w:val="center"/>
          </w:tcPr>
          <w:p>
            <w:pPr>
              <w:pStyle w:val="Compact"/>
              <w:suppressAutoHyphens/>
              <w:jc w:val="center"/>
            </w:pPr>
            <w:r>
              <w:rPr>
                <w:sz w:val="18"/>
                <w:szCs w:val="18"/>
                <w:highlight w:val="green"/>
              </w:rPr>
              <w:t xml:space="preserve"> temporal − statistics </w:t>
            </w:r>
          </w:p>
        </w:tc>
        <w:tc>
          <w:tcPr>
            <w:vAlign w:val="center"/>
          </w:tcPr>
          <w:p>
            <w:pPr>
              <w:pStyle w:val="Compact"/>
              <w:suppressAutoHyphens/>
              <w:jc w:val="center"/>
            </w:pPr>
            <w:r>
              <w:rPr>
                <w:sz w:val="18"/>
                <w:szCs w:val="18"/>
                <w:highlight w:val="green"/>
              </w:rPr>
              <w:t xml:space="preserve"> −0.009 </w:t>
            </w:r>
          </w:p>
        </w:tc>
        <w:tc>
          <w:tcPr>
            <w:vAlign w:val="center"/>
          </w:tcPr>
          <w:p>
            <w:pPr>
              <w:pStyle w:val="Compact"/>
              <w:suppressAutoHyphens/>
              <w:jc w:val="center"/>
            </w:pPr>
            <w:r>
              <w:rPr>
                <w:sz w:val="18"/>
                <w:szCs w:val="18"/>
                <w:highlight w:val="green"/>
              </w:rPr>
              <w:t xml:space="preserve"> +0.072 </w:t>
            </w:r>
          </w:p>
        </w:tc>
        <w:tc>
          <w:tcPr>
            <w:vAlign w:val="center"/>
          </w:tcPr>
          <w:p>
            <w:pPr>
              <w:pStyle w:val="Compact"/>
              <w:suppressAutoHyphens/>
              <w:jc w:val="center"/>
            </w:pPr>
            <w:r>
              <w:rPr>
                <w:sz w:val="18"/>
                <w:szCs w:val="18"/>
                <w:highlight w:val="green"/>
              </w:rPr>
              <w:t xml:space="preserve"> +0.026 </w:t>
            </w:r>
          </w:p>
        </w:tc>
      </w:tr>
    </w:tbl>
    <w:p>
      <w:pPr>
        <w:pStyle w:val="MDPI21heading1"/>
        <w:ind w:left="2608"/>
      </w:pPr>
      <w:r>
        <w:rPr>
          <w:highlight w:val="green"/>
        </w:rPr>
        <w:t xml:space="preserve">Appendix B. Computational cost</w:t>
      </w:r>
    </w:p>
    <w:p>
      <w:pPr>
        <w:pStyle w:val="MDPI32textnoindent"/>
        <w:ind w:left="2608"/>
      </w:pPr>
      <w:r>
        <w:rPr>
          <w:highlight w:val="green"/>
        </w:rPr>
        <w:t xml:space="preserve">Table B1 reports training wall-clock and per-window inference latency for LatAD and the deep baselines,</w:t>
      </w:r>
      <w:r>
        <w:rPr>
          <w:highlight w:val="green"/>
        </w:rPr>
        <w:t xml:space="preserve"> </w:t>
      </w:r>
      <w:r>
        <w:rPr>
          <w:highlight w:val="green"/>
        </w:rPr>
        <w:t xml:space="preserve">benchmarked on one Modal A10G GPU (24 GB) plus a Modal 8-vCPU CPU edge proxy, the same hardware for every method. In training, LatAD-global fits in 3.2, 16, and 3.5 s on</w:t>
      </w:r>
      <w:r>
        <w:rPr>
          <w:highlight w:val="green"/>
        </w:rPr>
        <w:t xml:space="preserve"> </w:t>
      </w:r>
      <w:r>
        <w:rPr>
          <w:highlight w:val="green"/>
        </w:rPr>
        <w:t xml:space="preserve">WADI, HAI, and SWaT, against 231, 898, and 163 s for TranAD and 96, 592, and 95 s for USAD, so LatAD trains roughly</w:t>
      </w:r>
      <w:r>
        <w:rPr>
          <w:highlight w:val="green"/>
        </w:rPr>
        <w:t xml:space="preserve"> </w:t>
      </w:r>
      <w:r>
        <w:rPr>
          <w:highlight w:val="green"/>
        </w:rPr>
        <w:t xml:space="preserve">47 to 72 times faster than TranAD. Per-window GPU latency is 0.7 to 13 ms for the global model and 17 to 32 ms per</w:t>
      </w:r>
      <w:r>
        <w:rPr>
          <w:highlight w:val="green"/>
        </w:rPr>
        <w:t xml:space="preserve"> </w:t>
      </w:r>
      <w:r>
        <w:rPr>
          <w:highlight w:val="green"/>
        </w:rPr>
        <w:t xml:space="preserve">window (batch 1; up to about 52 ms at batch 256) for the full regime-community stack, against 0.15 ms for a plain</w:t>
      </w:r>
      <w:r>
        <w:rPr>
          <w:highlight w:val="green"/>
        </w:rPr>
        <w:t xml:space="preserve"> </w:t>
      </w:r>
      <w:r>
        <w:rPr>
          <w:highlight w:val="green"/>
        </w:rPr>
        <w:t xml:space="preserve">autoencoder; a CPU edge proxy scores a window in 0.6 to 14.6 ms (global) and 14.5 to 25 ms (community). The models</w:t>
      </w:r>
      <w:r>
        <w:rPr>
          <w:highlight w:val="green"/>
        </w:rPr>
        <w:t xml:space="preserve"> </w:t>
      </w:r>
      <w:r>
        <w:rPr>
          <w:highlight w:val="green"/>
        </w:rPr>
        <w:t xml:space="preserve">are small (100 to 209 k parameters global, 0.78 to 1.25 M community) and run within about 3.5 to 3.9 GB of host</w:t>
      </w:r>
      <w:r>
        <w:rPr>
          <w:highlight w:val="green"/>
        </w:rPr>
        <w:t xml:space="preserve"> </w:t>
      </w:r>
      <w:r>
        <w:rPr>
          <w:highlight w:val="green"/>
        </w:rPr>
        <w:t xml:space="preserve">memory and tens of MB of GPU memory (Table B1, peak 20 to 29 MB for LatAD), placing both configurations inside gateway-class real-time budgets.</w:t>
      </w:r>
    </w:p>
    <w:p>
      <w:pPr>
        <w:pStyle w:val="MDPI41tablecaption"/>
        <w:ind w:left="2608"/>
      </w:pPr>
      <w:r>
        <w:rPr>
          <w:b/>
          <w:bCs/>
        </w:rPr>
        <w:t xml:space="preserve">Table B1.</w:t>
      </w:r>
      <w:r>
        <w:rPr>
          <w:highlight w:val="green"/>
        </w:rPr>
        <w:t xml:space="preserve"> Training and inference cost, per dataset (WADI / HAI / SWaT), measured on one Modal A10G GPU (24 GB) plus a Modal 8-vCPU CPU edge proxy (the same hardware for every method).</w:t>
      </w:r>
      <w:r>
        <w:rPr>
          <w:highlight w:val="green"/>
        </w:rPr>
        <w:t xml:space="preserve"> </w:t>
      </w:r>
      <w:r>
        <w:rPr>
          <w:i/>
          <w:iCs/>
          <w:highlight w:val="green"/>
        </w:rPr>
        <w:t xml:space="preserve">Train s</w:t>
      </w:r>
      <w:r>
        <w:rPr>
          <w:highlight w:val="green"/>
        </w:rPr>
        <w:t xml:space="preserve"> </w:t>
      </w:r>
      <w:r>
        <w:rPr>
          <w:highlight w:val="green"/>
        </w:rPr>
        <w:t xml:space="preserve">is training wall-clock;</w:t>
      </w:r>
      <w:r>
        <w:rPr>
          <w:highlight w:val="green"/>
        </w:rPr>
        <w:t xml:space="preserve"> </w:t>
      </w:r>
      <w:r>
        <w:rPr>
          <w:i/>
          <w:iCs/>
          <w:highlight w:val="green"/>
        </w:rPr>
        <w:t xml:space="preserve">ms/win</w:t>
      </w:r>
      <w:r>
        <w:rPr>
          <w:highlight w:val="green"/>
        </w:rPr>
        <w:t xml:space="preserve"> </w:t>
      </w:r>
      <w:r>
        <w:rPr>
          <w:highlight w:val="green"/>
        </w:rPr>
        <w:t xml:space="preserve">is per-window latency at batch 1;</w:t>
      </w:r>
      <w:r>
        <w:rPr>
          <w:highlight w:val="green"/>
        </w:rPr>
        <w:t xml:space="preserve"> </w:t>
      </w:r>
      <w:r>
        <w:rPr>
          <w:i/>
          <w:iCs/>
          <w:highlight w:val="green"/>
        </w:rPr>
        <w:t xml:space="preserve">Peak GPU MB</w:t>
      </w:r>
      <w:r>
        <w:rPr>
          <w:highlight w:val="green"/>
        </w:rPr>
        <w:t xml:space="preserve"> </w:t>
      </w:r>
      <w:r>
        <w:rPr>
          <w:highlight w:val="green"/>
        </w:rPr>
        <w:t xml:space="preserve">is the peak CUDA memory during inference.</w:t>
      </w:r>
      <w:r>
        <w:rPr>
          <w:highlight w:val="green"/>
        </w:rPr>
        <w:t xml:space="preserve"> </w:t>
      </w:r>
      <w:r>
        <w:rPr>
          <w:highlight w:val="green"/>
        </w:rPr>
        <w:t xml:space="preserve">LatAD-global trains 47–72× faster than TranAD; both LatAD configurations run within about 3.5–3.9 GB of host</w:t>
      </w:r>
      <w:r>
        <w:rPr>
          <w:highlight w:val="green"/>
        </w:rPr>
        <w:t xml:space="preserve"> </w:t>
      </w:r>
      <w:r>
        <w:rPr>
          <w:highlight w:val="green"/>
        </w:rPr>
        <w:t xml:space="preserve">memory and use tens of MB of GPU memory. Deep-baseline CPU-edge latency was not measured (–).</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435"/>
        <w:gridCol w:w="1294"/>
        <w:gridCol w:w="1266"/>
        <w:gridCol w:w="1273"/>
        <w:gridCol w:w="1280"/>
        <w:gridCol w:w="1310"/>
      </w:tblGrid>
      <w:tr>
        <w:trPr>
          <w:tblHeader w:val="on"/>
        </w:trPr>
        <w:tc>
          <w:tcPr>
            <w:tcBorders>
              <w:bottom w:val="single" w:sz="8" w:space="0" w:color="auto"/>
            </w:tcBorders>
            <w:vAlign w:val="center"/>
          </w:tcPr>
          <w:p>
            <w:pPr>
              <w:pStyle w:val="Compact"/>
              <w:suppressAutoHyphens/>
              <w:jc w:val="center"/>
            </w:pPr>
            <w:r>
              <w:rPr>
                <w:b/>
                <w:sz w:val="18"/>
                <w:szCs w:val="18"/>
                <w:highlight w:val="green"/>
              </w:rPr>
              <w:t xml:space="preserve"> Method </w:t>
            </w:r>
          </w:p>
        </w:tc>
        <w:tc>
          <w:tcPr>
            <w:tcBorders>
              <w:bottom w:val="single" w:sz="8" w:space="0" w:color="auto"/>
            </w:tcBorders>
            <w:vAlign w:val="center"/>
          </w:tcPr>
          <w:p>
            <w:pPr>
              <w:pStyle w:val="Compact"/>
              <w:suppressAutoHyphens/>
              <w:jc w:val="center"/>
            </w:pPr>
            <w:r>
              <w:rPr>
                <w:b/>
                <w:sz w:val="18"/>
                <w:szCs w:val="18"/>
                <w:highlight w:val="green"/>
              </w:rPr>
              <w:t xml:space="preserve"> Params (W/H/S) </w:t>
            </w:r>
          </w:p>
        </w:tc>
        <w:tc>
          <w:tcPr>
            <w:tcBorders>
              <w:bottom w:val="single" w:sz="8" w:space="0" w:color="auto"/>
            </w:tcBorders>
            <w:vAlign w:val="center"/>
          </w:tcPr>
          <w:p>
            <w:pPr>
              <w:pStyle w:val="Compact"/>
              <w:suppressAutoHyphens/>
              <w:jc w:val="center"/>
            </w:pPr>
            <w:r>
              <w:rPr>
                <w:b/>
                <w:sz w:val="18"/>
                <w:szCs w:val="18"/>
                <w:highlight w:val="green"/>
              </w:rPr>
              <w:t xml:space="preserve"> Train s (W/H/S) </w:t>
            </w:r>
          </w:p>
        </w:tc>
        <w:tc>
          <w:tcPr>
            <w:tcBorders>
              <w:bottom w:val="single" w:sz="8" w:space="0" w:color="auto"/>
            </w:tcBorders>
            <w:vAlign w:val="center"/>
          </w:tcPr>
          <w:p>
            <w:pPr>
              <w:pStyle w:val="Compact"/>
              <w:suppressAutoHyphens/>
              <w:jc w:val="center"/>
            </w:pPr>
            <w:r>
              <w:rPr>
                <w:b/>
                <w:sz w:val="18"/>
                <w:szCs w:val="18"/>
                <w:highlight w:val="green"/>
              </w:rPr>
              <w:t xml:space="preserve"> GPU ms/win (W/H/S) </w:t>
            </w:r>
          </w:p>
        </w:tc>
        <w:tc>
          <w:tcPr>
            <w:tcBorders>
              <w:bottom w:val="single" w:sz="8" w:space="0" w:color="auto"/>
            </w:tcBorders>
            <w:vAlign w:val="center"/>
          </w:tcPr>
          <w:p>
            <w:pPr>
              <w:pStyle w:val="Compact"/>
              <w:suppressAutoHyphens/>
              <w:jc w:val="center"/>
            </w:pPr>
            <w:r>
              <w:rPr>
                <w:b/>
                <w:sz w:val="18"/>
                <w:szCs w:val="18"/>
                <w:highlight w:val="green"/>
              </w:rPr>
              <w:t xml:space="preserve"> Peak GPU MB (W/H/S) </w:t>
            </w:r>
          </w:p>
        </w:tc>
        <w:tc>
          <w:tcPr>
            <w:tcBorders>
              <w:bottom w:val="single" w:sz="8" w:space="0" w:color="auto"/>
            </w:tcBorders>
            <w:vAlign w:val="center"/>
          </w:tcPr>
          <w:p>
            <w:pPr>
              <w:pStyle w:val="Compact"/>
              <w:suppressAutoHyphens/>
              <w:jc w:val="center"/>
            </w:pPr>
            <w:r>
              <w:rPr>
                <w:b/>
                <w:sz w:val="18"/>
                <w:szCs w:val="18"/>
                <w:highlight w:val="green"/>
              </w:rPr>
              <w:t xml:space="preserve"> CPU-edge ms/win (W/H/S) </w:t>
            </w:r>
          </w:p>
        </w:tc>
      </w:tr>
      <w:tr>
        <w:tc>
          <w:tcPr>
            <w:vAlign w:val="center"/>
          </w:tcPr>
          <w:p>
            <w:pPr>
              <w:pStyle w:val="Compact"/>
              <w:suppressAutoHyphens/>
              <w:jc w:val="center"/>
            </w:pPr>
            <w:r>
              <w:rPr>
                <w:sz w:val="18"/>
                <w:szCs w:val="18"/>
                <w:highlight w:val="green"/>
              </w:rPr>
              <w:t xml:space="preserve"> </w:t>
            </w:r>
            <w:r>
              <w:rPr>
                <w:b/>
                <w:bCs/>
                <w:sz w:val="18"/>
                <w:szCs w:val="18"/>
                <w:highlight w:val="green"/>
              </w:rPr>
              <w:t xml:space="preserve">LatAD (global)</w:t>
            </w:r>
            <w:r>
              <w:rPr>
                <w:sz w:val="18"/>
                <w:szCs w:val="18"/>
                <w:highlight w:val="green"/>
              </w:rPr>
              <w:t xml:space="preserve"> </w:t>
            </w:r>
          </w:p>
        </w:tc>
        <w:tc>
          <w:tcPr>
            <w:vAlign w:val="center"/>
          </w:tcPr>
          <w:p>
            <w:pPr>
              <w:pStyle w:val="Compact"/>
              <w:suppressAutoHyphens/>
              <w:jc w:val="center"/>
            </w:pPr>
            <w:r>
              <w:rPr>
                <w:sz w:val="18"/>
                <w:szCs w:val="18"/>
                <w:highlight w:val="green"/>
              </w:rPr>
              <w:t xml:space="preserve"> 209k / 112k / 100k </w:t>
            </w:r>
          </w:p>
        </w:tc>
        <w:tc>
          <w:tcPr>
            <w:vAlign w:val="center"/>
          </w:tcPr>
          <w:p>
            <w:pPr>
              <w:pStyle w:val="Compact"/>
              <w:suppressAutoHyphens/>
              <w:jc w:val="center"/>
            </w:pPr>
            <w:r>
              <w:rPr>
                <w:sz w:val="18"/>
                <w:szCs w:val="18"/>
                <w:highlight w:val="green"/>
              </w:rPr>
              <w:t xml:space="preserve"> 3.2 / 16 / 3.5 </w:t>
            </w:r>
          </w:p>
        </w:tc>
        <w:tc>
          <w:tcPr>
            <w:vAlign w:val="center"/>
          </w:tcPr>
          <w:p>
            <w:pPr>
              <w:pStyle w:val="Compact"/>
              <w:suppressAutoHyphens/>
              <w:jc w:val="center"/>
            </w:pPr>
            <w:r>
              <w:rPr>
                <w:sz w:val="18"/>
                <w:szCs w:val="18"/>
                <w:highlight w:val="green"/>
              </w:rPr>
              <w:t xml:space="preserve"> 0.7 / 13.0 / 13.0 </w:t>
            </w:r>
          </w:p>
        </w:tc>
        <w:tc>
          <w:tcPr>
            <w:vAlign w:val="center"/>
          </w:tcPr>
          <w:p>
            <w:pPr>
              <w:pStyle w:val="Compact"/>
              <w:suppressAutoHyphens/>
              <w:jc w:val="center"/>
            </w:pPr>
            <w:r>
              <w:rPr>
                <w:sz w:val="18"/>
                <w:szCs w:val="18"/>
                <w:highlight w:val="green"/>
              </w:rPr>
              <w:t xml:space="preserve"> 19.9 / 19.4 / 19.7 </w:t>
            </w:r>
          </w:p>
        </w:tc>
        <w:tc>
          <w:tcPr>
            <w:vAlign w:val="center"/>
          </w:tcPr>
          <w:p>
            <w:pPr>
              <w:pStyle w:val="Compact"/>
              <w:suppressAutoHyphens/>
              <w:jc w:val="center"/>
            </w:pPr>
            <w:r>
              <w:rPr>
                <w:sz w:val="18"/>
                <w:szCs w:val="18"/>
                <w:highlight w:val="green"/>
              </w:rPr>
              <w:t xml:space="preserve"> 0.6 / 14.6 / 14.5 </w:t>
            </w:r>
          </w:p>
        </w:tc>
      </w:tr>
      <w:tr>
        <w:tc>
          <w:tcPr>
            <w:vAlign w:val="center"/>
          </w:tcPr>
          <w:p>
            <w:pPr>
              <w:pStyle w:val="Compact"/>
              <w:suppressAutoHyphens/>
              <w:jc w:val="center"/>
            </w:pPr>
            <w:r>
              <w:rPr>
                <w:sz w:val="18"/>
                <w:szCs w:val="18"/>
                <w:highlight w:val="green"/>
              </w:rPr>
              <w:t xml:space="preserve"> </w:t>
            </w:r>
            <w:r>
              <w:rPr>
                <w:b/>
                <w:bCs/>
                <w:sz w:val="18"/>
                <w:szCs w:val="18"/>
                <w:highlight w:val="green"/>
              </w:rPr>
              <w:t xml:space="preserve">LatAD (regime-community)</w:t>
            </w:r>
            <w:r>
              <w:rPr>
                <w:sz w:val="18"/>
                <w:szCs w:val="18"/>
                <w:highlight w:val="green"/>
              </w:rPr>
              <w:t xml:space="preserve"> </w:t>
            </w:r>
          </w:p>
        </w:tc>
        <w:tc>
          <w:tcPr>
            <w:vAlign w:val="center"/>
          </w:tcPr>
          <w:p>
            <w:pPr>
              <w:pStyle w:val="Compact"/>
              <w:suppressAutoHyphens/>
              <w:jc w:val="center"/>
            </w:pPr>
            <w:r>
              <w:rPr>
                <w:sz w:val="18"/>
                <w:szCs w:val="18"/>
                <w:highlight w:val="green"/>
              </w:rPr>
              <w:t xml:space="preserve"> 1.25M / 0.81M / 0.78M </w:t>
            </w:r>
          </w:p>
        </w:tc>
        <w:tc>
          <w:tcPr>
            <w:vAlign w:val="center"/>
          </w:tcPr>
          <w:p>
            <w:pPr>
              <w:pStyle w:val="Compact"/>
              <w:suppressAutoHyphens/>
              <w:jc w:val="center"/>
            </w:pPr>
            <w:r>
              <w:rPr>
                <w:sz w:val="18"/>
                <w:szCs w:val="18"/>
                <w:highlight w:val="green"/>
              </w:rPr>
              <w:t xml:space="preserve"> 50 / 195 / 38 </w:t>
            </w:r>
          </w:p>
        </w:tc>
        <w:tc>
          <w:tcPr>
            <w:vAlign w:val="center"/>
          </w:tcPr>
          <w:p>
            <w:pPr>
              <w:pStyle w:val="Compact"/>
              <w:suppressAutoHyphens/>
              <w:jc w:val="center"/>
            </w:pPr>
            <w:r>
              <w:rPr>
                <w:sz w:val="18"/>
                <w:szCs w:val="18"/>
                <w:highlight w:val="green"/>
              </w:rPr>
              <w:t xml:space="preserve"> 32.4 / 18.5 / 17.2 </w:t>
            </w:r>
          </w:p>
        </w:tc>
        <w:tc>
          <w:tcPr>
            <w:vAlign w:val="center"/>
          </w:tcPr>
          <w:p>
            <w:pPr>
              <w:pStyle w:val="Compact"/>
              <w:suppressAutoHyphens/>
              <w:jc w:val="center"/>
            </w:pPr>
            <w:r>
              <w:rPr>
                <w:sz w:val="18"/>
                <w:szCs w:val="18"/>
                <w:highlight w:val="green"/>
              </w:rPr>
              <w:t xml:space="preserve"> 28.7 / 25.1 / 24.8 </w:t>
            </w:r>
          </w:p>
        </w:tc>
        <w:tc>
          <w:tcPr>
            <w:vAlign w:val="center"/>
          </w:tcPr>
          <w:p>
            <w:pPr>
              <w:pStyle w:val="Compact"/>
              <w:suppressAutoHyphens/>
              <w:jc w:val="center"/>
            </w:pPr>
            <w:r>
              <w:rPr>
                <w:sz w:val="18"/>
                <w:szCs w:val="18"/>
                <w:highlight w:val="green"/>
              </w:rPr>
              <w:t xml:space="preserve"> 25.0 / 16.2 / 14.5 </w:t>
            </w:r>
          </w:p>
        </w:tc>
      </w:tr>
      <w:tr>
        <w:tc>
          <w:tcPr>
            <w:vAlign w:val="center"/>
          </w:tcPr>
          <w:p>
            <w:pPr>
              <w:pStyle w:val="Compact"/>
              <w:suppressAutoHyphens/>
              <w:jc w:val="center"/>
            </w:pPr>
            <w:r>
              <w:rPr>
                <w:sz w:val="18"/>
                <w:szCs w:val="18"/>
                <w:highlight w:val="green"/>
              </w:rPr>
              <w:t xml:space="preserve"> TranAD </w:t>
            </w:r>
          </w:p>
        </w:tc>
        <w:tc>
          <w:tcPr>
            <w:vAlign w:val="center"/>
          </w:tcPr>
          <w:p>
            <w:pPr>
              <w:pStyle w:val="Compact"/>
              <w:suppressAutoHyphens/>
              <w:jc w:val="center"/>
            </w:pPr>
            <w:r>
              <w:rPr>
                <w:sz w:val="18"/>
                <w:szCs w:val="18"/>
                <w:highlight w:val="green"/>
              </w:rPr>
              <w:t xml:space="preserve"> 1.27M / 0.30M / 0.23M </w:t>
            </w:r>
          </w:p>
        </w:tc>
        <w:tc>
          <w:tcPr>
            <w:vAlign w:val="center"/>
          </w:tcPr>
          <w:p>
            <w:pPr>
              <w:pStyle w:val="Compact"/>
              <w:suppressAutoHyphens/>
              <w:jc w:val="center"/>
            </w:pPr>
            <w:r>
              <w:rPr>
                <w:sz w:val="18"/>
                <w:szCs w:val="18"/>
                <w:highlight w:val="green"/>
              </w:rPr>
              <w:t xml:space="preserve"> 231 / 898 / 163 </w:t>
            </w:r>
          </w:p>
        </w:tc>
        <w:tc>
          <w:tcPr>
            <w:vAlign w:val="center"/>
          </w:tcPr>
          <w:p>
            <w:pPr>
              <w:pStyle w:val="Compact"/>
              <w:suppressAutoHyphens/>
              <w:jc w:val="center"/>
            </w:pPr>
            <w:r>
              <w:rPr>
                <w:sz w:val="18"/>
                <w:szCs w:val="18"/>
                <w:highlight w:val="green"/>
              </w:rPr>
              <w:t xml:space="preserve"> 2.0 / 2.0 / 1.9 </w:t>
            </w:r>
          </w:p>
        </w:tc>
        <w:tc>
          <w:tcPr>
            <w:vAlign w:val="center"/>
          </w:tcPr>
          <w:p>
            <w:pPr>
              <w:pStyle w:val="Compact"/>
              <w:suppressAutoHyphens/>
              <w:jc w:val="center"/>
            </w:pPr>
            <w:r>
              <w:rPr>
                <w:sz w:val="18"/>
                <w:szCs w:val="18"/>
                <w:highlight w:val="green"/>
              </w:rPr>
              <w:t xml:space="preserve"> 62.7 / 42.3 / 38.9 </w:t>
            </w:r>
          </w:p>
        </w:tc>
        <w:tc>
          <w:tcPr>
            <w:vAlign w:val="center"/>
          </w:tcPr>
          <w:p>
            <w:pPr>
              <w:pStyle w:val="Compact"/>
              <w:suppressAutoHyphens/>
              <w:jc w:val="center"/>
            </w:pPr>
            <w:r>
              <w:rPr>
                <w:sz w:val="18"/>
                <w:szCs w:val="18"/>
                <w:highlight w:val="green"/>
              </w:rPr>
              <w:t xml:space="preserve"> – </w:t>
            </w:r>
          </w:p>
        </w:tc>
      </w:tr>
      <w:tr>
        <w:tc>
          <w:tcPr>
            <w:vAlign w:val="center"/>
          </w:tcPr>
          <w:p>
            <w:pPr>
              <w:pStyle w:val="Compact"/>
              <w:suppressAutoHyphens/>
              <w:jc w:val="center"/>
            </w:pPr>
            <w:r>
              <w:rPr>
                <w:sz w:val="18"/>
                <w:szCs w:val="18"/>
                <w:highlight w:val="green"/>
              </w:rPr>
              <w:t xml:space="preserve"> USAD </w:t>
            </w:r>
          </w:p>
        </w:tc>
        <w:tc>
          <w:tcPr>
            <w:vAlign w:val="center"/>
          </w:tcPr>
          <w:p>
            <w:pPr>
              <w:pStyle w:val="Compact"/>
              <w:suppressAutoHyphens/>
              <w:jc w:val="center"/>
            </w:pPr>
            <w:r>
              <w:rPr>
                <w:sz w:val="18"/>
                <w:szCs w:val="18"/>
                <w:highlight w:val="green"/>
              </w:rPr>
              <w:t xml:space="preserve"> 32k / 16k / 14k </w:t>
            </w:r>
          </w:p>
        </w:tc>
        <w:tc>
          <w:tcPr>
            <w:vAlign w:val="center"/>
          </w:tcPr>
          <w:p>
            <w:pPr>
              <w:pStyle w:val="Compact"/>
              <w:suppressAutoHyphens/>
              <w:jc w:val="center"/>
            </w:pPr>
            <w:r>
              <w:rPr>
                <w:sz w:val="18"/>
                <w:szCs w:val="18"/>
                <w:highlight w:val="green"/>
              </w:rPr>
              <w:t xml:space="preserve"> 96 / 592 / 95 </w:t>
            </w:r>
          </w:p>
        </w:tc>
        <w:tc>
          <w:tcPr>
            <w:vAlign w:val="center"/>
          </w:tcPr>
          <w:p>
            <w:pPr>
              <w:pStyle w:val="Compact"/>
              <w:suppressAutoHyphens/>
              <w:jc w:val="center"/>
            </w:pPr>
            <w:r>
              <w:rPr>
                <w:sz w:val="18"/>
                <w:szCs w:val="18"/>
                <w:highlight w:val="green"/>
              </w:rPr>
              <w:t xml:space="preserve"> 0.41 / 0.41 / 0.41 </w:t>
            </w:r>
          </w:p>
        </w:tc>
        <w:tc>
          <w:tcPr>
            <w:vAlign w:val="center"/>
          </w:tcPr>
          <w:p>
            <w:pPr>
              <w:pStyle w:val="Compact"/>
              <w:suppressAutoHyphens/>
              <w:jc w:val="center"/>
            </w:pPr>
            <w:r>
              <w:rPr>
                <w:sz w:val="18"/>
                <w:szCs w:val="18"/>
                <w:highlight w:val="green"/>
              </w:rPr>
              <w:t xml:space="preserve"> 12.2 / 19.4 / 19.2 </w:t>
            </w:r>
          </w:p>
        </w:tc>
        <w:tc>
          <w:tcPr>
            <w:vAlign w:val="center"/>
          </w:tcPr>
          <w:p>
            <w:pPr>
              <w:pStyle w:val="Compact"/>
              <w:suppressAutoHyphens/>
              <w:jc w:val="center"/>
            </w:pPr>
            <w:r>
              <w:rPr>
                <w:sz w:val="18"/>
                <w:szCs w:val="18"/>
                <w:highlight w:val="green"/>
              </w:rPr>
              <w:t xml:space="preserve"> – </w:t>
            </w:r>
          </w:p>
        </w:tc>
      </w:tr>
      <w:tr>
        <w:tc>
          <w:tcPr>
            <w:vAlign w:val="center"/>
          </w:tcPr>
          <w:p>
            <w:pPr>
              <w:pStyle w:val="Compact"/>
              <w:suppressAutoHyphens/>
              <w:jc w:val="center"/>
            </w:pPr>
            <w:r>
              <w:rPr>
                <w:sz w:val="18"/>
                <w:szCs w:val="18"/>
                <w:highlight w:val="green"/>
              </w:rPr>
              <w:t xml:space="preserve"> AutoEncoder </w:t>
            </w:r>
          </w:p>
        </w:tc>
        <w:tc>
          <w:tcPr>
            <w:vAlign w:val="center"/>
          </w:tcPr>
          <w:p>
            <w:pPr>
              <w:pStyle w:val="Compact"/>
              <w:suppressAutoHyphens/>
              <w:jc w:val="center"/>
            </w:pPr>
            <w:r>
              <w:rPr>
                <w:sz w:val="18"/>
                <w:szCs w:val="18"/>
                <w:highlight w:val="green"/>
              </w:rPr>
              <w:t xml:space="preserve"> 97k / 48k / 42k </w:t>
            </w:r>
          </w:p>
        </w:tc>
        <w:tc>
          <w:tcPr>
            <w:vAlign w:val="center"/>
          </w:tcPr>
          <w:p>
            <w:pPr>
              <w:pStyle w:val="Compact"/>
              <w:suppressAutoHyphens/>
              <w:jc w:val="center"/>
            </w:pPr>
            <w:r>
              <w:rPr>
                <w:sz w:val="18"/>
                <w:szCs w:val="18"/>
                <w:highlight w:val="green"/>
              </w:rPr>
              <w:t xml:space="preserve"> 0.2 / &lt;0.1 / &lt;0.1 </w:t>
            </w:r>
          </w:p>
        </w:tc>
        <w:tc>
          <w:tcPr>
            <w:vAlign w:val="center"/>
          </w:tcPr>
          <w:p>
            <w:pPr>
              <w:pStyle w:val="Compact"/>
              <w:suppressAutoHyphens/>
              <w:jc w:val="center"/>
            </w:pPr>
            <w:r>
              <w:rPr>
                <w:sz w:val="18"/>
                <w:szCs w:val="18"/>
                <w:highlight w:val="green"/>
              </w:rPr>
              <w:t xml:space="preserve"> 0.16 / 0.15 / 0.15 </w:t>
            </w:r>
          </w:p>
        </w:tc>
        <w:tc>
          <w:tcPr>
            <w:vAlign w:val="center"/>
          </w:tcPr>
          <w:p>
            <w:pPr>
              <w:pStyle w:val="Compact"/>
              <w:suppressAutoHyphens/>
              <w:jc w:val="center"/>
            </w:pPr>
            <w:r>
              <w:rPr>
                <w:sz w:val="18"/>
                <w:szCs w:val="18"/>
                <w:highlight w:val="green"/>
              </w:rPr>
              <w:t xml:space="preserve"> 28.9 / 45.6 / 24.2 </w:t>
            </w:r>
          </w:p>
        </w:tc>
        <w:tc>
          <w:tcPr>
            <w:vAlign w:val="center"/>
          </w:tcPr>
          <w:p>
            <w:pPr>
              <w:pStyle w:val="Compact"/>
              <w:suppressAutoHyphens/>
              <w:jc w:val="center"/>
            </w:pPr>
            <w:r>
              <w:rPr>
                <w:sz w:val="18"/>
                <w:szCs w:val="18"/>
                <w:highlight w:val="green"/>
              </w:rPr>
              <w:t xml:space="preserve"> 0.08 / 0.07 / 0.07 </w:t>
            </w:r>
          </w:p>
        </w:tc>
      </w:tr>
    </w:tbl>
    <w:p>
      <w:pPr>
        <w:pStyle w:val="MDPI21heading1"/>
        <w:ind w:left="2608"/>
      </w:pPr>
      <w:r>
        <w:rPr>
          <w:highlight w:val="green"/>
        </w:rPr>
        <w:t xml:space="preserve">Appendix C. Between-regime overlap (A8) screen</w:t>
      </w:r>
    </w:p>
    <w:p>
      <w:pPr>
        <w:pStyle w:val="MDPI32textnoindent"/>
        <w:ind w:left="2608"/>
      </w:pPr>
      <w:r>
        <w:rPr>
          <w:highlight w:val="green"/>
        </w:rPr>
        <w:t xml:space="preserve">This appendix reports the measurements behind the A8 conclusion in §7. Cluster responsibility (how confidently the</w:t>
      </w:r>
      <w:r>
        <w:rPr>
          <w:highlight w:val="green"/>
        </w:rPr>
        <w:t xml:space="preserve"> </w:t>
      </w:r>
      <w:r>
        <w:rPr>
          <w:highlight w:val="green"/>
        </w:rPr>
        <w:t xml:space="preserve">fitted mixture assigns each normal window to one regime) is not a valid overlap measure: a softmax posterior is crisp</w:t>
      </w:r>
      <w:r>
        <w:rPr>
          <w:highlight w:val="green"/>
        </w:rPr>
        <w:t xml:space="preserve"> </w:t>
      </w:r>
      <w:r>
        <w:rPr>
          <w:highlight w:val="green"/>
        </w:rPr>
        <w:t xml:space="preserve">both when a window sits at a component and when it is far from all of them, so it cannot see a between-mode pocket. On</w:t>
      </w:r>
      <w:r>
        <w:rPr>
          <w:highlight w:val="green"/>
        </w:rPr>
        <w:t xml:space="preserve"> </w:t>
      </w:r>
      <w:r>
        <w:rPr>
          <w:highlight w:val="green"/>
        </w:rPr>
        <w:t xml:space="preserve">a synthetic pair of regimes whose Bayes error runs from</w:t>
      </w:r>
      <w:r>
        <w:rPr>
          <w:highlight w:val="green"/>
        </w:rPr>
        <w:t xml:space="preserve"> </w:t>
      </w:r>
      <w:r>
        <w:rPr>
          <w:highlight w:val="green"/>
        </w:rPr>
        <w:t xml:space="preserve">30 percent to 2 percent the responsibility entropy stays flat, and it assigns a genuine between-mode window</w:t>
      </w:r>
      <w:r>
        <w:rPr>
          <w:highlight w:val="green"/>
        </w:rPr>
        <w:t xml:space="preserve"> </w:t>
      </w:r>
      <w:r>
        <w:rPr>
          <w:highlight w:val="green"/>
        </w:rPr>
        <w:t xml:space="preserve">(observation-density percentile 0.000) responsibility 1.000. We therefore measure A8 in observation space, with four</w:t>
      </w:r>
      <w:r>
        <w:rPr>
          <w:highlight w:val="green"/>
        </w:rPr>
        <w:t xml:space="preserve"> </w:t>
      </w:r>
      <w:r>
        <w:rPr>
          <w:highlight w:val="green"/>
        </w:rPr>
        <w:t xml:space="preserve">label-free quantities on the standardized window features: the</w:t>
      </w:r>
      <w:r>
        <w:rPr>
          <w:highlight w:val="green"/>
        </w:rPr>
        <w:t xml:space="preserve"> </w:t>
      </w:r>
      <w:r>
        <w:rPr>
          <w:i/>
          <w:iCs/>
          <w:highlight w:val="green"/>
        </w:rPr>
        <w:t xml:space="preserve">close-distinct pair mass</w:t>
      </w:r>
      <w:r>
        <w:rPr>
          <w:highlight w:val="green"/>
        </w:rPr>
        <w:t xml:space="preserve"> </w:t>
      </w:r>
      <w:r>
        <w:rPr>
          <w:highlight w:val="green"/>
        </w:rPr>
        <w:t xml:space="preserve">(the share of</w:t>
      </w:r>
      <w:r>
        <w:rPr>
          <w:highlight w:val="green"/>
        </w:rPr>
        <w:t xml:space="preserve"> </w:t>
      </w:r>
      <w:r>
        <w:rPr>
          <w:highlight w:val="green"/>
        </w:rPr>
        <w:t xml:space="preserve">train-normal mass in a discovered regime that has a density-valley-separated neighbour within twice its own normal</w:t>
      </w:r>
      <w:r>
        <w:rPr>
          <w:highlight w:val="green"/>
        </w:rPr>
        <w:t xml:space="preserve"> </w:t>
      </w:r>
      <w:r>
        <w:rPr>
          <w:highlight w:val="green"/>
        </w:rPr>
        <w:t xml:space="preserve">envelope, the A8 precondition), the</w:t>
      </w:r>
      <w:r>
        <w:rPr>
          <w:highlight w:val="green"/>
        </w:rPr>
        <w:t xml:space="preserve"> </w:t>
      </w:r>
      <w:r>
        <w:rPr>
          <w:i/>
          <w:iCs/>
          <w:highlight w:val="green"/>
        </w:rPr>
        <w:t xml:space="preserve">nearest-pair overlap coefficient</w:t>
      </w:r>
      <w:r>
        <w:rPr>
          <w:highlight w:val="green"/>
        </w:rPr>
        <w:t xml:space="preserve"> </w:t>
      </w:r>
      <w:r>
        <w:rPr>
          <w:highlight w:val="green"/>
        </w:rPr>
        <w:t xml:space="preserve">and density-valley ratio (heavy mode</w:t>
      </w:r>
      <w:r>
        <w:rPr>
          <w:highlight w:val="green"/>
        </w:rPr>
        <w:t xml:space="preserve"> </w:t>
      </w:r>
      <w:r>
        <w:rPr>
          <w:highlight w:val="green"/>
        </w:rPr>
        <w:t xml:space="preserve">overlap itself), the labelled</w:t>
      </w:r>
      <w:r>
        <w:rPr>
          <w:highlight w:val="green"/>
        </w:rPr>
        <w:t xml:space="preserve"> </w:t>
      </w:r>
      <w:r>
        <w:rPr>
          <w:i/>
          <w:iCs/>
          <w:highlight w:val="green"/>
        </w:rPr>
        <w:t xml:space="preserve">anomaly-masking rate</w:t>
      </w:r>
      <w:r>
        <w:rPr>
          <w:highlight w:val="green"/>
        </w:rPr>
        <w:t xml:space="preserve"> </w:t>
      </w:r>
      <w:r>
        <w:rPr>
          <w:highlight w:val="green"/>
        </w:rPr>
        <w:t xml:space="preserve">beside its lag-matched regime-switch base rate (an anomaly</w:t>
      </w:r>
      <w:r>
        <w:rPr>
          <w:highlight w:val="green"/>
        </w:rPr>
        <w:t xml:space="preserve"> </w:t>
      </w:r>
      <w:r>
        <w:rPr>
          <w:highlight w:val="green"/>
        </w:rPr>
        <w:t xml:space="preserve">of one regime absorbed by an adjacent one), and the</w:t>
      </w:r>
      <w:r>
        <w:rPr>
          <w:highlight w:val="green"/>
        </w:rPr>
        <w:t xml:space="preserve"> </w:t>
      </w:r>
      <w:r>
        <w:rPr>
          <w:i/>
          <w:iCs/>
          <w:highlight w:val="green"/>
        </w:rPr>
        <w:t xml:space="preserve">isolated-and-missed rate by head resolution</w:t>
      </w:r>
      <w:r>
        <w:rPr>
          <w:highlight w:val="green"/>
        </w:rPr>
        <w:t xml:space="preserve"> </w:t>
      </w:r>
      <w:r>
        <w:rPr>
          <w:highlight w:val="green"/>
        </w:rPr>
        <w:t xml:space="preserve">(the</w:t>
      </w:r>
      <w:r>
        <w:rPr>
          <w:highlight w:val="green"/>
        </w:rPr>
        <w:t xml:space="preserve"> </w:t>
      </w:r>
      <w:r>
        <w:rPr>
          <w:highlight w:val="green"/>
        </w:rPr>
        <w:t xml:space="preserve">over-coverage failure of a low-resolution density head). A synthetic control calibrates them: a 30-percent-overlap</w:t>
      </w:r>
      <w:r>
        <w:rPr>
          <w:highlight w:val="green"/>
        </w:rPr>
        <w:t xml:space="preserve"> </w:t>
      </w:r>
      <w:r>
        <w:rPr>
          <w:highlight w:val="green"/>
        </w:rPr>
        <w:t xml:space="preserve">regime pair (the positive control in Table C1). Table C1</w:t>
      </w:r>
      <w:r>
        <w:rPr>
          <w:highlight w:val="green"/>
        </w:rPr>
        <w:t xml:space="preserve"> </w:t>
      </w:r>
      <w:r>
        <w:rPr>
          <w:highlight w:val="green"/>
        </w:rPr>
        <w:t xml:space="preserve">reports the three benchmarks, the physically labelled Cranfield rig [</w:t>
      </w:r>
      <w:hyperlink w:anchor="r-cranfield">
        <w:r>
          <w:rPr>
            <w:rStyle w:val="Hyperlink"/>
            <w:highlight w:val="green"/>
          </w:rPr>
          <w:t xml:space="preserve">59</w:t>
        </w:r>
      </w:hyperlink>
      <w:r>
        <w:rPr>
          <w:highlight w:val="green"/>
        </w:rPr>
        <w:t xml:space="preserve">], SKAB, and the control; a broader screen (adding</w:t>
      </w:r>
      <w:r>
        <w:rPr>
          <w:highlight w:val="green"/>
        </w:rPr>
        <w:t xml:space="preserve"> </w:t>
      </w:r>
      <w:r>
        <w:rPr>
          <w:highlight w:val="green"/>
        </w:rPr>
        <w:t xml:space="preserve">MetroPT [</w:t>
      </w:r>
      <w:hyperlink w:anchor="r-metropt">
        <w:r>
          <w:rPr>
            <w:rStyle w:val="Hyperlink"/>
            <w:highlight w:val="green"/>
          </w:rPr>
          <w:t xml:space="preserve">53</w:t>
        </w:r>
      </w:hyperlink>
      <w:r>
        <w:rPr>
          <w:highlight w:val="green"/>
        </w:rPr>
        <w:t xml:space="preserve">], four SMD server-machine entities [</w:t>
      </w:r>
      <w:hyperlink w:anchor="r-omni">
        <w:r>
          <w:rPr>
            <w:rStyle w:val="Hyperlink"/>
            <w:highlight w:val="green"/>
          </w:rPr>
          <w:t xml:space="preserve">31</w:t>
        </w:r>
      </w:hyperlink>
      <w:r>
        <w:rPr>
          <w:highlight w:val="green"/>
        </w:rPr>
        <w:t xml:space="preserve">], and the Paderborn bearing</w:t>
      </w:r>
      <w:r>
        <w:rPr>
          <w:highlight w:val="green"/>
        </w:rPr>
        <w:t xml:space="preserve"> </w:t>
      </w:r>
      <w:r>
        <w:rPr>
          <w:highlight w:val="green"/>
        </w:rPr>
        <w:t xml:space="preserve">testbed) gives the same picture. The A8 precondition holds on every multi-loop plant (close-distinct mass 0.99 to 1.00 in Table C1, 0.94 to 1.00 across the broader screen);</w:t>
      </w:r>
      <w:r>
        <w:rPr>
          <w:highlight w:val="green"/>
        </w:rPr>
        <w:t xml:space="preserve"> </w:t>
      </w:r>
      <w:r>
        <w:rPr>
          <w:highlight w:val="green"/>
        </w:rPr>
        <w:t xml:space="preserve">the overlap, the masking excess over the base rate, and the over-coverage miss of the 80-component head are all</w:t>
      </w:r>
      <w:r>
        <w:rPr>
          <w:highlight w:val="green"/>
        </w:rPr>
        <w:t xml:space="preserve"> </w:t>
      </w:r>
      <w:r>
        <w:rPr>
          <w:highlight w:val="green"/>
        </w:rPr>
        <w:t xml:space="preserve">absent.</w:t>
      </w:r>
    </w:p>
    <w:p>
      <w:pPr>
        <w:pStyle w:val="MDPI41tablecaption"/>
        <w:ind w:left="2608"/>
      </w:pPr>
      <w:r>
        <w:rPr>
          <w:b/>
          <w:bCs/>
        </w:rPr>
        <w:t xml:space="preserve">Table C1.</w:t>
      </w:r>
      <w:r>
        <w:rPr>
          <w:highlight w:val="green"/>
        </w:rPr>
        <w:t xml:space="preserve"> Between-regime overlap screen in observation space (label-free unless</w:t>
      </w:r>
      <w:r>
        <w:rPr>
          <w:highlight w:val="green"/>
        </w:rPr>
        <w:t xml:space="preserve"> </w:t>
      </w:r>
      <w:r>
        <w:rPr>
          <w:highlight w:val="green"/>
        </w:rPr>
        <w:t xml:space="preserve">noted).</w:t>
      </w:r>
      <w:r>
        <w:rPr>
          <w:highlight w:val="green"/>
        </w:rPr>
        <w:t xml:space="preserve"> </w:t>
      </w:r>
      <w:r>
        <w:rPr>
          <w:i/>
          <w:iCs/>
          <w:highlight w:val="green"/>
        </w:rPr>
        <w:t xml:space="preserve">Close-distinct mass</w:t>
      </w:r>
      <w:r>
        <w:rPr>
          <w:highlight w:val="green"/>
        </w:rPr>
        <w:t xml:space="preserve"> </w:t>
      </w:r>
      <w:r>
        <w:rPr>
          <w:highlight w:val="green"/>
        </w:rPr>
        <w:t xml:space="preserve">is the share of train-normal mass in a discovered regime with a valley-separated</w:t>
      </w:r>
      <w:r>
        <w:rPr>
          <w:highlight w:val="green"/>
        </w:rPr>
        <w:t xml:space="preserve"> </w:t>
      </w:r>
      <w:r>
        <w:rPr>
          <w:highlight w:val="green"/>
        </w:rPr>
        <w:t xml:space="preserve">neighbour within twice its own envelope, with the smallest distinct-pair Mahalanobis distance</w:t>
      </w:r>
      <w:r>
        <w:rPr>
          <w:highlight w:val="green"/>
        </w:rPr>
        <w:t xml:space="preserve"> </w:t>
      </w:r>
      <w:r>
        <w:rPr>
          <w:i/>
          <w:iCs/>
          <w:highlight w:val="green"/>
        </w:rPr>
        <w:t xml:space="preserve">D</w:t>
      </w:r>
      <w:r>
        <w:rPr>
          <w:highlight w:val="green"/>
        </w:rPr>
        <w:t xml:space="preserve"> </w:t>
      </w:r>
      <w:r>
        <w:rPr>
          <w:highlight w:val="green"/>
        </w:rPr>
        <w:t xml:space="preserve">in parentheses</w:t>
      </w:r>
      <w:r>
        <w:rPr>
          <w:highlight w:val="green"/>
        </w:rPr>
        <w:t xml:space="preserve"> </w:t>
      </w:r>
      <w:r>
        <w:rPr>
          <w:highlight w:val="green"/>
        </w:rPr>
        <w:t xml:space="preserve">(the A8 precondition; higher mass, smaller</w:t>
      </w:r>
      <w:r>
        <w:rPr>
          <w:highlight w:val="green"/>
        </w:rPr>
        <w:t xml:space="preserve"> </w:t>
      </w:r>
      <w:r>
        <w:rPr>
          <w:i/>
          <w:iCs/>
          <w:highlight w:val="green"/>
        </w:rPr>
        <w:t xml:space="preserve">D</w:t>
      </w:r>
      <w:r>
        <w:rPr>
          <w:highlight w:val="green"/>
        </w:rPr>
        <w:t xml:space="preserve"> </w:t>
      </w:r>
      <w:r>
        <w:rPr>
          <w:highlight w:val="green"/>
        </w:rPr>
        <w:t xml:space="preserve">= more adjacency).</w:t>
      </w:r>
      <w:r>
        <w:rPr>
          <w:highlight w:val="green"/>
        </w:rPr>
        <w:t xml:space="preserve"> </w:t>
      </w:r>
      <w:r>
        <w:rPr>
          <w:i/>
          <w:iCs/>
          <w:highlight w:val="green"/>
        </w:rPr>
        <w:t xml:space="preserve">Overlap coefficient</w:t>
      </w:r>
      <w:r>
        <w:rPr>
          <w:highlight w:val="green"/>
        </w:rPr>
        <w:t xml:space="preserve"> </w:t>
      </w:r>
      <w:r>
        <w:rPr>
          <w:highlight w:val="green"/>
        </w:rPr>
        <w:t xml:space="preserve">is the nearest</w:t>
      </w:r>
      <w:r>
        <w:rPr>
          <w:highlight w:val="green"/>
        </w:rPr>
        <w:t xml:space="preserve"> </w:t>
      </w:r>
      <w:r>
        <w:rPr>
          <w:highlight w:val="green"/>
        </w:rPr>
        <w:t xml:space="preserve">discovered-regime pair mean (max); heavy overlap would approach the 30-percent-Bayes-error control (0.61).</w:t>
      </w:r>
      <w:r>
        <w:rPr>
          <w:highlight w:val="green"/>
        </w:rPr>
        <w:t xml:space="preserve"> </w:t>
      </w:r>
      <w:r>
        <w:rPr>
          <w:i/>
          <w:iCs/>
          <w:highlight w:val="green"/>
        </w:rPr>
        <w:t xml:space="preserve">Masking</w:t>
      </w:r>
      <w:r>
        <w:rPr>
          <w:i/>
          <w:iCs/>
          <w:highlight w:val="green"/>
        </w:rPr>
        <w:t xml:space="preserve"> </w:t>
      </w:r>
      <w:r>
        <w:rPr>
          <w:i/>
          <w:iCs/>
          <w:highlight w:val="green"/>
        </w:rPr>
        <w:t xml:space="preserve">rate / base</w:t>
      </w:r>
      <w:r>
        <w:rPr>
          <w:highlight w:val="green"/>
        </w:rPr>
        <w:t xml:space="preserve"> </w:t>
      </w:r>
      <w:r>
        <w:rPr>
          <w:highlight w:val="green"/>
        </w:rPr>
        <w:t xml:space="preserve">is the labelled anomaly-masking rate beside its lag-matched regime-switch base rate; an excess would</w:t>
      </w:r>
      <w:r>
        <w:rPr>
          <w:highlight w:val="green"/>
        </w:rPr>
        <w:t xml:space="preserve"> </w:t>
      </w:r>
      <w:r>
        <w:rPr>
          <w:highlight w:val="green"/>
        </w:rPr>
        <w:t xml:space="preserve">indicate A8-masking.</w:t>
      </w:r>
      <w:r>
        <w:rPr>
          <w:highlight w:val="green"/>
        </w:rPr>
        <w:t xml:space="preserve"> </w:t>
      </w:r>
      <w:r>
        <w:rPr>
          <w:i/>
          <w:iCs/>
          <w:highlight w:val="green"/>
        </w:rPr>
        <w:t xml:space="preserve">Isolated-missed</w:t>
      </w:r>
      <w:r>
        <w:rPr>
          <w:highlight w:val="green"/>
        </w:rPr>
        <w:t xml:space="preserve"> </w:t>
      </w:r>
      <w:r>
        <w:rPr>
          <w:highlight w:val="green"/>
        </w:rPr>
        <w:t xml:space="preserve">is the share of isolated anomalies scored below the 99th train percentile</w:t>
      </w:r>
      <w:r>
        <w:rPr>
          <w:highlight w:val="green"/>
        </w:rPr>
        <w:t xml:space="preserve"> </w:t>
      </w:r>
      <w:r>
        <w:rPr>
          <w:highlight w:val="green"/>
        </w:rPr>
        <w:t xml:space="preserve">by a wide two-component head versus the 80-component head. Synthetic positive controls calibrate each column.</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612"/>
        <w:gridCol w:w="1576"/>
        <w:gridCol w:w="1564"/>
        <w:gridCol w:w="1480"/>
        <w:gridCol w:w="1626"/>
      </w:tblGrid>
      <w:tr>
        <w:trPr>
          <w:tblHeader w:val="on"/>
        </w:trPr>
        <w:tc>
          <w:tcPr>
            <w:tcBorders>
              <w:bottom w:val="single" w:sz="8" w:space="0" w:color="auto"/>
            </w:tcBorders>
            <w:vAlign w:val="center"/>
          </w:tcPr>
          <w:p>
            <w:pPr>
              <w:pStyle w:val="Compact"/>
              <w:suppressAutoHyphens/>
              <w:jc w:val="center"/>
            </w:pPr>
            <w:r>
              <w:rPr>
                <w:b/>
                <w:sz w:val="18"/>
                <w:szCs w:val="18"/>
                <w:highlight w:val="green"/>
              </w:rPr>
              <w:t xml:space="preserve"> Dataset </w:t>
            </w:r>
          </w:p>
        </w:tc>
        <w:tc>
          <w:tcPr>
            <w:tcBorders>
              <w:bottom w:val="single" w:sz="8" w:space="0" w:color="auto"/>
            </w:tcBorders>
            <w:vAlign w:val="center"/>
          </w:tcPr>
          <w:p>
            <w:pPr>
              <w:pStyle w:val="Compact"/>
              <w:suppressAutoHyphens/>
              <w:jc w:val="center"/>
            </w:pPr>
            <w:r>
              <w:rPr>
                <w:b/>
                <w:sz w:val="18"/>
                <w:szCs w:val="18"/>
                <w:highlight w:val="green"/>
              </w:rPr>
              <w:t xml:space="preserve"> Close-distinct mass (min</w:t>
            </w:r>
            <w:r>
              <w:rPr>
                <w:b/>
                <w:sz w:val="18"/>
                <w:szCs w:val="18"/>
                <w:highlight w:val="green"/>
              </w:rPr>
              <w:t xml:space="preserve"> </w:t>
            </w:r>
            <w:r>
              <w:rPr>
                <w:b/>
                <w:i/>
                <w:iCs/>
                <w:sz w:val="18"/>
                <w:szCs w:val="18"/>
                <w:highlight w:val="green"/>
              </w:rPr>
              <w:t xml:space="preserve">D</w:t>
            </w:r>
            <w:r>
              <w:rPr>
                <w:b/>
                <w:sz w:val="18"/>
                <w:szCs w:val="18"/>
                <w:highlight w:val="green"/>
              </w:rPr>
              <w:t xml:space="preserve">) </w:t>
            </w:r>
          </w:p>
        </w:tc>
        <w:tc>
          <w:tcPr>
            <w:tcBorders>
              <w:bottom w:val="single" w:sz="8" w:space="0" w:color="auto"/>
            </w:tcBorders>
            <w:vAlign w:val="center"/>
          </w:tcPr>
          <w:p>
            <w:pPr>
              <w:pStyle w:val="Compact"/>
              <w:suppressAutoHyphens/>
              <w:jc w:val="center"/>
            </w:pPr>
            <w:r>
              <w:rPr>
                <w:b/>
                <w:sz w:val="18"/>
                <w:szCs w:val="18"/>
                <w:highlight w:val="green"/>
              </w:rPr>
              <w:t xml:space="preserve"> Overlap coeff., mean (max) </w:t>
            </w:r>
          </w:p>
        </w:tc>
        <w:tc>
          <w:tcPr>
            <w:tcBorders>
              <w:bottom w:val="single" w:sz="8" w:space="0" w:color="auto"/>
            </w:tcBorders>
            <w:vAlign w:val="center"/>
          </w:tcPr>
          <w:p>
            <w:pPr>
              <w:pStyle w:val="Compact"/>
              <w:suppressAutoHyphens/>
              <w:jc w:val="center"/>
            </w:pPr>
            <w:r>
              <w:rPr>
                <w:b/>
                <w:sz w:val="18"/>
                <w:szCs w:val="18"/>
                <w:highlight w:val="green"/>
              </w:rPr>
              <w:t xml:space="preserve"> Masking rate / base </w:t>
            </w:r>
          </w:p>
        </w:tc>
        <w:tc>
          <w:tcPr>
            <w:tcBorders>
              <w:bottom w:val="single" w:sz="8" w:space="0" w:color="auto"/>
            </w:tcBorders>
            <w:vAlign w:val="center"/>
          </w:tcPr>
          <w:p>
            <w:pPr>
              <w:pStyle w:val="Compact"/>
              <w:suppressAutoHyphens/>
              <w:jc w:val="center"/>
            </w:pPr>
            <w:r>
              <w:rPr>
                <w:b/>
                <w:sz w:val="18"/>
                <w:szCs w:val="18"/>
                <w:highlight w:val="green"/>
              </w:rPr>
              <w:t xml:space="preserve"> Isolated-missed, wide / 80-comp </w:t>
            </w:r>
          </w:p>
        </w:tc>
      </w:tr>
      <w:tr>
        <w:tc>
          <w:tcPr>
            <w:vAlign w:val="center"/>
          </w:tcPr>
          <w:p>
            <w:pPr>
              <w:pStyle w:val="Compact"/>
              <w:suppressAutoHyphens/>
              <w:jc w:val="center"/>
            </w:pPr>
            <w:r>
              <w:rPr>
                <w:sz w:val="18"/>
                <w:szCs w:val="18"/>
                <w:highlight w:val="green"/>
              </w:rPr>
              <w:t xml:space="preserve"> WADI </w:t>
            </w:r>
          </w:p>
        </w:tc>
        <w:tc>
          <w:tcPr>
            <w:vAlign w:val="center"/>
          </w:tcPr>
          <w:p>
            <w:pPr>
              <w:pStyle w:val="Compact"/>
              <w:suppressAutoHyphens/>
              <w:jc w:val="center"/>
            </w:pPr>
            <w:r>
              <w:rPr>
                <w:sz w:val="18"/>
                <w:szCs w:val="18"/>
                <w:highlight w:val="green"/>
              </w:rPr>
              <w:t xml:space="preserve"> 1.00 (2.8) </w:t>
            </w:r>
          </w:p>
        </w:tc>
        <w:tc>
          <w:tcPr>
            <w:vAlign w:val="center"/>
          </w:tcPr>
          <w:p>
            <w:pPr>
              <w:pStyle w:val="Compact"/>
              <w:suppressAutoHyphens/>
              <w:jc w:val="center"/>
            </w:pPr>
            <w:r>
              <w:rPr>
                <w:sz w:val="18"/>
                <w:szCs w:val="18"/>
                <w:highlight w:val="green"/>
              </w:rPr>
              <w:t xml:space="preserve"> 0.09 (0.27) </w:t>
            </w:r>
          </w:p>
        </w:tc>
        <w:tc>
          <w:tcPr>
            <w:vAlign w:val="center"/>
          </w:tcPr>
          <w:p>
            <w:pPr>
              <w:pStyle w:val="Compact"/>
              <w:suppressAutoHyphens/>
              <w:jc w:val="center"/>
            </w:pPr>
            <w:r>
              <w:rPr>
                <w:sz w:val="18"/>
                <w:szCs w:val="18"/>
                <w:highlight w:val="green"/>
              </w:rPr>
              <w:t xml:space="preserve"> 0.010 / 0.100 </w:t>
            </w:r>
          </w:p>
        </w:tc>
        <w:tc>
          <w:tcPr>
            <w:vAlign w:val="center"/>
          </w:tcPr>
          <w:p>
            <w:pPr>
              <w:pStyle w:val="Compact"/>
              <w:suppressAutoHyphens/>
              <w:jc w:val="center"/>
            </w:pPr>
            <w:r>
              <w:rPr>
                <w:sz w:val="18"/>
                <w:szCs w:val="18"/>
                <w:highlight w:val="green"/>
              </w:rPr>
              <w:t xml:space="preserve"> 0.80 / 0.13 </w:t>
            </w:r>
          </w:p>
        </w:tc>
      </w:tr>
      <w:tr>
        <w:tc>
          <w:tcPr>
            <w:vAlign w:val="center"/>
          </w:tcPr>
          <w:p>
            <w:pPr>
              <w:pStyle w:val="Compact"/>
              <w:suppressAutoHyphens/>
              <w:jc w:val="center"/>
            </w:pPr>
            <w:r>
              <w:rPr>
                <w:sz w:val="18"/>
                <w:szCs w:val="18"/>
                <w:highlight w:val="green"/>
              </w:rPr>
              <w:t xml:space="preserve"> HAI </w:t>
            </w:r>
          </w:p>
        </w:tc>
        <w:tc>
          <w:tcPr>
            <w:vAlign w:val="center"/>
          </w:tcPr>
          <w:p>
            <w:pPr>
              <w:pStyle w:val="Compact"/>
              <w:suppressAutoHyphens/>
              <w:jc w:val="center"/>
            </w:pPr>
            <w:r>
              <w:rPr>
                <w:sz w:val="18"/>
                <w:szCs w:val="18"/>
                <w:highlight w:val="green"/>
              </w:rPr>
              <w:t xml:space="preserve"> 1.00 (2.4) </w:t>
            </w:r>
          </w:p>
        </w:tc>
        <w:tc>
          <w:tcPr>
            <w:vAlign w:val="center"/>
          </w:tcPr>
          <w:p>
            <w:pPr>
              <w:pStyle w:val="Compact"/>
              <w:suppressAutoHyphens/>
              <w:jc w:val="center"/>
            </w:pPr>
            <w:r>
              <w:rPr>
                <w:sz w:val="18"/>
                <w:szCs w:val="18"/>
                <w:highlight w:val="green"/>
              </w:rPr>
              <w:t xml:space="preserve"> 0.09 (0.26) </w:t>
            </w:r>
          </w:p>
        </w:tc>
        <w:tc>
          <w:tcPr>
            <w:vAlign w:val="center"/>
          </w:tcPr>
          <w:p>
            <w:pPr>
              <w:pStyle w:val="Compact"/>
              <w:suppressAutoHyphens/>
              <w:jc w:val="center"/>
            </w:pPr>
            <w:r>
              <w:rPr>
                <w:sz w:val="18"/>
                <w:szCs w:val="18"/>
                <w:highlight w:val="green"/>
              </w:rPr>
              <w:t xml:space="preserve"> 0.000 / 0.035 </w:t>
            </w:r>
          </w:p>
        </w:tc>
        <w:tc>
          <w:tcPr>
            <w:vAlign w:val="center"/>
          </w:tcPr>
          <w:p>
            <w:pPr>
              <w:pStyle w:val="Compact"/>
              <w:suppressAutoHyphens/>
              <w:jc w:val="center"/>
            </w:pPr>
            <w:r>
              <w:rPr>
                <w:sz w:val="18"/>
                <w:szCs w:val="18"/>
                <w:highlight w:val="green"/>
              </w:rPr>
              <w:t xml:space="preserve"> 0.01 / 0.03 </w:t>
            </w:r>
          </w:p>
        </w:tc>
      </w:tr>
      <w:tr>
        <w:tc>
          <w:tcPr>
            <w:vAlign w:val="center"/>
          </w:tcPr>
          <w:p>
            <w:pPr>
              <w:pStyle w:val="Compact"/>
              <w:suppressAutoHyphens/>
              <w:jc w:val="center"/>
            </w:pPr>
            <w:r>
              <w:rPr>
                <w:sz w:val="18"/>
                <w:szCs w:val="18"/>
                <w:highlight w:val="green"/>
              </w:rPr>
              <w:t xml:space="preserve"> SWaT </w:t>
            </w:r>
          </w:p>
        </w:tc>
        <w:tc>
          <w:tcPr>
            <w:vAlign w:val="center"/>
          </w:tcPr>
          <w:p>
            <w:pPr>
              <w:pStyle w:val="Compact"/>
              <w:suppressAutoHyphens/>
              <w:jc w:val="center"/>
            </w:pPr>
            <w:r>
              <w:rPr>
                <w:sz w:val="18"/>
                <w:szCs w:val="18"/>
                <w:highlight w:val="green"/>
              </w:rPr>
              <w:t xml:space="preserve"> 0.99 (3.9) </w:t>
            </w:r>
          </w:p>
        </w:tc>
        <w:tc>
          <w:tcPr>
            <w:vAlign w:val="center"/>
          </w:tcPr>
          <w:p>
            <w:pPr>
              <w:pStyle w:val="Compact"/>
              <w:suppressAutoHyphens/>
              <w:jc w:val="center"/>
            </w:pPr>
            <w:r>
              <w:rPr>
                <w:sz w:val="18"/>
                <w:szCs w:val="18"/>
                <w:highlight w:val="green"/>
              </w:rPr>
              <w:t xml:space="preserve"> 0.02 (0.05) </w:t>
            </w:r>
          </w:p>
        </w:tc>
        <w:tc>
          <w:tcPr>
            <w:vAlign w:val="center"/>
          </w:tcPr>
          <w:p>
            <w:pPr>
              <w:pStyle w:val="Compact"/>
              <w:suppressAutoHyphens/>
              <w:jc w:val="center"/>
            </w:pPr>
            <w:r>
              <w:rPr>
                <w:sz w:val="18"/>
                <w:szCs w:val="18"/>
                <w:highlight w:val="green"/>
              </w:rPr>
              <w:t xml:space="preserve"> 0.008 / 0.117 </w:t>
            </w:r>
          </w:p>
        </w:tc>
        <w:tc>
          <w:tcPr>
            <w:vAlign w:val="center"/>
          </w:tcPr>
          <w:p>
            <w:pPr>
              <w:pStyle w:val="Compact"/>
              <w:suppressAutoHyphens/>
              <w:jc w:val="center"/>
            </w:pPr>
            <w:r>
              <w:rPr>
                <w:sz w:val="18"/>
                <w:szCs w:val="18"/>
                <w:highlight w:val="green"/>
              </w:rPr>
              <w:t xml:space="preserve"> 0.06 / 0.005 </w:t>
            </w:r>
          </w:p>
        </w:tc>
      </w:tr>
      <w:tr>
        <w:tc>
          <w:tcPr>
            <w:vAlign w:val="center"/>
          </w:tcPr>
          <w:p>
            <w:pPr>
              <w:pStyle w:val="Compact"/>
              <w:suppressAutoHyphens/>
              <w:jc w:val="center"/>
            </w:pPr>
            <w:r>
              <w:rPr>
                <w:sz w:val="18"/>
                <w:szCs w:val="18"/>
                <w:highlight w:val="green"/>
              </w:rPr>
              <w:t xml:space="preserve"> Cranfield (physical setpoints) </w:t>
            </w:r>
          </w:p>
        </w:tc>
        <w:tc>
          <w:tcPr>
            <w:vAlign w:val="center"/>
          </w:tcPr>
          <w:p>
            <w:pPr>
              <w:pStyle w:val="Compact"/>
              <w:suppressAutoHyphens/>
              <w:jc w:val="center"/>
            </w:pPr>
            <w:r>
              <w:rPr>
                <w:sz w:val="18"/>
                <w:szCs w:val="18"/>
                <w:highlight w:val="green"/>
              </w:rPr>
              <w:t xml:space="preserve"> 1.00 (2.2) </w:t>
            </w:r>
          </w:p>
        </w:tc>
        <w:tc>
          <w:tcPr>
            <w:vAlign w:val="center"/>
          </w:tcPr>
          <w:p>
            <w:pPr>
              <w:pStyle w:val="Compact"/>
              <w:suppressAutoHyphens/>
              <w:jc w:val="center"/>
            </w:pPr>
            <w:r>
              <w:rPr>
                <w:sz w:val="18"/>
                <w:szCs w:val="18"/>
                <w:highlight w:val="green"/>
              </w:rPr>
              <w:t xml:space="preserve"> 0.016 (0.030) </w:t>
            </w:r>
          </w:p>
        </w:tc>
        <w:tc>
          <w:tcPr>
            <w:vAlign w:val="center"/>
          </w:tcPr>
          <w:p>
            <w:pPr>
              <w:pStyle w:val="Compact"/>
              <w:suppressAutoHyphens/>
              <w:jc w:val="center"/>
            </w:pPr>
            <w:r>
              <w:rPr>
                <w:sz w:val="18"/>
                <w:szCs w:val="18"/>
                <w:highlight w:val="green"/>
              </w:rPr>
              <w:t xml:space="preserve"> 0.000 / 0.005 </w:t>
            </w:r>
          </w:p>
        </w:tc>
        <w:tc>
          <w:tcPr>
            <w:vAlign w:val="center"/>
          </w:tcPr>
          <w:p>
            <w:pPr>
              <w:pStyle w:val="Compact"/>
              <w:suppressAutoHyphens/>
              <w:jc w:val="center"/>
            </w:pPr>
            <w:r>
              <w:rPr>
                <w:sz w:val="18"/>
                <w:szCs w:val="18"/>
                <w:highlight w:val="green"/>
              </w:rPr>
              <w:t xml:space="preserve"> 0.28 / 0.000 </w:t>
            </w:r>
          </w:p>
        </w:tc>
      </w:tr>
      <w:tr>
        <w:tc>
          <w:tcPr>
            <w:vAlign w:val="center"/>
          </w:tcPr>
          <w:p>
            <w:pPr>
              <w:pStyle w:val="Compact"/>
              <w:suppressAutoHyphens/>
              <w:jc w:val="center"/>
            </w:pPr>
            <w:r>
              <w:rPr>
                <w:sz w:val="18"/>
                <w:szCs w:val="18"/>
                <w:highlight w:val="green"/>
              </w:rPr>
              <w:t xml:space="preserve"> SKAB </w:t>
            </w:r>
          </w:p>
        </w:tc>
        <w:tc>
          <w:tcPr>
            <w:vAlign w:val="center"/>
          </w:tcPr>
          <w:p>
            <w:pPr>
              <w:pStyle w:val="Compact"/>
              <w:suppressAutoHyphens/>
              <w:jc w:val="center"/>
            </w:pPr>
            <w:r>
              <w:rPr>
                <w:sz w:val="18"/>
                <w:szCs w:val="18"/>
                <w:highlight w:val="green"/>
              </w:rPr>
              <w:t xml:space="preserve"> 0.00 (4.3) </w:t>
            </w:r>
          </w:p>
        </w:tc>
        <w:tc>
          <w:tcPr>
            <w:vAlign w:val="center"/>
          </w:tcPr>
          <w:p>
            <w:pPr>
              <w:pStyle w:val="Compact"/>
              <w:suppressAutoHyphens/>
              <w:jc w:val="center"/>
            </w:pPr>
            <w:r>
              <w:rPr>
                <w:sz w:val="18"/>
                <w:szCs w:val="18"/>
                <w:highlight w:val="green"/>
              </w:rPr>
              <w:t xml:space="preserve"> – </w:t>
            </w:r>
          </w:p>
        </w:tc>
        <w:tc>
          <w:tcPr>
            <w:vAlign w:val="center"/>
          </w:tcPr>
          <w:p>
            <w:pPr>
              <w:pStyle w:val="Compact"/>
              <w:suppressAutoHyphens/>
              <w:jc w:val="center"/>
            </w:pPr>
            <w:r>
              <w:rPr>
                <w:sz w:val="18"/>
                <w:szCs w:val="18"/>
                <w:highlight w:val="green"/>
              </w:rPr>
              <w:t xml:space="preserve"> 0.002 / 0.010 </w:t>
            </w:r>
          </w:p>
        </w:tc>
        <w:tc>
          <w:tcPr>
            <w:vAlign w:val="center"/>
          </w:tcPr>
          <w:p>
            <w:pPr>
              <w:pStyle w:val="Compact"/>
              <w:suppressAutoHyphens/>
              <w:jc w:val="center"/>
            </w:pPr>
            <w:r>
              <w:rPr>
                <w:sz w:val="18"/>
                <w:szCs w:val="18"/>
                <w:highlight w:val="green"/>
              </w:rPr>
              <w:t xml:space="preserve"> 0.017 / 0.000 </w:t>
            </w:r>
          </w:p>
        </w:tc>
      </w:tr>
      <w:tr>
        <w:tc>
          <w:tcPr>
            <w:vAlign w:val="center"/>
          </w:tcPr>
          <w:p>
            <w:pPr>
              <w:pStyle w:val="Compact"/>
              <w:suppressAutoHyphens/>
              <w:jc w:val="center"/>
            </w:pPr>
            <w:r>
              <w:rPr>
                <w:sz w:val="18"/>
                <w:szCs w:val="18"/>
                <w:highlight w:val="green"/>
              </w:rPr>
              <w:t xml:space="preserve"> </w:t>
            </w:r>
            <w:r>
              <w:rPr>
                <w:i/>
                <w:iCs/>
                <w:sz w:val="18"/>
                <w:szCs w:val="18"/>
                <w:highlight w:val="green"/>
              </w:rPr>
              <w:t xml:space="preserve">positive control</w:t>
            </w:r>
            <w:r>
              <w:rPr>
                <w:sz w:val="18"/>
                <w:szCs w:val="18"/>
                <w:highlight w:val="green"/>
              </w:rPr>
              <w:t xml:space="preserve"> </w:t>
            </w:r>
          </w:p>
        </w:tc>
        <w:tc>
          <w:tcPr>
            <w:vAlign w:val="center"/>
          </w:tcPr>
          <w:p>
            <w:pPr>
              <w:pStyle w:val="Compact"/>
              <w:suppressAutoHyphens/>
              <w:jc w:val="center"/>
            </w:pPr>
            <w:r>
              <w:rPr>
                <w:sz w:val="18"/>
                <w:szCs w:val="18"/>
                <w:highlight w:val="green"/>
              </w:rPr>
              <w:t xml:space="preserve"> 1.00 (6.3) </w:t>
            </w:r>
          </w:p>
        </w:tc>
        <w:tc>
          <w:tcPr>
            <w:vAlign w:val="center"/>
          </w:tcPr>
          <w:p>
            <w:pPr>
              <w:pStyle w:val="Compact"/>
              <w:suppressAutoHyphens/>
              <w:jc w:val="center"/>
            </w:pPr>
            <w:r>
              <w:rPr>
                <w:sz w:val="18"/>
                <w:szCs w:val="18"/>
                <w:highlight w:val="green"/>
              </w:rPr>
              <w:t xml:space="preserve"> 0.61 (30% overlap) </w:t>
            </w:r>
          </w:p>
        </w:tc>
        <w:tc>
          <w:tcPr>
            <w:vAlign w:val="center"/>
          </w:tcPr>
          <w:p>
            <w:pPr>
              <w:pStyle w:val="Compact"/>
              <w:suppressAutoHyphens/>
              <w:jc w:val="center"/>
            </w:pPr>
            <w:r>
              <w:rPr>
                <w:sz w:val="18"/>
                <w:szCs w:val="18"/>
                <w:highlight w:val="green"/>
              </w:rPr>
              <w:t xml:space="preserve"> 0.123 / 0.111 </w:t>
            </w:r>
          </w:p>
        </w:tc>
        <w:tc>
          <w:tcPr>
            <w:vAlign w:val="center"/>
          </w:tcPr>
          <w:p>
            <w:pPr>
              <w:pStyle w:val="Compact"/>
              <w:suppressAutoHyphens/>
              <w:jc w:val="center"/>
            </w:pPr>
            <w:r>
              <w:rPr>
                <w:sz w:val="18"/>
                <w:szCs w:val="18"/>
                <w:highlight w:val="green"/>
              </w:rPr>
              <w:t xml:space="preserve"> 0.997 / 0.006 </w:t>
            </w:r>
          </w:p>
        </w:tc>
      </w:tr>
    </w:tbl>
    <w:p>
      <w:pPr>
        <w:pStyle w:val="MDPI31text"/>
        <w:ind w:left="2608"/>
      </w:pPr>
      <w:r>
        <w:rPr>
          <w:b/>
          <w:bCs/>
          <w:highlight w:val="green"/>
        </w:rPr>
        <w:t xml:space="preserve">SKAB.</w:t>
      </w:r>
      <w:r>
        <w:rPr>
          <w:highlight w:val="green"/>
        </w:rPr>
        <w:t xml:space="preserve"> </w:t>
      </w:r>
      <w:r>
        <w:rPr>
          <w:highlight w:val="green"/>
        </w:rPr>
        <w:t xml:space="preserve">SKAB [</w:t>
      </w:r>
      <w:hyperlink w:anchor="r-skab">
        <w:r>
          <w:rPr>
            <w:rStyle w:val="Hyperlink"/>
            <w:highlight w:val="green"/>
          </w:rPr>
          <w:t xml:space="preserve">54</w:t>
        </w:r>
      </w:hyperlink>
      <w:r>
        <w:rPr>
          <w:highlight w:val="green"/>
        </w:rPr>
        <w:t xml:space="preserve">], a 400-window rotor rig, has no close-distinct regime pairs (0 of 12; it is a single-loop rig), so it does not exhibit the A8 precondition. Its responsibility entropy of 0.29 is a variance-floor artifact: the VaDE component log-variance floor of log(0.05) manufactures apparent overlap on so few windows, and refitting with empirically estimated component variances drops the entropy to 0.045 to 0.048, the same as WADI (0.053 to 0.057), with the basin-head lift on the difficult subset going to zero on every seed. A8 is specified for completeness but not demonstrated on any dataset in this study.</w:t>
      </w:r>
    </w:p>
    <w:p>
      <w:pPr>
        <w:pStyle w:val="MDPI31text"/>
        <w:ind w:left="2608"/>
      </w:pPr>
      <w:r>
        <w:rPr/>
        <w:pict>
          <v:rect style="width:0;height:1.5pt" o:hralign="center" o:hrstd="t" o:hr="t"/>
        </w:pict>
      </w:r>
    </w:p>
    <w:p>
      <w:pPr>
        <w:pStyle w:val="MDPI21heading1"/>
        <w:ind w:left="2608"/>
      </w:pPr>
      <w:r>
        <w:rPr/>
        <w:t xml:space="preserve">References</w:t>
      </w:r>
    </w:p>
    <w:p>
      <w:pPr>
        <w:pStyle w:val="MDPI81references"/>
        <w:numPr>
          <w:ilvl w:val="0"/>
          <w:numId w:val="0"/>
        </w:numPr>
        <w:ind w:left="180" w:hanging="180"/>
      </w:pPr>
      <w:bookmarkStart w:id="49" w:name="r-chandola"/>
      <w:r>
        <w:rPr/>
        <w:t xml:space="preserve">Chandola, V.; Banerjee, A.; Kumar, V. Anomaly detection: A survey.</w:t>
      </w:r>
      <w:r>
        <w:rPr/>
        <w:t xml:space="preserve"> </w:t>
      </w:r>
      <w:r>
        <w:rPr>
          <w:i/>
          <w:iCs/>
        </w:rPr>
        <w:t xml:space="preserve">ACM Comput. Surv.</w:t>
      </w:r>
      <w:r>
        <w:rPr/>
        <w:t xml:space="preserve"> </w:t>
      </w:r>
      <w:r>
        <w:rPr>
          <w:b/>
          <w:bCs/>
        </w:rPr>
        <w:t xml:space="preserve">2009</w:t>
      </w:r>
      <w:r>
        <w:rPr/>
        <w:t xml:space="preserve">,</w:t>
      </w:r>
      <w:r>
        <w:rPr/>
        <w:t xml:space="preserve"> </w:t>
      </w:r>
      <w:r>
        <w:rPr>
          <w:i/>
          <w:iCs/>
        </w:rPr>
        <w:t xml:space="preserve">41</w:t>
      </w:r>
      <w:r>
        <w:rPr/>
        <w:t xml:space="preserve">, 15.</w:t>
      </w:r>
      <w:r>
        <w:rPr/>
        <w:t xml:space="preserve"> </w:t>
      </w:r>
      <w:hyperlink r:id="rId22">
        <w:r>
          <w:rPr>
            <w:rStyle w:val="Hyperlink"/>
          </w:rPr>
          <w:t xml:space="preserve">https://doi.org/10.1145/1541880.1541882</w:t>
        </w:r>
      </w:hyperlink>
      <w:r>
        <w:rPr/>
        <w:t xml:space="preserve">.</w:t>
      </w:r>
      <w:bookmarkEnd w:id="49"/>
    </w:p>
    <w:p>
      <w:pPr>
        <w:pStyle w:val="MDPI81references"/>
        <w:numPr>
          <w:ilvl w:val="0"/>
          <w:numId w:val="0"/>
        </w:numPr>
        <w:ind w:left="180" w:hanging="180"/>
      </w:pPr>
      <w:bookmarkStart w:id="51" w:name="r-pang"/>
      <w:r>
        <w:rPr/>
        <w:t xml:space="preserve">Pang, G.; Shen, C.; Cao, L.; van den Hengel, A. Deep learning for anomaly detection: A review.</w:t>
      </w:r>
      <w:r>
        <w:rPr/>
        <w:t xml:space="preserve"> </w:t>
      </w:r>
      <w:r>
        <w:rPr>
          <w:i/>
          <w:iCs/>
        </w:rPr>
        <w:t xml:space="preserve">ACM Comput. Surv.</w:t>
      </w:r>
      <w:r>
        <w:rPr/>
        <w:t xml:space="preserve"> </w:t>
      </w:r>
      <w:r>
        <w:rPr>
          <w:b/>
          <w:bCs/>
        </w:rPr>
        <w:t xml:space="preserve">2021</w:t>
      </w:r>
      <w:r>
        <w:rPr/>
        <w:t xml:space="preserve">,</w:t>
      </w:r>
      <w:r>
        <w:rPr/>
        <w:t xml:space="preserve"> </w:t>
      </w:r>
      <w:r>
        <w:rPr>
          <w:i/>
          <w:iCs/>
        </w:rPr>
        <w:t xml:space="preserve">54</w:t>
      </w:r>
      <w:r>
        <w:rPr/>
        <w:t xml:space="preserve">, 38.</w:t>
      </w:r>
      <w:r>
        <w:rPr/>
        <w:t xml:space="preserve"> </w:t>
      </w:r>
      <w:hyperlink r:id="rId23">
        <w:r>
          <w:rPr>
            <w:rStyle w:val="Hyperlink"/>
          </w:rPr>
          <w:t xml:space="preserve">https://doi.org/10.1145/3439950</w:t>
        </w:r>
      </w:hyperlink>
      <w:r>
        <w:rPr/>
        <w:t xml:space="preserve">.</w:t>
      </w:r>
      <w:bookmarkEnd w:id="51"/>
    </w:p>
    <w:p>
      <w:pPr>
        <w:pStyle w:val="MDPI81references"/>
        <w:numPr>
          <w:ilvl w:val="0"/>
          <w:numId w:val="0"/>
        </w:numPr>
        <w:ind w:left="180" w:hanging="180"/>
      </w:pPr>
      <w:bookmarkStart w:id="53" w:name="r-ruff"/>
      <w:r>
        <w:rPr/>
        <w:t xml:space="preserve">Ruff, L.; Kauffmann, J.R.; Vandermeulen, R.A.; Montavon, G.; Samek, W.; Kloft, M.; Dietterich, T.G.; Müller, K.-R. A unifying review of deep and shallow anomaly detection.</w:t>
      </w:r>
      <w:r>
        <w:rPr/>
        <w:t xml:space="preserve"> </w:t>
      </w:r>
      <w:r>
        <w:rPr>
          <w:i/>
          <w:iCs/>
        </w:rPr>
        <w:t xml:space="preserve">Proc. IEEE</w:t>
      </w:r>
      <w:r>
        <w:rPr/>
        <w:t xml:space="preserve"> </w:t>
      </w:r>
      <w:r>
        <w:rPr>
          <w:b/>
          <w:bCs/>
        </w:rPr>
        <w:t xml:space="preserve">2021</w:t>
      </w:r>
      <w:r>
        <w:rPr/>
        <w:t xml:space="preserve">,</w:t>
      </w:r>
      <w:r>
        <w:rPr/>
        <w:t xml:space="preserve"> </w:t>
      </w:r>
      <w:r>
        <w:rPr>
          <w:i/>
          <w:iCs/>
        </w:rPr>
        <w:t xml:space="preserve">109</w:t>
      </w:r>
      <w:r>
        <w:rPr/>
        <w:t xml:space="preserve">, 756–795.</w:t>
      </w:r>
      <w:r>
        <w:rPr/>
        <w:t xml:space="preserve"> </w:t>
      </w:r>
      <w:hyperlink r:id="rId24">
        <w:r>
          <w:rPr>
            <w:rStyle w:val="Hyperlink"/>
          </w:rPr>
          <w:t xml:space="preserve">https://doi.org/10.1109/JPROC.2021.3052449</w:t>
        </w:r>
      </w:hyperlink>
      <w:r>
        <w:rPr/>
        <w:t xml:space="preserve">.</w:t>
      </w:r>
      <w:bookmarkEnd w:id="53"/>
    </w:p>
    <w:p>
      <w:pPr>
        <w:pStyle w:val="MDPI81references"/>
        <w:numPr>
          <w:ilvl w:val="0"/>
          <w:numId w:val="0"/>
        </w:numPr>
        <w:ind w:left="180" w:hanging="180"/>
      </w:pPr>
      <w:bookmarkStart w:id="55" w:name="r-iotsurvey"/>
      <w:r>
        <w:rPr>
          <w:highlight w:val="yellow"/>
        </w:rPr>
        <w:t xml:space="preserve">Sallam, S.; El Barachi, M.; Li, N. Intrusion detection on the Internet of Things: A comprehensive review and gap analysis toward real-time, lightweight, adaptive, and autonomous security.</w:t>
      </w:r>
      <w:r>
        <w:rPr>
          <w:highlight w:val="yellow"/>
        </w:rPr>
        <w:t xml:space="preserve"> </w:t>
      </w:r>
      <w:r>
        <w:rPr>
          <w:i/>
          <w:iCs/>
          <w:highlight w:val="yellow"/>
        </w:rPr>
        <w:t xml:space="preserve">IoT</w:t>
      </w:r>
      <w:r>
        <w:rPr>
          <w:highlight w:val="yellow"/>
        </w:rPr>
        <w:t xml:space="preserve"> </w:t>
      </w:r>
      <w:r>
        <w:rPr>
          <w:b/>
          <w:bCs/>
          <w:highlight w:val="yellow"/>
        </w:rPr>
        <w:t xml:space="preserve">2026</w:t>
      </w:r>
      <w:r>
        <w:rPr>
          <w:highlight w:val="yellow"/>
        </w:rPr>
        <w:t xml:space="preserve">,</w:t>
      </w:r>
      <w:r>
        <w:rPr>
          <w:highlight w:val="yellow"/>
        </w:rPr>
        <w:t xml:space="preserve"> </w:t>
      </w:r>
      <w:r>
        <w:rPr>
          <w:i/>
          <w:iCs/>
          <w:highlight w:val="yellow"/>
        </w:rPr>
        <w:t xml:space="preserve">7</w:t>
      </w:r>
      <w:r>
        <w:rPr>
          <w:highlight w:val="yellow"/>
        </w:rPr>
        <w:t xml:space="preserve">, 16.</w:t>
      </w:r>
      <w:r>
        <w:rPr>
          <w:highlight w:val="yellow"/>
        </w:rPr>
        <w:t xml:space="preserve"> </w:t>
      </w:r>
      <w:hyperlink r:id="rId25">
        <w:r>
          <w:rPr>
            <w:rStyle w:val="Hyperlink"/>
            <w:highlight w:val="yellow"/>
          </w:rPr>
          <w:t xml:space="preserve">https://doi.org/10.3390/iot7010016</w:t>
        </w:r>
      </w:hyperlink>
      <w:r>
        <w:rPr>
          <w:highlight w:val="yellow"/>
        </w:rPr>
        <w:t xml:space="preserve">.</w:t>
      </w:r>
      <w:bookmarkEnd w:id="55"/>
    </w:p>
    <w:p>
      <w:pPr>
        <w:pStyle w:val="MDPI81references"/>
        <w:numPr>
          <w:ilvl w:val="0"/>
          <w:numId w:val="0"/>
        </w:numPr>
        <w:ind w:left="180" w:hanging="180"/>
      </w:pPr>
      <w:bookmarkStart w:id="57" w:name="r-iottaxon"/>
      <w:r>
        <w:rPr>
          <w:highlight w:val="yellow"/>
        </w:rPr>
        <w:t xml:space="preserve">Jaddoa, A.; Alharbi, H.; Hommadi, A.; Ismael, H.A. Toward scalable and sustainable detection systems: A behavioural taxonomy and utility-based framework for security detection in IoT and IIoT.</w:t>
      </w:r>
      <w:r>
        <w:rPr>
          <w:highlight w:val="yellow"/>
        </w:rPr>
        <w:t xml:space="preserve"> </w:t>
      </w:r>
      <w:r>
        <w:rPr>
          <w:i/>
          <w:iCs/>
          <w:highlight w:val="yellow"/>
        </w:rPr>
        <w:t xml:space="preserve">IoT</w:t>
      </w:r>
      <w:r>
        <w:rPr>
          <w:highlight w:val="yellow"/>
        </w:rPr>
        <w:t xml:space="preserve"> </w:t>
      </w:r>
      <w:r>
        <w:rPr>
          <w:b/>
          <w:bCs/>
          <w:highlight w:val="yellow"/>
        </w:rPr>
        <w:t xml:space="preserve">2025</w:t>
      </w:r>
      <w:r>
        <w:rPr>
          <w:highlight w:val="yellow"/>
        </w:rPr>
        <w:t xml:space="preserve">,</w:t>
      </w:r>
      <w:r>
        <w:rPr>
          <w:highlight w:val="yellow"/>
        </w:rPr>
        <w:t xml:space="preserve"> </w:t>
      </w:r>
      <w:r>
        <w:rPr>
          <w:i/>
          <w:iCs/>
          <w:highlight w:val="yellow"/>
        </w:rPr>
        <w:t xml:space="preserve">6</w:t>
      </w:r>
      <w:r>
        <w:rPr>
          <w:highlight w:val="yellow"/>
        </w:rPr>
        <w:t xml:space="preserve">, 62.</w:t>
      </w:r>
      <w:r>
        <w:rPr>
          <w:highlight w:val="yellow"/>
        </w:rPr>
        <w:t xml:space="preserve"> </w:t>
      </w:r>
      <w:hyperlink r:id="rId26">
        <w:r>
          <w:rPr>
            <w:rStyle w:val="Hyperlink"/>
            <w:highlight w:val="yellow"/>
          </w:rPr>
          <w:t xml:space="preserve">https://doi.org/10.3390/iot6040062</w:t>
        </w:r>
      </w:hyperlink>
      <w:r>
        <w:rPr>
          <w:highlight w:val="yellow"/>
        </w:rPr>
        <w:t xml:space="preserve">.</w:t>
      </w:r>
      <w:bookmarkEnd w:id="57"/>
    </w:p>
    <w:p>
      <w:pPr>
        <w:pStyle w:val="MDPI81references"/>
        <w:numPr>
          <w:ilvl w:val="0"/>
          <w:numId w:val="0"/>
        </w:numPr>
        <w:ind w:left="180" w:hanging="180"/>
      </w:pPr>
      <w:bookmarkStart w:id="59" w:name="r-iotae"/>
      <w:r>
        <w:rPr>
          <w:highlight w:val="yellow"/>
        </w:rPr>
        <w:t xml:space="preserve">Alaghbari, K.A.; Lim, H.-S.; Saad, M.H.M.; Yong, Y.S. Deep autoencoder-based integrated model for anomaly detection and efficient feature extraction in IoT networks.</w:t>
      </w:r>
      <w:r>
        <w:rPr>
          <w:highlight w:val="yellow"/>
        </w:rPr>
        <w:t xml:space="preserve"> </w:t>
      </w:r>
      <w:r>
        <w:rPr>
          <w:i/>
          <w:iCs/>
          <w:highlight w:val="yellow"/>
        </w:rPr>
        <w:t xml:space="preserve">IoT</w:t>
      </w:r>
      <w:r>
        <w:rPr>
          <w:highlight w:val="yellow"/>
        </w:rPr>
        <w:t xml:space="preserve"> </w:t>
      </w:r>
      <w:r>
        <w:rPr>
          <w:b/>
          <w:bCs/>
          <w:highlight w:val="yellow"/>
        </w:rPr>
        <w:t xml:space="preserve">2023</w:t>
      </w:r>
      <w:r>
        <w:rPr>
          <w:highlight w:val="yellow"/>
        </w:rPr>
        <w:t xml:space="preserve">,</w:t>
      </w:r>
      <w:r>
        <w:rPr>
          <w:highlight w:val="yellow"/>
        </w:rPr>
        <w:t xml:space="preserve"> </w:t>
      </w:r>
      <w:r>
        <w:rPr>
          <w:i/>
          <w:iCs/>
          <w:highlight w:val="yellow"/>
        </w:rPr>
        <w:t xml:space="preserve">4</w:t>
      </w:r>
      <w:r>
        <w:rPr>
          <w:highlight w:val="yellow"/>
        </w:rPr>
        <w:t xml:space="preserve">, 345–365.</w:t>
      </w:r>
      <w:r>
        <w:rPr>
          <w:highlight w:val="yellow"/>
        </w:rPr>
        <w:t xml:space="preserve"> </w:t>
      </w:r>
      <w:hyperlink r:id="rId27">
        <w:r>
          <w:rPr>
            <w:rStyle w:val="Hyperlink"/>
            <w:highlight w:val="yellow"/>
          </w:rPr>
          <w:t xml:space="preserve">https://doi.org/10.3390/iot4030016</w:t>
        </w:r>
      </w:hyperlink>
      <w:r>
        <w:rPr>
          <w:highlight w:val="yellow"/>
        </w:rPr>
        <w:t xml:space="preserve">.</w:t>
      </w:r>
      <w:bookmarkEnd w:id="59"/>
    </w:p>
    <w:p>
      <w:pPr>
        <w:pStyle w:val="MDPI81references"/>
        <w:numPr>
          <w:ilvl w:val="0"/>
          <w:numId w:val="0"/>
        </w:numPr>
        <w:ind w:left="180" w:hanging="180"/>
      </w:pPr>
      <w:bookmarkStart w:id="61" w:name="r-kim"/>
      <w:r>
        <w:rPr/>
        <w:t xml:space="preserve">Kim, S.; Choi, K.; Choi, H.-S.; Lee, B.; Yoon, S. Towards a rigorous evaluation of time-series anomaly detection. In Proceedings of the AAAI Conference on Artificial Intelligence, Virtual, 22 February–1 March 2022; Volume 36, pp. 7194–7201.</w:t>
      </w:r>
      <w:r>
        <w:rPr/>
        <w:t xml:space="preserve"> </w:t>
      </w:r>
      <w:hyperlink r:id="rId28">
        <w:r>
          <w:rPr>
            <w:rStyle w:val="Hyperlink"/>
          </w:rPr>
          <w:t xml:space="preserve">https://doi.org/10.1609/aaai.v36i7.20680</w:t>
        </w:r>
      </w:hyperlink>
      <w:r>
        <w:rPr/>
        <w:t xml:space="preserve">.</w:t>
      </w:r>
      <w:bookmarkEnd w:id="61"/>
    </w:p>
    <w:p>
      <w:pPr>
        <w:pStyle w:val="MDPI81references"/>
        <w:numPr>
          <w:ilvl w:val="0"/>
          <w:numId w:val="0"/>
        </w:numPr>
        <w:ind w:left="180" w:hanging="180"/>
      </w:pPr>
      <w:bookmarkStart w:id="63" w:name="r-garg"/>
      <w:r>
        <w:rPr/>
        <w:t xml:space="preserve">Garg, A.; Zhang, W.; Samaran, J.; Savitha, R.; Foo, C.-S. An evaluation of anomaly detection and diagnosis in multivariate time series.</w:t>
      </w:r>
      <w:r>
        <w:rPr/>
        <w:t xml:space="preserve"> </w:t>
      </w:r>
      <w:r>
        <w:rPr>
          <w:i/>
          <w:iCs/>
        </w:rPr>
        <w:t xml:space="preserve">IEEE Trans. Neural Netw. Learn. Syst.</w:t>
      </w:r>
      <w:r>
        <w:rPr/>
        <w:t xml:space="preserve"> </w:t>
      </w:r>
      <w:r>
        <w:rPr>
          <w:b/>
          <w:bCs/>
        </w:rPr>
        <w:t xml:space="preserve">2022</w:t>
      </w:r>
      <w:r>
        <w:rPr/>
        <w:t xml:space="preserve">,</w:t>
      </w:r>
      <w:r>
        <w:rPr/>
        <w:t xml:space="preserve"> </w:t>
      </w:r>
      <w:r>
        <w:rPr>
          <w:i/>
          <w:iCs/>
        </w:rPr>
        <w:t xml:space="preserve">33</w:t>
      </w:r>
      <w:r>
        <w:rPr/>
        <w:t xml:space="preserve">, 2508–2517.</w:t>
      </w:r>
      <w:r>
        <w:rPr/>
        <w:t xml:space="preserve"> </w:t>
      </w:r>
      <w:hyperlink r:id="rId29">
        <w:r>
          <w:rPr>
            <w:rStyle w:val="Hyperlink"/>
          </w:rPr>
          <w:t xml:space="preserve">https://doi.org/10.1109/TNNLS.2021.3105827</w:t>
        </w:r>
      </w:hyperlink>
      <w:r>
        <w:rPr/>
        <w:t xml:space="preserve">.</w:t>
      </w:r>
      <w:bookmarkEnd w:id="63"/>
    </w:p>
    <w:p>
      <w:pPr>
        <w:pStyle w:val="MDPI81references"/>
        <w:numPr>
          <w:ilvl w:val="0"/>
          <w:numId w:val="0"/>
        </w:numPr>
        <w:ind w:left="180" w:hanging="180"/>
      </w:pPr>
      <w:bookmarkStart w:id="65" w:name="r-wukeogh"/>
      <w:r>
        <w:rPr/>
        <w:t xml:space="preserve">Wu, R.; Keogh, E.J. Current time series anomaly detection benchmarks are flawed and are creating the illusion of progress.</w:t>
      </w:r>
      <w:r>
        <w:rPr/>
        <w:t xml:space="preserve"> </w:t>
      </w:r>
      <w:r>
        <w:rPr>
          <w:i/>
          <w:iCs/>
        </w:rPr>
        <w:t xml:space="preserve">IEEE Trans. Knowl. Data Eng.</w:t>
      </w:r>
      <w:r>
        <w:rPr/>
        <w:t xml:space="preserve"> </w:t>
      </w:r>
      <w:r>
        <w:rPr>
          <w:b/>
          <w:bCs/>
        </w:rPr>
        <w:t xml:space="preserve">2023</w:t>
      </w:r>
      <w:r>
        <w:rPr/>
        <w:t xml:space="preserve">,</w:t>
      </w:r>
      <w:r>
        <w:rPr/>
        <w:t xml:space="preserve"> </w:t>
      </w:r>
      <w:r>
        <w:rPr>
          <w:i/>
          <w:iCs/>
        </w:rPr>
        <w:t xml:space="preserve">35</w:t>
      </w:r>
      <w:r>
        <w:rPr/>
        <w:t xml:space="preserve">, 2421–2429.</w:t>
      </w:r>
      <w:r>
        <w:rPr/>
        <w:t xml:space="preserve"> </w:t>
      </w:r>
      <w:hyperlink r:id="rId30">
        <w:r>
          <w:rPr>
            <w:rStyle w:val="Hyperlink"/>
          </w:rPr>
          <w:t xml:space="preserve">https://doi.org/10.1109/TKDE.2021.3112126</w:t>
        </w:r>
      </w:hyperlink>
      <w:r>
        <w:rPr/>
        <w:t xml:space="preserve">.</w:t>
      </w:r>
      <w:bookmarkEnd w:id="65"/>
    </w:p>
    <w:p>
      <w:pPr>
        <w:pStyle w:val="MDPI81references"/>
        <w:numPr>
          <w:ilvl w:val="0"/>
          <w:numId w:val="0"/>
        </w:numPr>
        <w:ind w:left="180" w:hanging="180"/>
      </w:pPr>
      <w:bookmarkStart w:id="67" w:name="r-incip"/>
      <w:r>
        <w:rPr>
          <w:highlight w:val="green"/>
        </w:rPr>
        <w:t xml:space="preserve">Wang, J.; Zhao, S.; Wang, E.; Zhao, J.; Liu, X.; Li, Z. Incipient fault detection in a hydraulic system using canonical variable analysis combined with adaptive kernel density estimation.</w:t>
      </w:r>
      <w:r>
        <w:rPr>
          <w:highlight w:val="green"/>
        </w:rPr>
        <w:t xml:space="preserve"> </w:t>
      </w:r>
      <w:r>
        <w:rPr>
          <w:i/>
          <w:iCs/>
          <w:highlight w:val="green"/>
        </w:rPr>
        <w:t xml:space="preserve">Sensors</w:t>
      </w:r>
      <w:r>
        <w:rPr>
          <w:highlight w:val="green"/>
        </w:rPr>
        <w:t xml:space="preserve"> </w:t>
      </w:r>
      <w:r>
        <w:rPr>
          <w:b/>
          <w:bCs/>
          <w:highlight w:val="green"/>
        </w:rPr>
        <w:t xml:space="preserve">2023</w:t>
      </w:r>
      <w:r>
        <w:rPr>
          <w:highlight w:val="green"/>
        </w:rPr>
        <w:t xml:space="preserve">,</w:t>
      </w:r>
      <w:r>
        <w:rPr>
          <w:highlight w:val="green"/>
        </w:rPr>
        <w:t xml:space="preserve"> </w:t>
      </w:r>
      <w:r>
        <w:rPr>
          <w:i/>
          <w:iCs/>
          <w:highlight w:val="green"/>
        </w:rPr>
        <w:t xml:space="preserve">23</w:t>
      </w:r>
      <w:r>
        <w:rPr>
          <w:highlight w:val="green"/>
        </w:rPr>
        <w:t xml:space="preserve">, 8096.</w:t>
      </w:r>
      <w:r>
        <w:rPr>
          <w:highlight w:val="green"/>
        </w:rPr>
        <w:t xml:space="preserve"> </w:t>
      </w:r>
      <w:hyperlink r:id="rId31">
        <w:r>
          <w:rPr>
            <w:rStyle w:val="Hyperlink"/>
            <w:highlight w:val="green"/>
          </w:rPr>
          <w:t xml:space="preserve">https://doi.org/10.3390/s23198096</w:t>
        </w:r>
      </w:hyperlink>
      <w:r>
        <w:rPr>
          <w:highlight w:val="green"/>
        </w:rPr>
        <w:t xml:space="preserve">.</w:t>
      </w:r>
      <w:bookmarkEnd w:id="67"/>
    </w:p>
    <w:p>
      <w:pPr>
        <w:pStyle w:val="MDPI81references"/>
        <w:numPr>
          <w:ilvl w:val="0"/>
          <w:numId w:val="0"/>
        </w:numPr>
        <w:ind w:left="180" w:hanging="180"/>
      </w:pPr>
      <w:bookmarkStart w:id="69" w:name="r-bdg2"/>
      <w:r>
        <w:rPr>
          <w:highlight w:val="green"/>
        </w:rPr>
        <w:t xml:space="preserve">Miller, C.; Kathirgamanathan, A.; Picchetti, B.; Arjunan, P.; Park, J.Y.; Nagy, Z.; Raftery, P.; Hobson, B.W.; Shi, Z.; Meggers, F. The Building Data Genome Project 2, energy meter data from the ASHRAE Great Energy Predictor III competition.</w:t>
      </w:r>
      <w:r>
        <w:rPr>
          <w:highlight w:val="green"/>
        </w:rPr>
        <w:t xml:space="preserve"> </w:t>
      </w:r>
      <w:r>
        <w:rPr>
          <w:i/>
          <w:iCs/>
          <w:highlight w:val="green"/>
        </w:rPr>
        <w:t xml:space="preserve">Sci. Data</w:t>
      </w:r>
      <w:r>
        <w:rPr>
          <w:highlight w:val="green"/>
        </w:rPr>
        <w:t xml:space="preserve"> </w:t>
      </w:r>
      <w:r>
        <w:rPr>
          <w:b/>
          <w:bCs/>
          <w:highlight w:val="green"/>
        </w:rPr>
        <w:t xml:space="preserve">2020</w:t>
      </w:r>
      <w:r>
        <w:rPr>
          <w:highlight w:val="green"/>
        </w:rPr>
        <w:t xml:space="preserve">,</w:t>
      </w:r>
      <w:r>
        <w:rPr>
          <w:highlight w:val="green"/>
        </w:rPr>
        <w:t xml:space="preserve"> </w:t>
      </w:r>
      <w:r>
        <w:rPr>
          <w:i/>
          <w:iCs/>
          <w:highlight w:val="green"/>
        </w:rPr>
        <w:t xml:space="preserve">7</w:t>
      </w:r>
      <w:r>
        <w:rPr>
          <w:highlight w:val="green"/>
        </w:rPr>
        <w:t xml:space="preserve">, 368.</w:t>
      </w:r>
      <w:r>
        <w:rPr>
          <w:highlight w:val="green"/>
        </w:rPr>
        <w:t xml:space="preserve"> </w:t>
      </w:r>
      <w:hyperlink r:id="rId32">
        <w:r>
          <w:rPr>
            <w:rStyle w:val="Hyperlink"/>
            <w:highlight w:val="green"/>
          </w:rPr>
          <w:t xml:space="preserve">https://doi.org/10.1038/s41597-020-00712-x</w:t>
        </w:r>
      </w:hyperlink>
      <w:r>
        <w:rPr>
          <w:highlight w:val="green"/>
        </w:rPr>
        <w:t xml:space="preserve">.</w:t>
      </w:r>
      <w:bookmarkEnd w:id="69"/>
    </w:p>
    <w:p>
      <w:pPr>
        <w:pStyle w:val="MDPI81references"/>
        <w:numPr>
          <w:ilvl w:val="0"/>
          <w:numId w:val="0"/>
        </w:numPr>
        <w:ind w:left="180" w:hanging="180"/>
      </w:pPr>
      <w:bookmarkStart w:id="71" w:name="r-tsreview"/>
      <w:r>
        <w:rPr/>
        <w:t xml:space="preserve">Blázquez-García, A.; Conde, A.; Mori, U.; Lozano, J.A. A review on outlier/anomaly detection in time series data.</w:t>
      </w:r>
      <w:r>
        <w:rPr/>
        <w:t xml:space="preserve"> </w:t>
      </w:r>
      <w:r>
        <w:rPr>
          <w:i/>
          <w:iCs/>
        </w:rPr>
        <w:t xml:space="preserve">ACM Comput. Surv.</w:t>
      </w:r>
      <w:r>
        <w:rPr/>
        <w:t xml:space="preserve"> </w:t>
      </w:r>
      <w:r>
        <w:rPr>
          <w:b/>
          <w:bCs/>
        </w:rPr>
        <w:t xml:space="preserve">2021</w:t>
      </w:r>
      <w:r>
        <w:rPr/>
        <w:t xml:space="preserve">,</w:t>
      </w:r>
      <w:r>
        <w:rPr/>
        <w:t xml:space="preserve"> </w:t>
      </w:r>
      <w:r>
        <w:rPr>
          <w:i/>
          <w:iCs/>
        </w:rPr>
        <w:t xml:space="preserve">54</w:t>
      </w:r>
      <w:r>
        <w:rPr/>
        <w:t xml:space="preserve">, 56.</w:t>
      </w:r>
      <w:r>
        <w:rPr/>
        <w:t xml:space="preserve"> </w:t>
      </w:r>
      <w:hyperlink r:id="rId33">
        <w:r>
          <w:rPr>
            <w:rStyle w:val="Hyperlink"/>
          </w:rPr>
          <w:t xml:space="preserve">https://doi.org/10.1145/3444690</w:t>
        </w:r>
      </w:hyperlink>
      <w:r>
        <w:rPr/>
        <w:t xml:space="preserve">.</w:t>
      </w:r>
      <w:bookmarkEnd w:id="71"/>
    </w:p>
    <w:p>
      <w:pPr>
        <w:pStyle w:val="MDPI81references"/>
        <w:numPr>
          <w:ilvl w:val="0"/>
          <w:numId w:val="0"/>
        </w:numPr>
        <w:ind w:left="180" w:hanging="180"/>
      </w:pPr>
      <w:bookmarkStart w:id="73" w:name="r-icssurvey"/>
      <w:r>
        <w:rPr/>
        <w:t xml:space="preserve">Hu, Y.; Yang, A.; Li, H.; Sun, Y.; Sun, L. A survey of intrusion detection on industrial control systems.</w:t>
      </w:r>
      <w:r>
        <w:rPr/>
        <w:t xml:space="preserve"> </w:t>
      </w:r>
      <w:r>
        <w:rPr>
          <w:i/>
          <w:iCs/>
        </w:rPr>
        <w:t xml:space="preserve">Int. J. Distrib. Sens. Netw.</w:t>
      </w:r>
      <w:r>
        <w:rPr/>
        <w:t xml:space="preserve"> </w:t>
      </w:r>
      <w:r>
        <w:rPr>
          <w:b/>
          <w:bCs/>
        </w:rPr>
        <w:t xml:space="preserve">2018</w:t>
      </w:r>
      <w:r>
        <w:rPr/>
        <w:t xml:space="preserve">,</w:t>
      </w:r>
      <w:r>
        <w:rPr/>
        <w:t xml:space="preserve"> </w:t>
      </w:r>
      <w:r>
        <w:rPr>
          <w:i/>
          <w:iCs/>
        </w:rPr>
        <w:t xml:space="preserve">14</w:t>
      </w:r>
      <w:r>
        <w:rPr/>
        <w:t xml:space="preserve">, 1550147718794615.</w:t>
      </w:r>
      <w:r>
        <w:rPr/>
        <w:t xml:space="preserve"> </w:t>
      </w:r>
      <w:hyperlink r:id="rId34">
        <w:r>
          <w:rPr>
            <w:rStyle w:val="Hyperlink"/>
          </w:rPr>
          <w:t xml:space="preserve">https://doi.org/10.1177/1550147718794615</w:t>
        </w:r>
      </w:hyperlink>
      <w:r>
        <w:rPr/>
        <w:t xml:space="preserve">.</w:t>
      </w:r>
      <w:bookmarkEnd w:id="73"/>
    </w:p>
    <w:p>
      <w:pPr>
        <w:pStyle w:val="MDPI81references"/>
        <w:numPr>
          <w:ilvl w:val="0"/>
          <w:numId w:val="0"/>
        </w:numPr>
        <w:ind w:left="180" w:hanging="180"/>
      </w:pPr>
      <w:bookmarkStart w:id="75" w:name="r-tsadreview"/>
      <w:r>
        <w:rPr>
          <w:highlight w:val="yellow"/>
        </w:rPr>
        <w:t xml:space="preserve">Choi, K.; Yi, J.; Park, C.; Yoon, S. Deep learning for anomaly detection in time-series data: Review, analysis, and guidelines.</w:t>
      </w:r>
      <w:r>
        <w:rPr>
          <w:highlight w:val="yellow"/>
        </w:rPr>
        <w:t xml:space="preserve"> </w:t>
      </w:r>
      <w:r>
        <w:rPr>
          <w:i/>
          <w:iCs/>
          <w:highlight w:val="yellow"/>
        </w:rPr>
        <w:t xml:space="preserve">IEEE Access</w:t>
      </w:r>
      <w:r>
        <w:rPr>
          <w:highlight w:val="yellow"/>
        </w:rPr>
        <w:t xml:space="preserve"> </w:t>
      </w:r>
      <w:r>
        <w:rPr>
          <w:b/>
          <w:bCs/>
          <w:highlight w:val="yellow"/>
        </w:rPr>
        <w:t xml:space="preserve">2021</w:t>
      </w:r>
      <w:r>
        <w:rPr>
          <w:highlight w:val="yellow"/>
        </w:rPr>
        <w:t xml:space="preserve">,</w:t>
      </w:r>
      <w:r>
        <w:rPr>
          <w:highlight w:val="yellow"/>
        </w:rPr>
        <w:t xml:space="preserve"> </w:t>
      </w:r>
      <w:r>
        <w:rPr>
          <w:i/>
          <w:iCs/>
          <w:highlight w:val="yellow"/>
        </w:rPr>
        <w:t xml:space="preserve">9</w:t>
      </w:r>
      <w:r>
        <w:rPr>
          <w:highlight w:val="yellow"/>
        </w:rPr>
        <w:t xml:space="preserve">, 120043–120065.</w:t>
      </w:r>
      <w:r>
        <w:rPr>
          <w:highlight w:val="yellow"/>
        </w:rPr>
        <w:t xml:space="preserve"> </w:t>
      </w:r>
      <w:hyperlink r:id="rId35">
        <w:r>
          <w:rPr>
            <w:rStyle w:val="Hyperlink"/>
            <w:highlight w:val="yellow"/>
          </w:rPr>
          <w:t xml:space="preserve">https://doi.org/10.1109/ACCESS.2021.3107975</w:t>
        </w:r>
      </w:hyperlink>
      <w:r>
        <w:rPr>
          <w:highlight w:val="yellow"/>
        </w:rPr>
        <w:t xml:space="preserve">.</w:t>
      </w:r>
      <w:bookmarkEnd w:id="75"/>
    </w:p>
    <w:p>
      <w:pPr>
        <w:pStyle w:val="MDPI81references"/>
        <w:numPr>
          <w:ilvl w:val="0"/>
          <w:numId w:val="0"/>
        </w:numPr>
        <w:ind w:left="180" w:hanging="180"/>
      </w:pPr>
      <w:bookmarkStart w:id="77" w:name="r-edgeint"/>
      <w:r>
        <w:rPr>
          <w:highlight w:val="yellow"/>
        </w:rPr>
        <w:t xml:space="preserve">Zhou, Z.; Chen, X.; Li, E.; Zeng, L.; Luo, K.; Zhang, J. Edge intelligence: Paving the last mile of artificial intelligence with edge computing.</w:t>
      </w:r>
      <w:r>
        <w:rPr>
          <w:highlight w:val="yellow"/>
        </w:rPr>
        <w:t xml:space="preserve"> </w:t>
      </w:r>
      <w:r>
        <w:rPr>
          <w:i/>
          <w:iCs/>
          <w:highlight w:val="yellow"/>
        </w:rPr>
        <w:t xml:space="preserve">Proc. IEEE</w:t>
      </w:r>
      <w:r>
        <w:rPr>
          <w:highlight w:val="yellow"/>
        </w:rPr>
        <w:t xml:space="preserve"> </w:t>
      </w:r>
      <w:r>
        <w:rPr>
          <w:b/>
          <w:bCs/>
          <w:highlight w:val="yellow"/>
        </w:rPr>
        <w:t xml:space="preserve">2019</w:t>
      </w:r>
      <w:r>
        <w:rPr>
          <w:highlight w:val="yellow"/>
        </w:rPr>
        <w:t xml:space="preserve">,</w:t>
      </w:r>
      <w:r>
        <w:rPr>
          <w:highlight w:val="yellow"/>
        </w:rPr>
        <w:t xml:space="preserve"> </w:t>
      </w:r>
      <w:r>
        <w:rPr>
          <w:i/>
          <w:iCs/>
          <w:highlight w:val="yellow"/>
        </w:rPr>
        <w:t xml:space="preserve">107</w:t>
      </w:r>
      <w:r>
        <w:rPr>
          <w:highlight w:val="yellow"/>
        </w:rPr>
        <w:t xml:space="preserve">, 1738–1762.</w:t>
      </w:r>
      <w:r>
        <w:rPr>
          <w:highlight w:val="yellow"/>
        </w:rPr>
        <w:t xml:space="preserve"> </w:t>
      </w:r>
      <w:hyperlink r:id="rId36">
        <w:r>
          <w:rPr>
            <w:rStyle w:val="Hyperlink"/>
            <w:highlight w:val="yellow"/>
          </w:rPr>
          <w:t xml:space="preserve">https://doi.org/10.1109/JPROC.2019.2918951</w:t>
        </w:r>
      </w:hyperlink>
      <w:r>
        <w:rPr>
          <w:highlight w:val="yellow"/>
        </w:rPr>
        <w:t xml:space="preserve">.</w:t>
      </w:r>
      <w:bookmarkEnd w:id="77"/>
    </w:p>
    <w:p>
      <w:pPr>
        <w:pStyle w:val="MDPI81references"/>
        <w:numPr>
          <w:ilvl w:val="0"/>
          <w:numId w:val="0"/>
        </w:numPr>
        <w:ind w:left="180" w:hanging="180"/>
      </w:pPr>
      <w:bookmarkStart w:id="79" w:name="r-iotlora"/>
      <w:r>
        <w:rPr>
          <w:highlight w:val="yellow"/>
        </w:rPr>
        <w:t xml:space="preserve">Esteves, G.; Fidalgo, F.; Cruz, N.; Simão, J. Long-range wide area network intrusion detection at the edge.</w:t>
      </w:r>
      <w:r>
        <w:rPr>
          <w:highlight w:val="yellow"/>
        </w:rPr>
        <w:t xml:space="preserve"> </w:t>
      </w:r>
      <w:r>
        <w:rPr>
          <w:i/>
          <w:iCs/>
          <w:highlight w:val="yellow"/>
        </w:rPr>
        <w:t xml:space="preserve">IoT</w:t>
      </w:r>
      <w:r>
        <w:rPr>
          <w:highlight w:val="yellow"/>
        </w:rPr>
        <w:t xml:space="preserve"> </w:t>
      </w:r>
      <w:r>
        <w:rPr>
          <w:b/>
          <w:bCs/>
          <w:highlight w:val="yellow"/>
        </w:rPr>
        <w:t xml:space="preserve">2024</w:t>
      </w:r>
      <w:r>
        <w:rPr>
          <w:highlight w:val="yellow"/>
        </w:rPr>
        <w:t xml:space="preserve">,</w:t>
      </w:r>
      <w:r>
        <w:rPr>
          <w:highlight w:val="yellow"/>
        </w:rPr>
        <w:t xml:space="preserve"> </w:t>
      </w:r>
      <w:r>
        <w:rPr>
          <w:i/>
          <w:iCs/>
          <w:highlight w:val="yellow"/>
        </w:rPr>
        <w:t xml:space="preserve">5</w:t>
      </w:r>
      <w:r>
        <w:rPr>
          <w:highlight w:val="yellow"/>
        </w:rPr>
        <w:t xml:space="preserve">, 871–900.</w:t>
      </w:r>
      <w:r>
        <w:rPr>
          <w:highlight w:val="yellow"/>
        </w:rPr>
        <w:t xml:space="preserve"> </w:t>
      </w:r>
      <w:hyperlink r:id="rId37">
        <w:r>
          <w:rPr>
            <w:rStyle w:val="Hyperlink"/>
            <w:highlight w:val="yellow"/>
          </w:rPr>
          <w:t xml:space="preserve">https://doi.org/10.3390/iot5040040</w:t>
        </w:r>
      </w:hyperlink>
      <w:r>
        <w:rPr>
          <w:highlight w:val="yellow"/>
        </w:rPr>
        <w:t xml:space="preserve">.</w:t>
      </w:r>
      <w:bookmarkEnd w:id="79"/>
    </w:p>
    <w:p>
      <w:pPr>
        <w:pStyle w:val="MDPI81references"/>
        <w:numPr>
          <w:ilvl w:val="0"/>
          <w:numId w:val="0"/>
        </w:numPr>
        <w:ind w:left="180" w:hanging="180"/>
      </w:pPr>
      <w:bookmarkStart w:id="81" w:name="r-iotedgeai"/>
      <w:r>
        <w:rPr>
          <w:highlight w:val="yellow"/>
        </w:rPr>
        <w:t xml:space="preserve">Al Rawajbeh, M.; Maria Soosai, A.J.; Ramasamy, L.K.; Khan, F. Trustworthy adaptive AI for real-time intrusion detection in industrial IoT security.</w:t>
      </w:r>
      <w:r>
        <w:rPr>
          <w:highlight w:val="yellow"/>
        </w:rPr>
        <w:t xml:space="preserve"> </w:t>
      </w:r>
      <w:r>
        <w:rPr>
          <w:i/>
          <w:iCs/>
          <w:highlight w:val="yellow"/>
        </w:rPr>
        <w:t xml:space="preserve">IoT</w:t>
      </w:r>
      <w:r>
        <w:rPr>
          <w:highlight w:val="yellow"/>
        </w:rPr>
        <w:t xml:space="preserve"> </w:t>
      </w:r>
      <w:r>
        <w:rPr>
          <w:b/>
          <w:bCs/>
          <w:highlight w:val="yellow"/>
        </w:rPr>
        <w:t xml:space="preserve">2025</w:t>
      </w:r>
      <w:r>
        <w:rPr>
          <w:highlight w:val="yellow"/>
        </w:rPr>
        <w:t xml:space="preserve">,</w:t>
      </w:r>
      <w:r>
        <w:rPr>
          <w:highlight w:val="yellow"/>
        </w:rPr>
        <w:t xml:space="preserve"> </w:t>
      </w:r>
      <w:r>
        <w:rPr>
          <w:i/>
          <w:iCs/>
          <w:highlight w:val="yellow"/>
        </w:rPr>
        <w:t xml:space="preserve">6</w:t>
      </w:r>
      <w:r>
        <w:rPr>
          <w:highlight w:val="yellow"/>
        </w:rPr>
        <w:t xml:space="preserve">, 53.</w:t>
      </w:r>
      <w:r>
        <w:rPr>
          <w:highlight w:val="yellow"/>
        </w:rPr>
        <w:t xml:space="preserve"> </w:t>
      </w:r>
      <w:hyperlink r:id="rId38">
        <w:r>
          <w:rPr>
            <w:rStyle w:val="Hyperlink"/>
            <w:highlight w:val="yellow"/>
          </w:rPr>
          <w:t xml:space="preserve">https://doi.org/10.3390/iot6030053</w:t>
        </w:r>
      </w:hyperlink>
      <w:r>
        <w:rPr>
          <w:highlight w:val="yellow"/>
        </w:rPr>
        <w:t xml:space="preserve">.</w:t>
      </w:r>
      <w:bookmarkEnd w:id="81"/>
    </w:p>
    <w:p>
      <w:pPr>
        <w:pStyle w:val="MDPI81references"/>
        <w:numPr>
          <w:ilvl w:val="0"/>
          <w:numId w:val="0"/>
        </w:numPr>
        <w:ind w:left="180" w:hanging="180"/>
      </w:pPr>
      <w:bookmarkStart w:id="83" w:name="r-islam"/>
      <w:r>
        <w:rPr>
          <w:highlight w:val="green"/>
        </w:rPr>
        <w:t xml:space="preserve">Islam, M.S.; Carden, J. Product-aware deep autoencoders for robust process monitoring in multi-product cyber-physical systems.</w:t>
      </w:r>
      <w:r>
        <w:rPr>
          <w:highlight w:val="green"/>
        </w:rPr>
        <w:t xml:space="preserve"> </w:t>
      </w:r>
      <w:r>
        <w:rPr>
          <w:i/>
          <w:iCs/>
          <w:highlight w:val="green"/>
        </w:rPr>
        <w:t xml:space="preserve">arXiv</w:t>
      </w:r>
      <w:r>
        <w:rPr>
          <w:highlight w:val="green"/>
        </w:rPr>
        <w:t xml:space="preserve"> </w:t>
      </w:r>
      <w:r>
        <w:rPr>
          <w:b/>
          <w:bCs/>
          <w:highlight w:val="green"/>
        </w:rPr>
        <w:t xml:space="preserve">2026</w:t>
      </w:r>
      <w:r>
        <w:rPr>
          <w:highlight w:val="green"/>
        </w:rPr>
        <w:t xml:space="preserve">, arXiv:2606.00052.</w:t>
      </w:r>
      <w:r>
        <w:rPr>
          <w:highlight w:val="green"/>
        </w:rPr>
        <w:t xml:space="preserve"> </w:t>
      </w:r>
      <w:hyperlink r:id="rId39">
        <w:r>
          <w:rPr>
            <w:rStyle w:val="Hyperlink"/>
            <w:highlight w:val="green"/>
          </w:rPr>
          <w:t xml:space="preserve">https://arxiv.org/abs/2606.00052</w:t>
        </w:r>
      </w:hyperlink>
      <w:r>
        <w:rPr>
          <w:highlight w:val="green"/>
        </w:rPr>
        <w:t xml:space="preserve">.</w:t>
      </w:r>
      <w:bookmarkEnd w:id="83"/>
    </w:p>
    <w:p>
      <w:pPr>
        <w:pStyle w:val="MDPI81references"/>
        <w:numPr>
          <w:ilvl w:val="0"/>
          <w:numId w:val="0"/>
        </w:numPr>
        <w:ind w:left="180" w:hanging="180"/>
      </w:pPr>
      <w:bookmarkStart w:id="85" w:name="r-doshi"/>
      <w:r>
        <w:rPr/>
        <w:t xml:space="preserve">Doshi, K.; Abudalou, S.; Yilmaz, Y. Reward once, penalize once: Rectifying time series anomaly detection. In Proceedings of the International Joint Conference on Neural Networks (IJCNN), Padua, Italy, 18–23 July 2022.</w:t>
      </w:r>
      <w:r>
        <w:rPr/>
        <w:t xml:space="preserve"> </w:t>
      </w:r>
      <w:hyperlink r:id="rId40">
        <w:r>
          <w:rPr>
            <w:rStyle w:val="Hyperlink"/>
          </w:rPr>
          <w:t xml:space="preserve">arXiv:2203.05167</w:t>
        </w:r>
      </w:hyperlink>
      <w:r>
        <w:rPr/>
        <w:t xml:space="preserve">.</w:t>
      </w:r>
      <w:bookmarkEnd w:id="85"/>
    </w:p>
    <w:p>
      <w:pPr>
        <w:pStyle w:val="MDPI81references"/>
        <w:numPr>
          <w:ilvl w:val="0"/>
          <w:numId w:val="0"/>
        </w:numPr>
        <w:ind w:left="180" w:hanging="180"/>
      </w:pPr>
      <w:bookmarkStart w:id="87" w:name="r-pate"/>
      <w:r>
        <w:rPr/>
        <w:t xml:space="preserve">Ghorbani, R.; Reinders, M.J.T.; Tax, D.M.J. PATE: Proximity-aware time series anomaly evaluation. In Proceedings of the 30th ACM SIGKDD Conference on Knowledge Discovery and Data Mining (KDD), Barcelona, Spain, 25–29 August 2024; pp. 872–883.</w:t>
      </w:r>
      <w:r>
        <w:rPr/>
        <w:t xml:space="preserve"> </w:t>
      </w:r>
      <w:hyperlink r:id="rId41">
        <w:r>
          <w:rPr>
            <w:rStyle w:val="Hyperlink"/>
          </w:rPr>
          <w:t xml:space="preserve">https://doi.org/10.1145/3637528.3671971</w:t>
        </w:r>
      </w:hyperlink>
      <w:r>
        <w:rPr/>
        <w:t xml:space="preserve">.</w:t>
      </w:r>
      <w:bookmarkEnd w:id="87"/>
    </w:p>
    <w:p>
      <w:pPr>
        <w:pStyle w:val="MDPI81references"/>
        <w:numPr>
          <w:ilvl w:val="0"/>
          <w:numId w:val="0"/>
        </w:numPr>
        <w:ind w:left="180" w:hanging="180"/>
      </w:pPr>
      <w:bookmarkStart w:id="89" w:name="r-univar"/>
      <w:r>
        <w:rPr/>
        <w:t xml:space="preserve">Pinet, M.; Cumin, J.; Berlemont, S.; Vaufreydaz, D. Anomalies in multivariate time series benchmarks are mostly univariate.</w:t>
      </w:r>
      <w:r>
        <w:rPr/>
        <w:t xml:space="preserve"> </w:t>
      </w:r>
      <w:r>
        <w:rPr>
          <w:i/>
          <w:iCs/>
        </w:rPr>
        <w:t xml:space="preserve">arXiv</w:t>
      </w:r>
      <w:r>
        <w:rPr/>
        <w:t xml:space="preserve"> </w:t>
      </w:r>
      <w:r>
        <w:rPr>
          <w:b/>
          <w:bCs/>
        </w:rPr>
        <w:t xml:space="preserve">2026</w:t>
      </w:r>
      <w:r>
        <w:rPr/>
        <w:t xml:space="preserve">, arXiv:2606.02670.</w:t>
      </w:r>
      <w:r>
        <w:rPr/>
        <w:t xml:space="preserve"> </w:t>
      </w:r>
      <w:hyperlink r:id="rId42">
        <w:r>
          <w:rPr>
            <w:rStyle w:val="Hyperlink"/>
          </w:rPr>
          <w:t xml:space="preserve">https://arxiv.org/abs/2606.02670</w:t>
        </w:r>
      </w:hyperlink>
      <w:r>
        <w:rPr/>
        <w:t xml:space="preserve">.</w:t>
      </w:r>
      <w:bookmarkEnd w:id="89"/>
    </w:p>
    <w:p>
      <w:pPr>
        <w:pStyle w:val="MDPI81references"/>
        <w:numPr>
          <w:ilvl w:val="0"/>
          <w:numId w:val="0"/>
        </w:numPr>
        <w:ind w:left="180" w:hanging="180"/>
      </w:pPr>
      <w:bookmarkStart w:id="91" w:name="r-tab"/>
      <w:r>
        <w:rPr/>
        <w:t xml:space="preserve">Qiu, X.; Li, Z.; Wu, X.; Hu, J.; Guo, C.; Yang, B.; Jensen, C.S. TAB: Unified benchmarking of time series anomaly detection methods.</w:t>
      </w:r>
      <w:r>
        <w:rPr/>
        <w:t xml:space="preserve"> </w:t>
      </w:r>
      <w:r>
        <w:rPr>
          <w:i/>
          <w:iCs/>
        </w:rPr>
        <w:t xml:space="preserve">Proc. VLDB Endow.</w:t>
      </w:r>
      <w:r>
        <w:rPr/>
        <w:t xml:space="preserve"> </w:t>
      </w:r>
      <w:r>
        <w:rPr>
          <w:b/>
          <w:bCs/>
        </w:rPr>
        <w:t xml:space="preserve">2025</w:t>
      </w:r>
      <w:r>
        <w:rPr/>
        <w:t xml:space="preserve">.</w:t>
      </w:r>
      <w:r>
        <w:rPr/>
        <w:t xml:space="preserve"> </w:t>
      </w:r>
      <w:hyperlink r:id="rId43">
        <w:r>
          <w:rPr>
            <w:rStyle w:val="Hyperlink"/>
          </w:rPr>
          <w:t xml:space="preserve">arXiv:2506.18046</w:t>
        </w:r>
      </w:hyperlink>
      <w:r>
        <w:rPr/>
        <w:t xml:space="preserve">.</w:t>
      </w:r>
      <w:bookmarkEnd w:id="91"/>
    </w:p>
    <w:p>
      <w:pPr>
        <w:pStyle w:val="MDPI81references"/>
        <w:numPr>
          <w:ilvl w:val="0"/>
          <w:numId w:val="0"/>
        </w:numPr>
        <w:ind w:left="180" w:hanging="180"/>
      </w:pPr>
      <w:bookmarkStart w:id="93" w:name="r-bouman"/>
      <w:r>
        <w:rPr/>
        <w:t xml:space="preserve">Bouman, R.; Heskes, T. Autoencoders for anomaly detection are unreliable.</w:t>
      </w:r>
      <w:r>
        <w:rPr/>
        <w:t xml:space="preserve"> </w:t>
      </w:r>
      <w:r>
        <w:rPr>
          <w:i/>
          <w:iCs/>
        </w:rPr>
        <w:t xml:space="preserve">arXiv</w:t>
      </w:r>
      <w:r>
        <w:rPr/>
        <w:t xml:space="preserve"> </w:t>
      </w:r>
      <w:r>
        <w:rPr>
          <w:b/>
          <w:bCs/>
        </w:rPr>
        <w:t xml:space="preserve">2025</w:t>
      </w:r>
      <w:r>
        <w:rPr/>
        <w:t xml:space="preserve">, arXiv:2501.13864.</w:t>
      </w:r>
      <w:r>
        <w:rPr/>
        <w:t xml:space="preserve"> </w:t>
      </w:r>
      <w:hyperlink r:id="rId44">
        <w:r>
          <w:rPr>
            <w:rStyle w:val="Hyperlink"/>
          </w:rPr>
          <w:t xml:space="preserve">https://arxiv.org/abs/2501.13864</w:t>
        </w:r>
      </w:hyperlink>
      <w:r>
        <w:rPr/>
        <w:t xml:space="preserve">.</w:t>
      </w:r>
      <w:bookmarkEnd w:id="93"/>
    </w:p>
    <w:p>
      <w:pPr>
        <w:pStyle w:val="MDPI81references"/>
        <w:numPr>
          <w:ilvl w:val="0"/>
          <w:numId w:val="0"/>
        </w:numPr>
        <w:ind w:left="180" w:hanging="180"/>
      </w:pPr>
      <w:bookmarkStart w:id="95" w:name="r-memae"/>
      <w:r>
        <w:rPr/>
        <w:t xml:space="preserve">Gong, D.; Liu, L.; Le, V.; Saha, B.; Mansour, M.R.; Venkatesh, S.; van den Hengel, A. Memorizing normality to detect anomaly: Memory-augmented deep autoencoder for unsupervised anomaly detection. In Proceedings of the IEEE/CVF International Conference on Computer Vision (ICCV), Seoul, Republic of Korea, 27 October–2 November 2019; pp. 1705–1714.</w:t>
      </w:r>
      <w:r>
        <w:rPr/>
        <w:t xml:space="preserve"> </w:t>
      </w:r>
      <w:hyperlink r:id="rId45">
        <w:r>
          <w:rPr>
            <w:rStyle w:val="Hyperlink"/>
          </w:rPr>
          <w:t xml:space="preserve">arXiv:1904.02639</w:t>
        </w:r>
      </w:hyperlink>
      <w:r>
        <w:rPr/>
        <w:t xml:space="preserve">.</w:t>
      </w:r>
      <w:bookmarkEnd w:id="95"/>
    </w:p>
    <w:p>
      <w:pPr>
        <w:pStyle w:val="MDPI81references"/>
        <w:numPr>
          <w:ilvl w:val="0"/>
          <w:numId w:val="0"/>
        </w:numPr>
        <w:ind w:left="180" w:hanging="180"/>
      </w:pPr>
      <w:bookmarkStart w:id="97" w:name="r-sarfraz"/>
      <w:r>
        <w:rPr/>
        <w:t xml:space="preserve">Sarfraz, M.S.; Chen, M.-Y.; Layer, L.; Peng, K.; Koulakis, M. Position: Quo vadis, unsupervised time series anomaly detection? In Proceedings of the 41st International Conference on Machine Learning (ICML), Vienna, Austria, 21–27 July 2024.</w:t>
      </w:r>
      <w:r>
        <w:rPr/>
        <w:t xml:space="preserve"> </w:t>
      </w:r>
      <w:hyperlink r:id="rId46">
        <w:r>
          <w:rPr>
            <w:rStyle w:val="Hyperlink"/>
          </w:rPr>
          <w:t xml:space="preserve">arXiv:2405.02678</w:t>
        </w:r>
      </w:hyperlink>
      <w:r>
        <w:rPr/>
        <w:t xml:space="preserve">.</w:t>
      </w:r>
      <w:bookmarkEnd w:id="97"/>
    </w:p>
    <w:p>
      <w:pPr>
        <w:pStyle w:val="MDPI81references"/>
        <w:numPr>
          <w:ilvl w:val="0"/>
          <w:numId w:val="0"/>
        </w:numPr>
        <w:ind w:left="180" w:hanging="180"/>
      </w:pPr>
      <w:bookmarkStart w:id="99" w:name="r-timesead"/>
      <w:r>
        <w:rPr/>
        <w:t xml:space="preserve">Wagner, D.; Michels, T.; Schulz, F.C.F.; Nair, A.; Rudolph, M.; Kloft, M. TimeSeAD: Benchmarking deep multivariate time-series anomaly detection.</w:t>
      </w:r>
      <w:r>
        <w:rPr/>
        <w:t xml:space="preserve"> </w:t>
      </w:r>
      <w:r>
        <w:rPr>
          <w:i/>
          <w:iCs/>
        </w:rPr>
        <w:t xml:space="preserve">Trans. Mach. Learn. Res.</w:t>
      </w:r>
      <w:r>
        <w:rPr/>
        <w:t xml:space="preserve"> </w:t>
      </w:r>
      <w:r>
        <w:rPr>
          <w:b/>
          <w:bCs/>
        </w:rPr>
        <w:t xml:space="preserve">2023</w:t>
      </w:r>
      <w:r>
        <w:rPr/>
        <w:t xml:space="preserve">.</w:t>
      </w:r>
      <w:r>
        <w:rPr/>
        <w:t xml:space="preserve"> </w:t>
      </w:r>
      <w:hyperlink r:id="rId47">
        <w:r>
          <w:rPr>
            <w:rStyle w:val="Hyperlink"/>
          </w:rPr>
          <w:t xml:space="preserve">https://openreview.net/forum?id=iMmsCI0JsS</w:t>
        </w:r>
      </w:hyperlink>
      <w:r>
        <w:rPr/>
        <w:t xml:space="preserve">.</w:t>
      </w:r>
      <w:bookmarkEnd w:id="99"/>
    </w:p>
    <w:p>
      <w:pPr>
        <w:pStyle w:val="MDPI81references"/>
        <w:numPr>
          <w:ilvl w:val="0"/>
          <w:numId w:val="0"/>
        </w:numPr>
        <w:ind w:left="180" w:hanging="180"/>
      </w:pPr>
      <w:bookmarkStart w:id="101" w:name="r-vade"/>
      <w:r>
        <w:rPr/>
        <w:t xml:space="preserve">Jiang, Z.; Zheng, Y.; Tan, H.; Tang, B.; Zhou, H. Variational deep embedding: An unsupervised and generative approach to clustering. In Proceedings of the 26th International Joint Conference on Artificial Intelligence (IJCAI), Melbourne, Australia, 19–25 August 2017; pp. 1965–1972.</w:t>
      </w:r>
      <w:r>
        <w:rPr/>
        <w:t xml:space="preserve"> </w:t>
      </w:r>
      <w:hyperlink r:id="rId48">
        <w:r>
          <w:rPr>
            <w:rStyle w:val="Hyperlink"/>
          </w:rPr>
          <w:t xml:space="preserve">https://doi.org/10.24963/ijcai.2017/273</w:t>
        </w:r>
      </w:hyperlink>
      <w:r>
        <w:rPr/>
        <w:t xml:space="preserve">.</w:t>
      </w:r>
      <w:bookmarkEnd w:id="101"/>
    </w:p>
    <w:p>
      <w:pPr>
        <w:pStyle w:val="MDPI81references"/>
        <w:numPr>
          <w:ilvl w:val="0"/>
          <w:numId w:val="0"/>
        </w:numPr>
        <w:ind w:left="180" w:hanging="180"/>
      </w:pPr>
      <w:bookmarkStart w:id="103" w:name="r-dagmm"/>
      <w:r>
        <w:rPr/>
        <w:t xml:space="preserve">Zong, B.; Song, Q.; Min, M.R.; Cheng, W.; Lumezanu, C.; Cho, D.; Chen, H. Deep autoencoding Gaussian mixture model for unsupervised anomaly detection. In Proceedings of the International Conference on Learning Representations (ICLR), Vancouver, BC, Canada, 30 April–3 May 2018.</w:t>
      </w:r>
      <w:r>
        <w:rPr/>
        <w:t xml:space="preserve"> </w:t>
      </w:r>
      <w:hyperlink r:id="rId49">
        <w:r>
          <w:rPr>
            <w:rStyle w:val="Hyperlink"/>
          </w:rPr>
          <w:t xml:space="preserve">https://openreview.net/forum?id=BJJLHbb0-</w:t>
        </w:r>
      </w:hyperlink>
      <w:r>
        <w:rPr/>
        <w:t xml:space="preserve">.</w:t>
      </w:r>
      <w:bookmarkEnd w:id="103"/>
    </w:p>
    <w:p>
      <w:pPr>
        <w:pStyle w:val="MDPI81references"/>
        <w:numPr>
          <w:ilvl w:val="0"/>
          <w:numId w:val="0"/>
        </w:numPr>
        <w:ind w:left="180" w:hanging="180"/>
      </w:pPr>
      <w:bookmarkStart w:id="104" w:name="r-deepsvdd"/>
      <w:r>
        <w:rPr>
          <w:highlight w:val="green"/>
        </w:rPr>
        <w:t xml:space="preserve">Ruff, L.; Vandermeulen, R.A.; Görnitz, N.; Deecke, L.; Siddiqui, S.A.; Binder, A.; Müller, E.; Kloft, M. Deep one-class classification. In</w:t>
      </w:r>
      <w:r>
        <w:rPr>
          <w:highlight w:val="green"/>
        </w:rPr>
        <w:t xml:space="preserve"> </w:t>
      </w:r>
      <w:r>
        <w:rPr>
          <w:i/>
          <w:iCs/>
          <w:highlight w:val="green"/>
        </w:rPr>
        <w:t xml:space="preserve">Proceedings of the 35th International Conference on Machine Learning (ICML)</w:t>
      </w:r>
      <w:r>
        <w:rPr>
          <w:highlight w:val="green"/>
        </w:rPr>
        <w:t xml:space="preserve">, Stockholm, Sweden, 10–15 July 2018; PMLR, Vol. 80, pp. 4393–4402.</w:t>
      </w:r>
      <w:bookmarkEnd w:id="104"/>
    </w:p>
    <w:p>
      <w:pPr>
        <w:pStyle w:val="MDPI81references"/>
        <w:numPr>
          <w:ilvl w:val="0"/>
          <w:numId w:val="0"/>
        </w:numPr>
        <w:ind w:left="180" w:hanging="180"/>
      </w:pPr>
      <w:bookmarkStart w:id="105" w:name="r-thoc"/>
      <w:r>
        <w:rPr>
          <w:highlight w:val="green"/>
        </w:rPr>
        <w:t xml:space="preserve">Shen, L.; Li, Z.; Kwok, J.T. Timeseries anomaly detection using temporal hierarchical one-class network. In</w:t>
      </w:r>
      <w:r>
        <w:rPr>
          <w:highlight w:val="green"/>
        </w:rPr>
        <w:t xml:space="preserve"> </w:t>
      </w:r>
      <w:r>
        <w:rPr>
          <w:i/>
          <w:iCs/>
          <w:highlight w:val="green"/>
        </w:rPr>
        <w:t xml:space="preserve">Advances in Neural Information Processing Systems 33 (NeurIPS)</w:t>
      </w:r>
      <w:r>
        <w:rPr>
          <w:highlight w:val="green"/>
        </w:rPr>
        <w:t xml:space="preserve">, Online, 6–12 December 2020; pp. 13016–13026.</w:t>
      </w:r>
      <w:bookmarkEnd w:id="105"/>
    </w:p>
    <w:p>
      <w:pPr>
        <w:pStyle w:val="MDPI81references"/>
        <w:numPr>
          <w:ilvl w:val="0"/>
          <w:numId w:val="0"/>
        </w:numPr>
        <w:ind w:left="180" w:hanging="180"/>
      </w:pPr>
      <w:bookmarkStart w:id="107" w:name="r-omni"/>
      <w:r>
        <w:rPr>
          <w:highlight w:val="green"/>
        </w:rPr>
        <w:t xml:space="preserve">Su, Y.; Zhao, Y.; Niu, C.; Liu, R.; Sun, W.; Pei, D. Robust anomaly detection for multivariate time series through stochastic recurrent neural network. In</w:t>
      </w:r>
      <w:r>
        <w:rPr>
          <w:highlight w:val="green"/>
        </w:rPr>
        <w:t xml:space="preserve"> </w:t>
      </w:r>
      <w:r>
        <w:rPr>
          <w:i/>
          <w:iCs/>
          <w:highlight w:val="green"/>
        </w:rPr>
        <w:t xml:space="preserve">Proceedings of the 25th ACM SIGKDD International Conference on Knowledge Discovery &amp; Data Mining (KDD)</w:t>
      </w:r>
      <w:r>
        <w:rPr>
          <w:highlight w:val="green"/>
        </w:rPr>
        <w:t xml:space="preserve">, Anchorage, AK, USA, 4–8 August 2019; pp. 2828–2837.</w:t>
      </w:r>
      <w:r>
        <w:rPr>
          <w:highlight w:val="green"/>
        </w:rPr>
        <w:t xml:space="preserve"> </w:t>
      </w:r>
      <w:hyperlink r:id="rId50">
        <w:r>
          <w:rPr>
            <w:rStyle w:val="Hyperlink"/>
            <w:highlight w:val="green"/>
          </w:rPr>
          <w:t xml:space="preserve">https://doi.org/10.1145/3292500.3330672</w:t>
        </w:r>
      </w:hyperlink>
      <w:r>
        <w:rPr>
          <w:highlight w:val="green"/>
        </w:rPr>
        <w:t xml:space="preserve">.</w:t>
      </w:r>
      <w:bookmarkEnd w:id="107"/>
    </w:p>
    <w:p>
      <w:pPr>
        <w:pStyle w:val="MDPI81references"/>
        <w:numPr>
          <w:ilvl w:val="0"/>
          <w:numId w:val="0"/>
        </w:numPr>
        <w:ind w:left="180" w:hanging="180"/>
      </w:pPr>
      <w:bookmarkStart w:id="109" w:name="r-birihanu"/>
      <w:r>
        <w:rPr>
          <w:highlight w:val="green"/>
        </w:rPr>
        <w:t xml:space="preserve">Birihanu, E.; Lendák, I. Explainable correlation-based anomaly detection for industrial control systems.</w:t>
      </w:r>
      <w:r>
        <w:rPr>
          <w:highlight w:val="green"/>
        </w:rPr>
        <w:t xml:space="preserve"> </w:t>
      </w:r>
      <w:r>
        <w:rPr>
          <w:i/>
          <w:iCs/>
          <w:highlight w:val="green"/>
        </w:rPr>
        <w:t xml:space="preserve">Front. Artif. Intell.</w:t>
      </w:r>
      <w:r>
        <w:rPr>
          <w:highlight w:val="green"/>
        </w:rPr>
        <w:t xml:space="preserve"> </w:t>
      </w:r>
      <w:r>
        <w:rPr>
          <w:b/>
          <w:bCs/>
          <w:highlight w:val="green"/>
        </w:rPr>
        <w:t xml:space="preserve">2025</w:t>
      </w:r>
      <w:r>
        <w:rPr>
          <w:highlight w:val="green"/>
        </w:rPr>
        <w:t xml:space="preserve">,</w:t>
      </w:r>
      <w:r>
        <w:rPr>
          <w:highlight w:val="green"/>
        </w:rPr>
        <w:t xml:space="preserve"> </w:t>
      </w:r>
      <w:r>
        <w:rPr>
          <w:i/>
          <w:iCs/>
          <w:highlight w:val="green"/>
        </w:rPr>
        <w:t xml:space="preserve">7</w:t>
      </w:r>
      <w:r>
        <w:rPr>
          <w:highlight w:val="green"/>
        </w:rPr>
        <w:t xml:space="preserve">, 1508821.</w:t>
      </w:r>
      <w:r>
        <w:rPr>
          <w:highlight w:val="green"/>
        </w:rPr>
        <w:t xml:space="preserve"> </w:t>
      </w:r>
      <w:hyperlink r:id="rId51">
        <w:r>
          <w:rPr>
            <w:rStyle w:val="Hyperlink"/>
            <w:highlight w:val="green"/>
          </w:rPr>
          <w:t xml:space="preserve">https://doi.org/10.3389/frai.2024.1508821</w:t>
        </w:r>
      </w:hyperlink>
      <w:r>
        <w:rPr>
          <w:highlight w:val="green"/>
        </w:rPr>
        <w:t xml:space="preserve">.</w:t>
      </w:r>
      <w:bookmarkEnd w:id="109"/>
    </w:p>
    <w:p>
      <w:pPr>
        <w:pStyle w:val="MDPI81references"/>
        <w:numPr>
          <w:ilvl w:val="0"/>
          <w:numId w:val="0"/>
        </w:numPr>
        <w:ind w:left="180" w:hanging="180"/>
      </w:pPr>
      <w:bookmarkStart w:id="111" w:name="r-lw"/>
      <w:r>
        <w:rPr/>
        <w:t xml:space="preserve">Ledoit, O.; Wolf, M. A well-conditioned estimator for large-dimensional covariance matrices.</w:t>
      </w:r>
      <w:r>
        <w:rPr/>
        <w:t xml:space="preserve"> </w:t>
      </w:r>
      <w:r>
        <w:rPr>
          <w:i/>
          <w:iCs/>
        </w:rPr>
        <w:t xml:space="preserve">J. Multivar. Anal.</w:t>
      </w:r>
      <w:r>
        <w:rPr/>
        <w:t xml:space="preserve"> </w:t>
      </w:r>
      <w:r>
        <w:rPr>
          <w:b/>
          <w:bCs/>
        </w:rPr>
        <w:t xml:space="preserve">2004</w:t>
      </w:r>
      <w:r>
        <w:rPr/>
        <w:t xml:space="preserve">,</w:t>
      </w:r>
      <w:r>
        <w:rPr/>
        <w:t xml:space="preserve"> </w:t>
      </w:r>
      <w:r>
        <w:rPr>
          <w:i/>
          <w:iCs/>
        </w:rPr>
        <w:t xml:space="preserve">88</w:t>
      </w:r>
      <w:r>
        <w:rPr/>
        <w:t xml:space="preserve">, 365–411.</w:t>
      </w:r>
      <w:r>
        <w:rPr/>
        <w:t xml:space="preserve"> </w:t>
      </w:r>
      <w:hyperlink r:id="rId52">
        <w:r>
          <w:rPr>
            <w:rStyle w:val="Hyperlink"/>
          </w:rPr>
          <w:t xml:space="preserve">https://doi.org/10.1016/S0047-259X(03)00096-4</w:t>
        </w:r>
      </w:hyperlink>
      <w:r>
        <w:rPr/>
        <w:t xml:space="preserve">.</w:t>
      </w:r>
      <w:bookmarkEnd w:id="111"/>
    </w:p>
    <w:p>
      <w:pPr>
        <w:pStyle w:val="MDPI81references"/>
        <w:numPr>
          <w:ilvl w:val="0"/>
          <w:numId w:val="0"/>
        </w:numPr>
        <w:ind w:left="180" w:hanging="180"/>
      </w:pPr>
      <w:bookmarkStart w:id="113" w:name="r-if"/>
      <w:r>
        <w:rPr/>
        <w:t xml:space="preserve">Liu, F.T.; Ting, K.M.; Zhou, Z.-H. Isolation forest. In Proceedings of the 2008 Eighth IEEE International Conference on Data Mining (ICDM), Pisa, Italy, 15–19 December 2008; pp. 413–422.</w:t>
      </w:r>
      <w:r>
        <w:rPr/>
        <w:t xml:space="preserve"> </w:t>
      </w:r>
      <w:hyperlink r:id="rId53">
        <w:r>
          <w:rPr>
            <w:rStyle w:val="Hyperlink"/>
          </w:rPr>
          <w:t xml:space="preserve">https://doi.org/10.1109/ICDM.2008.17</w:t>
        </w:r>
      </w:hyperlink>
      <w:r>
        <w:rPr/>
        <w:t xml:space="preserve">.</w:t>
      </w:r>
      <w:bookmarkEnd w:id="113"/>
    </w:p>
    <w:p>
      <w:pPr>
        <w:pStyle w:val="MDPI81references"/>
        <w:numPr>
          <w:ilvl w:val="0"/>
          <w:numId w:val="0"/>
        </w:numPr>
        <w:ind w:left="180" w:hanging="180"/>
      </w:pPr>
      <w:bookmarkStart w:id="115" w:name="r-aead"/>
      <w:r>
        <w:rPr/>
        <w:t xml:space="preserve">Sakurada, M.; Yairi, T. Anomaly detection using autoencoders with nonlinear dimensionality reduction. In Proceedings of the MLSDA 2014 2nd Workshop on Machine Learning for Sensory Data Analysis, Gold Coast, Australia, 2 December 2014; pp. 4–11.</w:t>
      </w:r>
      <w:r>
        <w:rPr/>
        <w:t xml:space="preserve"> </w:t>
      </w:r>
      <w:hyperlink r:id="rId54">
        <w:r>
          <w:rPr>
            <w:rStyle w:val="Hyperlink"/>
          </w:rPr>
          <w:t xml:space="preserve">https://doi.org/10.1145/2689746.2689747</w:t>
        </w:r>
      </w:hyperlink>
      <w:r>
        <w:rPr/>
        <w:t xml:space="preserve">.</w:t>
      </w:r>
      <w:bookmarkEnd w:id="115"/>
    </w:p>
    <w:p>
      <w:pPr>
        <w:pStyle w:val="MDPI81references"/>
        <w:numPr>
          <w:ilvl w:val="0"/>
          <w:numId w:val="0"/>
        </w:numPr>
        <w:ind w:left="180" w:hanging="180"/>
      </w:pPr>
      <w:bookmarkStart w:id="117" w:name="r-usad"/>
      <w:r>
        <w:rPr/>
        <w:t xml:space="preserve">Audibert, J.; Michiardi, P.; Guyard, F.; Marti, S.; Zuluaga, M.A. USAD: Unsupervised anomaly detection on multivariate time series. In Proceedings of the 26th ACM SIGKDD International Conference on Knowledge Discovery &amp; Data Mining (KDD), Virtual Event, CA, USA, 23–27 August 2020; pp. 3395–3404.</w:t>
      </w:r>
      <w:r>
        <w:rPr/>
        <w:t xml:space="preserve"> </w:t>
      </w:r>
      <w:hyperlink r:id="rId55">
        <w:r>
          <w:rPr>
            <w:rStyle w:val="Hyperlink"/>
          </w:rPr>
          <w:t xml:space="preserve">https://doi.org/10.1145/3394486.3403392</w:t>
        </w:r>
      </w:hyperlink>
      <w:r>
        <w:rPr/>
        <w:t xml:space="preserve">.</w:t>
      </w:r>
      <w:bookmarkEnd w:id="117"/>
    </w:p>
    <w:p>
      <w:pPr>
        <w:pStyle w:val="MDPI81references"/>
        <w:numPr>
          <w:ilvl w:val="0"/>
          <w:numId w:val="0"/>
        </w:numPr>
        <w:ind w:left="180" w:hanging="180"/>
      </w:pPr>
      <w:bookmarkStart w:id="119" w:name="r-tranad"/>
      <w:r>
        <w:rPr/>
        <w:t xml:space="preserve">Tuli, S.; Casale, G.; Jennings, N.R. TranAD: Deep transformer networks for anomaly detection in multivariate time series data.</w:t>
      </w:r>
      <w:r>
        <w:rPr/>
        <w:t xml:space="preserve"> </w:t>
      </w:r>
      <w:r>
        <w:rPr>
          <w:i/>
          <w:iCs/>
        </w:rPr>
        <w:t xml:space="preserve">Proc. VLDB Endow.</w:t>
      </w:r>
      <w:r>
        <w:rPr/>
        <w:t xml:space="preserve"> </w:t>
      </w:r>
      <w:r>
        <w:rPr>
          <w:b/>
          <w:bCs/>
        </w:rPr>
        <w:t xml:space="preserve">2022</w:t>
      </w:r>
      <w:r>
        <w:rPr/>
        <w:t xml:space="preserve">,</w:t>
      </w:r>
      <w:r>
        <w:rPr/>
        <w:t xml:space="preserve"> </w:t>
      </w:r>
      <w:r>
        <w:rPr>
          <w:i/>
          <w:iCs/>
        </w:rPr>
        <w:t xml:space="preserve">15</w:t>
      </w:r>
      <w:r>
        <w:rPr/>
        <w:t xml:space="preserve">, 1201–1214.</w:t>
      </w:r>
      <w:r>
        <w:rPr/>
        <w:t xml:space="preserve"> </w:t>
      </w:r>
      <w:hyperlink r:id="rId56">
        <w:r>
          <w:rPr>
            <w:rStyle w:val="Hyperlink"/>
          </w:rPr>
          <w:t xml:space="preserve">https://doi.org/10.14778/3514061.3514067</w:t>
        </w:r>
      </w:hyperlink>
      <w:r>
        <w:rPr/>
        <w:t xml:space="preserve">.</w:t>
      </w:r>
      <w:bookmarkEnd w:id="119"/>
    </w:p>
    <w:p>
      <w:pPr>
        <w:pStyle w:val="MDPI81references"/>
        <w:numPr>
          <w:ilvl w:val="0"/>
          <w:numId w:val="0"/>
        </w:numPr>
        <w:ind w:left="180" w:hanging="180"/>
      </w:pPr>
      <w:bookmarkStart w:id="121" w:name="r-gdn"/>
      <w:r>
        <w:rPr/>
        <w:t xml:space="preserve">Deng, A.; Hooi, B. Graph neural network-based anomaly detection in multivariate time series. In Proceedings of the AAAI Conference on Artificial Intelligence, Virtual, 2–9 February 2021; Volume 35, pp. 4027–4035.</w:t>
      </w:r>
      <w:r>
        <w:rPr/>
        <w:t xml:space="preserve"> </w:t>
      </w:r>
      <w:hyperlink r:id="rId57">
        <w:r>
          <w:rPr>
            <w:rStyle w:val="Hyperlink"/>
          </w:rPr>
          <w:t xml:space="preserve">https://doi.org/10.1609/aaai.v35i5.16523</w:t>
        </w:r>
      </w:hyperlink>
      <w:r>
        <w:rPr/>
        <w:t xml:space="preserve">.</w:t>
      </w:r>
      <w:bookmarkEnd w:id="121"/>
    </w:p>
    <w:p>
      <w:pPr>
        <w:pStyle w:val="MDPI81references"/>
        <w:numPr>
          <w:ilvl w:val="0"/>
          <w:numId w:val="0"/>
        </w:numPr>
        <w:ind w:left="180" w:hanging="180"/>
      </w:pPr>
      <w:bookmarkStart w:id="123" w:name="r-graphmoe"/>
      <w:r>
        <w:rPr>
          <w:highlight w:val="green"/>
        </w:rPr>
        <w:t xml:space="preserve">Huang, X.; Chen, W.; Hu, B.; Mao, Z. Graph mixture of experts and memory-augmented routers for multivariate time series anomaly detection. In</w:t>
      </w:r>
      <w:r>
        <w:rPr>
          <w:highlight w:val="green"/>
        </w:rPr>
        <w:t xml:space="preserve"> </w:t>
      </w:r>
      <w:r>
        <w:rPr>
          <w:i/>
          <w:iCs/>
          <w:highlight w:val="green"/>
        </w:rPr>
        <w:t xml:space="preserve">Proceedings of the AAAI Conference on Artificial Intelligence</w:t>
      </w:r>
      <w:r>
        <w:rPr>
          <w:highlight w:val="green"/>
        </w:rPr>
        <w:t xml:space="preserve">, Philadelphia, PA, USA, 25 February–4 March 2025; Volume 39, pp. 17476–17484.</w:t>
      </w:r>
      <w:r>
        <w:rPr>
          <w:highlight w:val="green"/>
        </w:rPr>
        <w:t xml:space="preserve"> </w:t>
      </w:r>
      <w:hyperlink r:id="rId58">
        <w:r>
          <w:rPr>
            <w:rStyle w:val="Hyperlink"/>
            <w:highlight w:val="green"/>
          </w:rPr>
          <w:t xml:space="preserve">https://doi.org/10.1609/aaai.v39i16.33921</w:t>
        </w:r>
      </w:hyperlink>
      <w:r>
        <w:rPr>
          <w:highlight w:val="green"/>
        </w:rPr>
        <w:t xml:space="preserve">.</w:t>
      </w:r>
      <w:bookmarkEnd w:id="123"/>
    </w:p>
    <w:p>
      <w:pPr>
        <w:pStyle w:val="MDPI81references"/>
        <w:numPr>
          <w:ilvl w:val="0"/>
          <w:numId w:val="0"/>
        </w:numPr>
        <w:ind w:left="180" w:hanging="180"/>
      </w:pPr>
      <w:bookmarkStart w:id="125" w:name="r-sensitivehue"/>
      <w:r>
        <w:rPr/>
        <w:t xml:space="preserve">Feng, Y.; Zhang, W.; Fu, Y.; Jiang, W.; Zhu, J.; Ren, W. SensitiveHUE: Multivariate time series anomaly detection by enhancing the sensitivity to normal patterns. In Proceedings of the 30th ACM SIGKDD Conference on Knowledge Discovery and Data Mining (KDD), Barcelona, Spain, 25–29 August 2024; pp. 782–793.</w:t>
      </w:r>
      <w:r>
        <w:rPr/>
        <w:t xml:space="preserve"> </w:t>
      </w:r>
      <w:hyperlink r:id="rId59">
        <w:r>
          <w:rPr>
            <w:rStyle w:val="Hyperlink"/>
          </w:rPr>
          <w:t xml:space="preserve">https://doi.org/10.1145/3637528.3671919</w:t>
        </w:r>
      </w:hyperlink>
      <w:r>
        <w:rPr/>
        <w:t xml:space="preserve">.</w:t>
      </w:r>
      <w:bookmarkEnd w:id="125"/>
    </w:p>
    <w:p>
      <w:pPr>
        <w:pStyle w:val="MDPI81references"/>
        <w:numPr>
          <w:ilvl w:val="0"/>
          <w:numId w:val="0"/>
        </w:numPr>
        <w:ind w:left="180" w:hanging="180"/>
      </w:pPr>
      <w:bookmarkStart w:id="127" w:name="r-catch"/>
      <w:r>
        <w:rPr/>
        <w:t xml:space="preserve">Wu, X.; Qiu, X.; Li, Z.; Hu, Y.; Guo, C.; Xu, X.; Yang, B. CATCH: Channel-aware multivariate time series anomaly detection via frequency patching. In Proceedings of the International Conference on Learning Representations (ICLR), Singapore, 24–28 April 2025.</w:t>
      </w:r>
      <w:r>
        <w:rPr/>
        <w:t xml:space="preserve"> </w:t>
      </w:r>
      <w:hyperlink r:id="rId60">
        <w:r>
          <w:rPr>
            <w:rStyle w:val="Hyperlink"/>
          </w:rPr>
          <w:t xml:space="preserve">arXiv:2410.12261</w:t>
        </w:r>
      </w:hyperlink>
      <w:r>
        <w:rPr/>
        <w:t xml:space="preserve">.</w:t>
      </w:r>
      <w:bookmarkEnd w:id="127"/>
    </w:p>
    <w:p>
      <w:pPr>
        <w:pStyle w:val="MDPI81references"/>
        <w:numPr>
          <w:ilvl w:val="0"/>
          <w:numId w:val="0"/>
        </w:numPr>
        <w:ind w:left="180" w:hanging="180"/>
      </w:pPr>
      <w:bookmarkStart w:id="129" w:name="r-gearbox"/>
      <w:r>
        <w:rPr/>
        <w:t xml:space="preserve">Gildish, E.; Grebshtein, M.; Aperstein, Y.; Makienko, I. Vibration-based estimation of gearbox operating conditions: Machine learning approach. In Proceedings of the 2023 International Conference on Control, Automation and Diagnosis (ICCAD), Rome, Italy, 10–12 May 2023; pp. 1–6.</w:t>
      </w:r>
      <w:r>
        <w:rPr/>
        <w:t xml:space="preserve"> </w:t>
      </w:r>
      <w:hyperlink r:id="rId61">
        <w:r>
          <w:rPr>
            <w:rStyle w:val="Hyperlink"/>
          </w:rPr>
          <w:t xml:space="preserve">https://doi.org/10.1109/ICCAD57653.2023.10152303</w:t>
        </w:r>
      </w:hyperlink>
      <w:r>
        <w:rPr/>
        <w:t xml:space="preserve">.</w:t>
      </w:r>
      <w:bookmarkEnd w:id="129"/>
    </w:p>
    <w:p>
      <w:pPr>
        <w:pStyle w:val="MDPI81references"/>
        <w:numPr>
          <w:ilvl w:val="0"/>
          <w:numId w:val="0"/>
        </w:numPr>
        <w:ind w:left="180" w:hanging="180"/>
      </w:pPr>
      <w:bookmarkStart w:id="131" w:name="r-vibdecomp"/>
      <w:r>
        <w:rPr/>
        <w:t xml:space="preserve">Gildish, E.; Grebshtein, M.; Aperstein, Y.; Makienko, I. Vibration signal decomposition using dilated CNN.</w:t>
      </w:r>
      <w:r>
        <w:rPr/>
        <w:t xml:space="preserve"> </w:t>
      </w:r>
      <w:r>
        <w:rPr>
          <w:i/>
          <w:iCs/>
        </w:rPr>
        <w:t xml:space="preserve">Proc. Annu. Conf. PHM Soc.</w:t>
      </w:r>
      <w:r>
        <w:rPr/>
        <w:t xml:space="preserve"> </w:t>
      </w:r>
      <w:r>
        <w:rPr>
          <w:b/>
          <w:bCs/>
        </w:rPr>
        <w:t xml:space="preserve">2023</w:t>
      </w:r>
      <w:r>
        <w:rPr/>
        <w:t xml:space="preserve">,</w:t>
      </w:r>
      <w:r>
        <w:rPr/>
        <w:t xml:space="preserve"> </w:t>
      </w:r>
      <w:r>
        <w:rPr>
          <w:i/>
          <w:iCs/>
        </w:rPr>
        <w:t xml:space="preserve">15</w:t>
      </w:r>
      <w:r>
        <w:rPr/>
        <w:t xml:space="preserve">.</w:t>
      </w:r>
      <w:r>
        <w:rPr/>
        <w:t xml:space="preserve"> </w:t>
      </w:r>
      <w:hyperlink r:id="rId62">
        <w:r>
          <w:rPr>
            <w:rStyle w:val="Hyperlink"/>
          </w:rPr>
          <w:t xml:space="preserve">https://doi.org/10.36001/phmconf.2023.v15i1.3502</w:t>
        </w:r>
      </w:hyperlink>
      <w:r>
        <w:rPr/>
        <w:t xml:space="preserve">.</w:t>
      </w:r>
      <w:bookmarkEnd w:id="131"/>
    </w:p>
    <w:p>
      <w:pPr>
        <w:pStyle w:val="MDPI81references"/>
        <w:numPr>
          <w:ilvl w:val="0"/>
          <w:numId w:val="0"/>
        </w:numPr>
        <w:ind w:left="180" w:hanging="180"/>
      </w:pPr>
      <w:bookmarkStart w:id="133" w:name="r-bolt"/>
      <w:r>
        <w:rPr/>
        <w:t xml:space="preserve">Gildish, E.; Grebshtein, M.; Aperstein, Y.; Kushnirski, A.; Makienko, I. Helicopter bolt loosening monitoring using vibrations and machine learning.</w:t>
      </w:r>
      <w:r>
        <w:rPr/>
        <w:t xml:space="preserve"> </w:t>
      </w:r>
      <w:r>
        <w:rPr>
          <w:i/>
          <w:iCs/>
        </w:rPr>
        <w:t xml:space="preserve">PHM Soc. Eur. Conf.</w:t>
      </w:r>
      <w:r>
        <w:rPr/>
        <w:t xml:space="preserve"> </w:t>
      </w:r>
      <w:r>
        <w:rPr>
          <w:b/>
          <w:bCs/>
        </w:rPr>
        <w:t xml:space="preserve">2022</w:t>
      </w:r>
      <w:r>
        <w:rPr/>
        <w:t xml:space="preserve">,</w:t>
      </w:r>
      <w:r>
        <w:rPr/>
        <w:t xml:space="preserve"> </w:t>
      </w:r>
      <w:r>
        <w:rPr>
          <w:i/>
          <w:iCs/>
        </w:rPr>
        <w:t xml:space="preserve">7</w:t>
      </w:r>
      <w:r>
        <w:rPr/>
        <w:t xml:space="preserve">, 146–155.</w:t>
      </w:r>
      <w:r>
        <w:rPr/>
        <w:t xml:space="preserve"> </w:t>
      </w:r>
      <w:hyperlink r:id="rId63">
        <w:r>
          <w:rPr>
            <w:rStyle w:val="Hyperlink"/>
          </w:rPr>
          <w:t xml:space="preserve">https://doi.org/10.36001/phme.2022.v7i1.3322</w:t>
        </w:r>
      </w:hyperlink>
      <w:r>
        <w:rPr/>
        <w:t xml:space="preserve">.</w:t>
      </w:r>
      <w:bookmarkEnd w:id="133"/>
    </w:p>
    <w:p>
      <w:pPr>
        <w:pStyle w:val="MDPI81references"/>
        <w:numPr>
          <w:ilvl w:val="0"/>
          <w:numId w:val="0"/>
        </w:numPr>
        <w:ind w:left="180" w:hanging="180"/>
      </w:pPr>
      <w:bookmarkStart w:id="135" w:name="r-rotorcraft"/>
      <w:r>
        <w:rPr/>
        <w:t xml:space="preserve">Shavit, D.; Davidovits, M.; Kushnirsky, A.; Aperstein, Y. Temporal causality-based feature selection for fault prediction in rotorcraft flight controls.</w:t>
      </w:r>
      <w:r>
        <w:rPr/>
        <w:t xml:space="preserve"> </w:t>
      </w:r>
      <w:r>
        <w:rPr>
          <w:i/>
          <w:iCs/>
        </w:rPr>
        <w:t xml:space="preserve">IFAC-PapersOnLine</w:t>
      </w:r>
      <w:r>
        <w:rPr/>
        <w:t xml:space="preserve"> </w:t>
      </w:r>
      <w:r>
        <w:rPr>
          <w:b/>
          <w:bCs/>
        </w:rPr>
        <w:t xml:space="preserve">2022</w:t>
      </w:r>
      <w:r>
        <w:rPr/>
        <w:t xml:space="preserve">,</w:t>
      </w:r>
      <w:r>
        <w:rPr/>
        <w:t xml:space="preserve"> </w:t>
      </w:r>
      <w:r>
        <w:rPr>
          <w:i/>
          <w:iCs/>
        </w:rPr>
        <w:t xml:space="preserve">55</w:t>
      </w:r>
      <w:r>
        <w:rPr/>
        <w:t xml:space="preserve">, 235–239.</w:t>
      </w:r>
      <w:r>
        <w:rPr/>
        <w:t xml:space="preserve"> </w:t>
      </w:r>
      <w:hyperlink r:id="rId64">
        <w:r>
          <w:rPr>
            <w:rStyle w:val="Hyperlink"/>
          </w:rPr>
          <w:t xml:space="preserve">https://doi.org/10.1016/j.ifacol.2022.04.199</w:t>
        </w:r>
      </w:hyperlink>
      <w:r>
        <w:rPr/>
        <w:t xml:space="preserve">.</w:t>
      </w:r>
      <w:bookmarkEnd w:id="135"/>
    </w:p>
    <w:p>
      <w:pPr>
        <w:pStyle w:val="MDPI81references"/>
        <w:numPr>
          <w:ilvl w:val="0"/>
          <w:numId w:val="0"/>
        </w:numPr>
        <w:ind w:left="180" w:hanging="180"/>
      </w:pPr>
      <w:bookmarkStart w:id="137" w:name="r-batadal"/>
      <w:r>
        <w:rPr>
          <w:highlight w:val="green"/>
        </w:rPr>
        <w:t xml:space="preserve">Taormina, R.; Galelli, S.; Tippenhauer, N.O.; Salomons, E.; Ostfeld, A.; Eliades, D.G.; Aghashahi, M.; Sundararajan, R.; Pourahmadi, M.; Banks, M.K.; et al. Battle of the attack detection algorithms: Disclosing cyber attacks on water distribution networks.</w:t>
      </w:r>
      <w:r>
        <w:rPr>
          <w:highlight w:val="green"/>
        </w:rPr>
        <w:t xml:space="preserve"> </w:t>
      </w:r>
      <w:r>
        <w:rPr>
          <w:i/>
          <w:iCs/>
          <w:highlight w:val="green"/>
        </w:rPr>
        <w:t xml:space="preserve">J. Water Resour. Plan. Manag.</w:t>
      </w:r>
      <w:r>
        <w:rPr>
          <w:highlight w:val="green"/>
        </w:rPr>
        <w:t xml:space="preserve"> </w:t>
      </w:r>
      <w:r>
        <w:rPr>
          <w:b/>
          <w:bCs/>
          <w:highlight w:val="green"/>
        </w:rPr>
        <w:t xml:space="preserve">2018</w:t>
      </w:r>
      <w:r>
        <w:rPr>
          <w:highlight w:val="green"/>
        </w:rPr>
        <w:t xml:space="preserve">,</w:t>
      </w:r>
      <w:r>
        <w:rPr>
          <w:highlight w:val="green"/>
        </w:rPr>
        <w:t xml:space="preserve"> </w:t>
      </w:r>
      <w:r>
        <w:rPr>
          <w:i/>
          <w:iCs/>
          <w:highlight w:val="green"/>
        </w:rPr>
        <w:t xml:space="preserve">144</w:t>
      </w:r>
      <w:r>
        <w:rPr>
          <w:highlight w:val="green"/>
        </w:rPr>
        <w:t xml:space="preserve">, 04018048.</w:t>
      </w:r>
      <w:r>
        <w:rPr>
          <w:highlight w:val="green"/>
        </w:rPr>
        <w:t xml:space="preserve"> </w:t>
      </w:r>
      <w:hyperlink r:id="rId65">
        <w:r>
          <w:rPr>
            <w:rStyle w:val="Hyperlink"/>
            <w:highlight w:val="green"/>
          </w:rPr>
          <w:t xml:space="preserve">https://doi.org/10.1061/(ASCE)WR.1943-5452.0000969</w:t>
        </w:r>
      </w:hyperlink>
      <w:r>
        <w:rPr>
          <w:highlight w:val="green"/>
        </w:rPr>
        <w:t xml:space="preserve">.</w:t>
      </w:r>
      <w:bookmarkEnd w:id="137"/>
    </w:p>
    <w:p>
      <w:pPr>
        <w:pStyle w:val="MDPI81references"/>
        <w:numPr>
          <w:ilvl w:val="0"/>
          <w:numId w:val="0"/>
        </w:numPr>
        <w:ind w:left="180" w:hanging="180"/>
      </w:pPr>
      <w:bookmarkStart w:id="139" w:name="r-ncmapss"/>
      <w:r>
        <w:rPr>
          <w:highlight w:val="green"/>
        </w:rPr>
        <w:t xml:space="preserve">Arias Chao, M.; Kulkarni, C.; Goebel, K.; Fink, O. Aircraft engine run-to-failure dataset under real flight conditions for prognostics and diagnostics.</w:t>
      </w:r>
      <w:r>
        <w:rPr>
          <w:highlight w:val="green"/>
        </w:rPr>
        <w:t xml:space="preserve"> </w:t>
      </w:r>
      <w:r>
        <w:rPr>
          <w:i/>
          <w:iCs/>
          <w:highlight w:val="green"/>
        </w:rPr>
        <w:t xml:space="preserve">Data</w:t>
      </w:r>
      <w:r>
        <w:rPr>
          <w:highlight w:val="green"/>
        </w:rPr>
        <w:t xml:space="preserve"> </w:t>
      </w:r>
      <w:r>
        <w:rPr>
          <w:b/>
          <w:bCs/>
          <w:highlight w:val="green"/>
        </w:rPr>
        <w:t xml:space="preserve">2021</w:t>
      </w:r>
      <w:r>
        <w:rPr>
          <w:highlight w:val="green"/>
        </w:rPr>
        <w:t xml:space="preserve">,</w:t>
      </w:r>
      <w:r>
        <w:rPr>
          <w:highlight w:val="green"/>
        </w:rPr>
        <w:t xml:space="preserve"> </w:t>
      </w:r>
      <w:r>
        <w:rPr>
          <w:i/>
          <w:iCs/>
          <w:highlight w:val="green"/>
        </w:rPr>
        <w:t xml:space="preserve">6</w:t>
      </w:r>
      <w:r>
        <w:rPr>
          <w:highlight w:val="green"/>
        </w:rPr>
        <w:t xml:space="preserve">, 5.</w:t>
      </w:r>
      <w:r>
        <w:rPr>
          <w:highlight w:val="green"/>
        </w:rPr>
        <w:t xml:space="preserve"> </w:t>
      </w:r>
      <w:hyperlink r:id="rId66">
        <w:r>
          <w:rPr>
            <w:rStyle w:val="Hyperlink"/>
            <w:highlight w:val="green"/>
          </w:rPr>
          <w:t xml:space="preserve">https://doi.org/10.3390/data6010005</w:t>
        </w:r>
      </w:hyperlink>
      <w:r>
        <w:rPr>
          <w:highlight w:val="green"/>
        </w:rPr>
        <w:t xml:space="preserve">.</w:t>
      </w:r>
      <w:bookmarkEnd w:id="139"/>
    </w:p>
    <w:p>
      <w:pPr>
        <w:pStyle w:val="MDPI81references"/>
        <w:numPr>
          <w:ilvl w:val="0"/>
          <w:numId w:val="0"/>
        </w:numPr>
        <w:ind w:left="180" w:hanging="180"/>
      </w:pPr>
      <w:bookmarkStart w:id="141" w:name="r-tsbuad"/>
      <w:r>
        <w:rPr>
          <w:highlight w:val="green"/>
        </w:rPr>
        <w:t xml:space="preserve">Paparrizos, J.; Kang, Y.; Boniol, P.; Tsay, R.S.; Palpanas, T.; Franklin, M.J. TSB-UAD: An end-to-end benchmark suite for univariate time-series anomaly detection.</w:t>
      </w:r>
      <w:r>
        <w:rPr>
          <w:highlight w:val="green"/>
        </w:rPr>
        <w:t xml:space="preserve"> </w:t>
      </w:r>
      <w:r>
        <w:rPr>
          <w:i/>
          <w:iCs/>
          <w:highlight w:val="green"/>
        </w:rPr>
        <w:t xml:space="preserve">Proc. VLDB Endow.</w:t>
      </w:r>
      <w:r>
        <w:rPr>
          <w:highlight w:val="green"/>
        </w:rPr>
        <w:t xml:space="preserve"> </w:t>
      </w:r>
      <w:r>
        <w:rPr>
          <w:b/>
          <w:bCs/>
          <w:highlight w:val="green"/>
        </w:rPr>
        <w:t xml:space="preserve">2022</w:t>
      </w:r>
      <w:r>
        <w:rPr>
          <w:highlight w:val="green"/>
        </w:rPr>
        <w:t xml:space="preserve">,</w:t>
      </w:r>
      <w:r>
        <w:rPr>
          <w:highlight w:val="green"/>
        </w:rPr>
        <w:t xml:space="preserve"> </w:t>
      </w:r>
      <w:r>
        <w:rPr>
          <w:i/>
          <w:iCs/>
          <w:highlight w:val="green"/>
        </w:rPr>
        <w:t xml:space="preserve">15</w:t>
      </w:r>
      <w:r>
        <w:rPr>
          <w:highlight w:val="green"/>
        </w:rPr>
        <w:t xml:space="preserve">, 1697–1711.</w:t>
      </w:r>
      <w:r>
        <w:rPr>
          <w:highlight w:val="green"/>
        </w:rPr>
        <w:t xml:space="preserve"> </w:t>
      </w:r>
      <w:hyperlink r:id="rId67">
        <w:r>
          <w:rPr>
            <w:rStyle w:val="Hyperlink"/>
            <w:highlight w:val="green"/>
          </w:rPr>
          <w:t xml:space="preserve">https://doi.org/10.14778/3529337.3529354</w:t>
        </w:r>
      </w:hyperlink>
      <w:r>
        <w:rPr>
          <w:highlight w:val="green"/>
        </w:rPr>
        <w:t xml:space="preserve">.</w:t>
      </w:r>
      <w:bookmarkEnd w:id="141"/>
    </w:p>
    <w:p>
      <w:pPr>
        <w:pStyle w:val="MDPI81references"/>
        <w:numPr>
          <w:ilvl w:val="0"/>
          <w:numId w:val="0"/>
        </w:numPr>
        <w:ind w:left="180" w:hanging="180"/>
      </w:pPr>
      <w:bookmarkStart w:id="143" w:name="r-hc"/>
      <w:r>
        <w:rPr/>
        <w:t xml:space="preserve">Donoho, D.; Jin, J. Higher criticism for detecting sparse heterogeneous mixtures.</w:t>
      </w:r>
      <w:r>
        <w:rPr/>
        <w:t xml:space="preserve"> </w:t>
      </w:r>
      <w:r>
        <w:rPr>
          <w:i/>
          <w:iCs/>
        </w:rPr>
        <w:t xml:space="preserve">Ann. Stat.</w:t>
      </w:r>
      <w:r>
        <w:rPr/>
        <w:t xml:space="preserve"> </w:t>
      </w:r>
      <w:r>
        <w:rPr>
          <w:b/>
          <w:bCs/>
        </w:rPr>
        <w:t xml:space="preserve">2004</w:t>
      </w:r>
      <w:r>
        <w:rPr/>
        <w:t xml:space="preserve">,</w:t>
      </w:r>
      <w:r>
        <w:rPr/>
        <w:t xml:space="preserve"> </w:t>
      </w:r>
      <w:r>
        <w:rPr>
          <w:i/>
          <w:iCs/>
        </w:rPr>
        <w:t xml:space="preserve">32</w:t>
      </w:r>
      <w:r>
        <w:rPr/>
        <w:t xml:space="preserve">, 962–994.</w:t>
      </w:r>
      <w:r>
        <w:rPr/>
        <w:t xml:space="preserve"> </w:t>
      </w:r>
      <w:hyperlink r:id="rId68">
        <w:r>
          <w:rPr>
            <w:rStyle w:val="Hyperlink"/>
          </w:rPr>
          <w:t xml:space="preserve">https://doi.org/10.1214/009053604000000265</w:t>
        </w:r>
      </w:hyperlink>
      <w:r>
        <w:rPr/>
        <w:t xml:space="preserve">.</w:t>
      </w:r>
      <w:bookmarkEnd w:id="143"/>
    </w:p>
    <w:p>
      <w:pPr>
        <w:pStyle w:val="MDPI81references"/>
        <w:numPr>
          <w:ilvl w:val="0"/>
          <w:numId w:val="0"/>
        </w:numPr>
        <w:ind w:left="180" w:hanging="180"/>
      </w:pPr>
      <w:bookmarkStart w:id="145" w:name="r-wadi"/>
      <w:r>
        <w:rPr/>
        <w:t xml:space="preserve">Ahmed, C.M.; Palleti, V.R.; Mathur, A.P. WADI: A water distribution testbed for research in the design of secure cyber physical systems. In Proceedings of the 3rd International Workshop on Cyber-Physical Systems for Smart Water Networks (CySWATER), Pittsburgh, PA, USA, 21 April 2017; pp. 25–28.</w:t>
      </w:r>
      <w:r>
        <w:rPr/>
        <w:t xml:space="preserve"> </w:t>
      </w:r>
      <w:hyperlink r:id="rId69">
        <w:r>
          <w:rPr>
            <w:rStyle w:val="Hyperlink"/>
          </w:rPr>
          <w:t xml:space="preserve">https://doi.org/10.1145/3055366.3055375</w:t>
        </w:r>
      </w:hyperlink>
      <w:r>
        <w:rPr/>
        <w:t xml:space="preserve">.</w:t>
      </w:r>
      <w:bookmarkEnd w:id="145"/>
    </w:p>
    <w:p>
      <w:pPr>
        <w:pStyle w:val="MDPI81references"/>
        <w:numPr>
          <w:ilvl w:val="0"/>
          <w:numId w:val="0"/>
        </w:numPr>
        <w:ind w:left="180" w:hanging="180"/>
      </w:pPr>
      <w:bookmarkStart w:id="147" w:name="r-hai"/>
      <w:r>
        <w:rPr/>
        <w:t xml:space="preserve">Shin, H.-K.; Lee, W.; Yun, J.-H.; Kim, H. HAI 1.0: HIL-based augmented ICS security dataset. In Proceedings of the 13th USENIX Workshop on Cyber Security Experimentation and Test (CSET), Virtual, 10 August 2020.</w:t>
      </w:r>
      <w:r>
        <w:rPr/>
        <w:t xml:space="preserve"> </w:t>
      </w:r>
      <w:hyperlink r:id="rId70">
        <w:r>
          <w:rPr>
            <w:rStyle w:val="Hyperlink"/>
          </w:rPr>
          <w:t xml:space="preserve">https://www.usenix.org/conference/cset20/presentation/shin</w:t>
        </w:r>
      </w:hyperlink>
      <w:r>
        <w:rPr/>
        <w:t xml:space="preserve">.</w:t>
      </w:r>
      <w:bookmarkEnd w:id="147"/>
    </w:p>
    <w:p>
      <w:pPr>
        <w:pStyle w:val="MDPI81references"/>
        <w:numPr>
          <w:ilvl w:val="0"/>
          <w:numId w:val="0"/>
        </w:numPr>
        <w:ind w:left="180" w:hanging="180"/>
      </w:pPr>
      <w:bookmarkStart w:id="149" w:name="r-swat"/>
      <w:r>
        <w:rPr/>
        <w:t xml:space="preserve">Mathur, A.P.; Tippenhauer, N.O. SWaT: A water treatment testbed for research and training on ICS security. In Proceedings of the 2016 International Workshop on Cyber-Physical Systems for Smart Water Networks (CySWater), Vienna, Austria, 11 April 2016; pp. 31–36.</w:t>
      </w:r>
      <w:r>
        <w:rPr/>
        <w:t xml:space="preserve"> </w:t>
      </w:r>
      <w:hyperlink r:id="rId71">
        <w:r>
          <w:rPr>
            <w:rStyle w:val="Hyperlink"/>
          </w:rPr>
          <w:t xml:space="preserve">https://doi.org/10.1109/CySWater.2016.7469060</w:t>
        </w:r>
      </w:hyperlink>
      <w:r>
        <w:rPr/>
        <w:t xml:space="preserve">.</w:t>
      </w:r>
      <w:bookmarkEnd w:id="149"/>
    </w:p>
    <w:p>
      <w:pPr>
        <w:pStyle w:val="MDPI81references"/>
        <w:numPr>
          <w:ilvl w:val="0"/>
          <w:numId w:val="0"/>
        </w:numPr>
        <w:ind w:left="180" w:hanging="180"/>
      </w:pPr>
      <w:bookmarkStart w:id="151" w:name="r-metropt"/>
      <w:r>
        <w:rPr>
          <w:highlight w:val="green"/>
        </w:rPr>
        <w:t xml:space="preserve">Veloso, B.; Ribeiro, R.P.; Gama, J.; Pereira, P.M. The MetroPT dataset for predictive maintenance.</w:t>
      </w:r>
      <w:r>
        <w:rPr>
          <w:highlight w:val="green"/>
        </w:rPr>
        <w:t xml:space="preserve"> </w:t>
      </w:r>
      <w:r>
        <w:rPr>
          <w:i/>
          <w:iCs/>
          <w:highlight w:val="green"/>
        </w:rPr>
        <w:t xml:space="preserve">Sci. Data</w:t>
      </w:r>
      <w:r>
        <w:rPr>
          <w:highlight w:val="green"/>
        </w:rPr>
        <w:t xml:space="preserve"> </w:t>
      </w:r>
      <w:r>
        <w:rPr>
          <w:b/>
          <w:bCs/>
          <w:highlight w:val="green"/>
        </w:rPr>
        <w:t xml:space="preserve">2022</w:t>
      </w:r>
      <w:r>
        <w:rPr>
          <w:highlight w:val="green"/>
        </w:rPr>
        <w:t xml:space="preserve">,</w:t>
      </w:r>
      <w:r>
        <w:rPr>
          <w:highlight w:val="green"/>
        </w:rPr>
        <w:t xml:space="preserve"> </w:t>
      </w:r>
      <w:r>
        <w:rPr>
          <w:i/>
          <w:iCs/>
          <w:highlight w:val="green"/>
        </w:rPr>
        <w:t xml:space="preserve">9</w:t>
      </w:r>
      <w:r>
        <w:rPr>
          <w:highlight w:val="green"/>
        </w:rPr>
        <w:t xml:space="preserve">, 764.</w:t>
      </w:r>
      <w:r>
        <w:rPr>
          <w:highlight w:val="green"/>
        </w:rPr>
        <w:t xml:space="preserve"> </w:t>
      </w:r>
      <w:hyperlink r:id="rId72">
        <w:r>
          <w:rPr>
            <w:rStyle w:val="Hyperlink"/>
            <w:highlight w:val="green"/>
          </w:rPr>
          <w:t xml:space="preserve">https://doi.org/10.1038/s41597-022-01877-3</w:t>
        </w:r>
      </w:hyperlink>
      <w:r>
        <w:rPr>
          <w:highlight w:val="green"/>
        </w:rPr>
        <w:t xml:space="preserve">.</w:t>
      </w:r>
      <w:bookmarkEnd w:id="151"/>
    </w:p>
    <w:p>
      <w:pPr>
        <w:pStyle w:val="MDPI81references"/>
        <w:numPr>
          <w:ilvl w:val="0"/>
          <w:numId w:val="0"/>
        </w:numPr>
        <w:ind w:left="180" w:hanging="180"/>
      </w:pPr>
      <w:bookmarkStart w:id="153" w:name="r-skab"/>
      <w:r>
        <w:rPr>
          <w:highlight w:val="green"/>
        </w:rPr>
        <w:t xml:space="preserve">Katser, I.D.; Kozitsin, V.O. Skoltech Anomaly Benchmark (SKAB).</w:t>
      </w:r>
      <w:r>
        <w:rPr>
          <w:highlight w:val="green"/>
        </w:rPr>
        <w:t xml:space="preserve"> </w:t>
      </w:r>
      <w:r>
        <w:rPr>
          <w:i/>
          <w:iCs/>
          <w:highlight w:val="green"/>
        </w:rPr>
        <w:t xml:space="preserve">Kaggle</w:t>
      </w:r>
      <w:r>
        <w:rPr>
          <w:highlight w:val="green"/>
        </w:rPr>
        <w:t xml:space="preserve"> </w:t>
      </w:r>
      <w:r>
        <w:rPr>
          <w:b/>
          <w:bCs/>
          <w:highlight w:val="green"/>
        </w:rPr>
        <w:t xml:space="preserve">2020</w:t>
      </w:r>
      <w:r>
        <w:rPr>
          <w:highlight w:val="green"/>
        </w:rPr>
        <w:t xml:space="preserve">.</w:t>
      </w:r>
      <w:r>
        <w:rPr>
          <w:highlight w:val="green"/>
        </w:rPr>
        <w:t xml:space="preserve"> </w:t>
      </w:r>
      <w:hyperlink r:id="rId73">
        <w:r>
          <w:rPr>
            <w:rStyle w:val="Hyperlink"/>
            <w:highlight w:val="green"/>
          </w:rPr>
          <w:t xml:space="preserve">https://doi.org/10.34740/KAGGLE/DSV/1693952</w:t>
        </w:r>
      </w:hyperlink>
      <w:r>
        <w:rPr>
          <w:highlight w:val="green"/>
        </w:rPr>
        <w:t xml:space="preserve">.</w:t>
      </w:r>
      <w:bookmarkEnd w:id="153"/>
    </w:p>
    <w:p>
      <w:pPr>
        <w:pStyle w:val="MDPI81references"/>
        <w:numPr>
          <w:ilvl w:val="0"/>
          <w:numId w:val="0"/>
        </w:numPr>
        <w:ind w:left="180" w:hanging="180"/>
      </w:pPr>
      <w:bookmarkStart w:id="155" w:name="r-hivae"/>
      <w:r>
        <w:rPr>
          <w:highlight w:val="green"/>
        </w:rPr>
        <w:t xml:space="preserve">Nazábal, A.; Olmos, P.M.; Ghahramani, Z.; Valera, I. Handling incomplete heterogeneous data using VAEs.</w:t>
      </w:r>
      <w:r>
        <w:rPr>
          <w:highlight w:val="green"/>
        </w:rPr>
        <w:t xml:space="preserve"> </w:t>
      </w:r>
      <w:r>
        <w:rPr>
          <w:i/>
          <w:iCs/>
          <w:highlight w:val="green"/>
        </w:rPr>
        <w:t xml:space="preserve">Pattern Recognit.</w:t>
      </w:r>
      <w:r>
        <w:rPr>
          <w:highlight w:val="green"/>
        </w:rPr>
        <w:t xml:space="preserve"> </w:t>
      </w:r>
      <w:r>
        <w:rPr>
          <w:b/>
          <w:bCs/>
          <w:highlight w:val="green"/>
        </w:rPr>
        <w:t xml:space="preserve">2020</w:t>
      </w:r>
      <w:r>
        <w:rPr>
          <w:highlight w:val="green"/>
        </w:rPr>
        <w:t xml:space="preserve">,</w:t>
      </w:r>
      <w:r>
        <w:rPr>
          <w:highlight w:val="green"/>
        </w:rPr>
        <w:t xml:space="preserve"> </w:t>
      </w:r>
      <w:r>
        <w:rPr>
          <w:i/>
          <w:iCs/>
          <w:highlight w:val="green"/>
        </w:rPr>
        <w:t xml:space="preserve">107</w:t>
      </w:r>
      <w:r>
        <w:rPr>
          <w:highlight w:val="green"/>
        </w:rPr>
        <w:t xml:space="preserve">, 107501.</w:t>
      </w:r>
      <w:r>
        <w:rPr>
          <w:highlight w:val="green"/>
        </w:rPr>
        <w:t xml:space="preserve"> </w:t>
      </w:r>
      <w:hyperlink r:id="rId74">
        <w:r>
          <w:rPr>
            <w:rStyle w:val="Hyperlink"/>
            <w:highlight w:val="green"/>
          </w:rPr>
          <w:t xml:space="preserve">https://doi.org/10.1016/j.patcog.2020.107501</w:t>
        </w:r>
      </w:hyperlink>
      <w:r>
        <w:rPr>
          <w:highlight w:val="green"/>
        </w:rPr>
        <w:t xml:space="preserve">.</w:t>
      </w:r>
      <w:bookmarkEnd w:id="155"/>
    </w:p>
    <w:p>
      <w:pPr>
        <w:pStyle w:val="MDPI81references"/>
        <w:numPr>
          <w:ilvl w:val="0"/>
          <w:numId w:val="0"/>
        </w:numPr>
        <w:ind w:left="180" w:hanging="180"/>
      </w:pPr>
      <w:bookmarkStart w:id="157" w:name="r-vaem"/>
      <w:r>
        <w:rPr>
          <w:highlight w:val="green"/>
        </w:rPr>
        <w:t xml:space="preserve">Ma, C.; Tschiatschek, S.; Hernández-Lobato, J.M.; Turner, R.; Zhang, C. VAEM: A deep generative model for heterogeneous mixed type data. In</w:t>
      </w:r>
      <w:r>
        <w:rPr>
          <w:highlight w:val="green"/>
        </w:rPr>
        <w:t xml:space="preserve"> </w:t>
      </w:r>
      <w:r>
        <w:rPr>
          <w:i/>
          <w:iCs/>
          <w:highlight w:val="green"/>
        </w:rPr>
        <w:t xml:space="preserve">Advances in Neural Information Processing Systems 33 (NeurIPS)</w:t>
      </w:r>
      <w:r>
        <w:rPr>
          <w:highlight w:val="green"/>
        </w:rPr>
        <w:t xml:space="preserve">, Online, 6–12 December 2020; pp. 11237–11247.</w:t>
      </w:r>
      <w:r>
        <w:rPr>
          <w:highlight w:val="green"/>
        </w:rPr>
        <w:t xml:space="preserve"> </w:t>
      </w:r>
      <w:hyperlink r:id="rId75">
        <w:r>
          <w:rPr>
            <w:rStyle w:val="Hyperlink"/>
            <w:highlight w:val="green"/>
          </w:rPr>
          <w:t xml:space="preserve">arXiv:2006.11941</w:t>
        </w:r>
      </w:hyperlink>
      <w:r>
        <w:rPr>
          <w:highlight w:val="green"/>
        </w:rPr>
        <w:t xml:space="preserve">.</w:t>
      </w:r>
      <w:bookmarkEnd w:id="157"/>
    </w:p>
    <w:p>
      <w:pPr>
        <w:pStyle w:val="MDPI81references"/>
        <w:numPr>
          <w:ilvl w:val="0"/>
          <w:numId w:val="0"/>
        </w:numPr>
        <w:ind w:left="180" w:hanging="180"/>
      </w:pPr>
      <w:bookmarkStart w:id="159" w:name="r-tabor"/>
      <w:r>
        <w:rPr>
          <w:highlight w:val="green"/>
        </w:rPr>
        <w:t xml:space="preserve">Lin, Q.; Adepu, S.; Verwer, S.; Mathur, A. TABOR: A graphical model-based approach for anomaly detection in industrial control systems. In</w:t>
      </w:r>
      <w:r>
        <w:rPr>
          <w:highlight w:val="green"/>
        </w:rPr>
        <w:t xml:space="preserve"> </w:t>
      </w:r>
      <w:r>
        <w:rPr>
          <w:i/>
          <w:iCs/>
          <w:highlight w:val="green"/>
        </w:rPr>
        <w:t xml:space="preserve">Proceedings of the 2018 ACM Asia Conference on Computer and Communications Security (ASIA CCS)</w:t>
      </w:r>
      <w:r>
        <w:rPr>
          <w:highlight w:val="green"/>
        </w:rPr>
        <w:t xml:space="preserve">, Incheon, Republic of Korea, 4–8 June 2018; pp. 525–536.</w:t>
      </w:r>
      <w:r>
        <w:rPr>
          <w:highlight w:val="green"/>
        </w:rPr>
        <w:t xml:space="preserve"> </w:t>
      </w:r>
      <w:hyperlink r:id="rId76">
        <w:r>
          <w:rPr>
            <w:rStyle w:val="Hyperlink"/>
            <w:highlight w:val="green"/>
          </w:rPr>
          <w:t xml:space="preserve">https://doi.org/10.1145/3196494.3196546</w:t>
        </w:r>
      </w:hyperlink>
      <w:r>
        <w:rPr>
          <w:highlight w:val="green"/>
        </w:rPr>
        <w:t xml:space="preserve">.</w:t>
      </w:r>
      <w:bookmarkEnd w:id="159"/>
    </w:p>
    <w:p>
      <w:pPr>
        <w:pStyle w:val="MDPI81references"/>
        <w:numPr>
          <w:ilvl w:val="0"/>
          <w:numId w:val="0"/>
        </w:numPr>
        <w:ind w:left="180" w:hanging="180"/>
      </w:pPr>
      <w:bookmarkStart w:id="161" w:name="r-calexnet"/>
      <w:r>
        <w:rPr>
          <w:highlight w:val="yellow"/>
        </w:rPr>
        <w:t xml:space="preserve">Aperstein, Y.; Apartsin, A. CalexNet: Soft cascade-aligned training and calibration for lightweight early-exit branches.</w:t>
      </w:r>
      <w:r>
        <w:rPr>
          <w:highlight w:val="yellow"/>
        </w:rPr>
        <w:t xml:space="preserve"> </w:t>
      </w:r>
      <w:r>
        <w:rPr>
          <w:i/>
          <w:iCs/>
          <w:highlight w:val="yellow"/>
        </w:rPr>
        <w:t xml:space="preserve">Electronics</w:t>
      </w:r>
      <w:r>
        <w:rPr>
          <w:highlight w:val="yellow"/>
        </w:rPr>
        <w:t xml:space="preserve"> </w:t>
      </w:r>
      <w:r>
        <w:rPr>
          <w:b/>
          <w:bCs/>
          <w:highlight w:val="yellow"/>
        </w:rPr>
        <w:t xml:space="preserve">2026</w:t>
      </w:r>
      <w:r>
        <w:rPr>
          <w:highlight w:val="yellow"/>
        </w:rPr>
        <w:t xml:space="preserve">,</w:t>
      </w:r>
      <w:r>
        <w:rPr>
          <w:highlight w:val="yellow"/>
        </w:rPr>
        <w:t xml:space="preserve"> </w:t>
      </w:r>
      <w:r>
        <w:rPr>
          <w:i/>
          <w:iCs/>
          <w:highlight w:val="yellow"/>
        </w:rPr>
        <w:t xml:space="preserve">15</w:t>
      </w:r>
      <w:r>
        <w:rPr>
          <w:highlight w:val="yellow"/>
        </w:rPr>
        <w:t xml:space="preserve">, 2149.</w:t>
      </w:r>
      <w:r>
        <w:rPr>
          <w:highlight w:val="yellow"/>
        </w:rPr>
        <w:t xml:space="preserve"> </w:t>
      </w:r>
      <w:hyperlink r:id="rId77">
        <w:r>
          <w:rPr>
            <w:rStyle w:val="Hyperlink"/>
            <w:highlight w:val="yellow"/>
          </w:rPr>
          <w:t xml:space="preserve">https://doi.org/10.3390/electronics15102149</w:t>
        </w:r>
      </w:hyperlink>
      <w:r>
        <w:rPr>
          <w:highlight w:val="yellow"/>
        </w:rPr>
        <w:t xml:space="preserve">.</w:t>
      </w:r>
      <w:bookmarkEnd w:id="161"/>
    </w:p>
    <w:p>
      <w:pPr>
        <w:pStyle w:val="MDPI81references"/>
        <w:numPr>
          <w:ilvl w:val="0"/>
          <w:numId w:val="0"/>
        </w:numPr>
        <w:ind w:left="180" w:hanging="180"/>
      </w:pPr>
      <w:bookmarkStart w:id="163" w:name="r-cranfield"/>
      <w:r>
        <w:rPr>
          <w:highlight w:val="green"/>
        </w:rPr>
        <w:t xml:space="preserve">Ruiz-Cárcel, C.; Cao, Y.; Mba, D.; Lao, L.; Samuel, R.T. Statistical process monitoring of a multiphase flow facility.</w:t>
      </w:r>
      <w:r>
        <w:rPr>
          <w:highlight w:val="green"/>
        </w:rPr>
        <w:t xml:space="preserve"> </w:t>
      </w:r>
      <w:r>
        <w:rPr>
          <w:i/>
          <w:iCs/>
          <w:highlight w:val="green"/>
        </w:rPr>
        <w:t xml:space="preserve">Control Eng. Pract.</w:t>
      </w:r>
      <w:r>
        <w:rPr>
          <w:highlight w:val="green"/>
        </w:rPr>
        <w:t xml:space="preserve"> </w:t>
      </w:r>
      <w:r>
        <w:rPr>
          <w:b/>
          <w:bCs/>
          <w:highlight w:val="green"/>
        </w:rPr>
        <w:t xml:space="preserve">2015</w:t>
      </w:r>
      <w:r>
        <w:rPr>
          <w:highlight w:val="green"/>
        </w:rPr>
        <w:t xml:space="preserve">,</w:t>
      </w:r>
      <w:r>
        <w:rPr>
          <w:highlight w:val="green"/>
        </w:rPr>
        <w:t xml:space="preserve"> </w:t>
      </w:r>
      <w:r>
        <w:rPr>
          <w:i/>
          <w:iCs/>
          <w:highlight w:val="green"/>
        </w:rPr>
        <w:t xml:space="preserve">42</w:t>
      </w:r>
      <w:r>
        <w:rPr>
          <w:highlight w:val="green"/>
        </w:rPr>
        <w:t xml:space="preserve">, 74–88.</w:t>
      </w:r>
      <w:r>
        <w:rPr>
          <w:highlight w:val="green"/>
        </w:rPr>
        <w:t xml:space="preserve"> </w:t>
      </w:r>
      <w:hyperlink r:id="rId78">
        <w:r>
          <w:rPr>
            <w:rStyle w:val="Hyperlink"/>
            <w:highlight w:val="green"/>
          </w:rPr>
          <w:t xml:space="preserve">https://doi.org/10.1016/j.conengprac.2015.04.012</w:t>
        </w:r>
      </w:hyperlink>
      <w:r>
        <w:rPr>
          <w:highlight w:val="green"/>
        </w:rPr>
        <w:t xml:space="preserve">.</w:t>
      </w:r>
      <w:bookmarkEnd w:id="163"/>
    </w:p>
    <w:sectPr w:rsidR="00BE70EC" w:rsidRPr="00797787" w:rsidSect="0019663C">
      <w:headerReference w:type="even" r:id="rId12"/>
      <w:headerReference w:type="default" r:id="rId13"/>
      <w:footerReference w:type="default" r:id="rId14"/>
      <w:headerReference w:type="first" r:id="rId15"/>
      <w:footerReference w:type="first" r:id="rId16"/>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F4A9B" w14:textId="77777777" w:rsidR="00D549C5" w:rsidRPr="00A8086E" w:rsidRDefault="00D549C5">
      <w:pPr>
        <w:spacing w:line="240" w:lineRule="auto"/>
      </w:pPr>
      <w:r w:rsidRPr="00A8086E">
        <w:separator/>
      </w:r>
    </w:p>
  </w:endnote>
  <w:endnote w:type="continuationSeparator" w:id="0">
    <w:p w14:paraId="43228A66" w14:textId="77777777" w:rsidR="00D549C5" w:rsidRPr="00A8086E" w:rsidRDefault="00D549C5">
      <w:pPr>
        <w:spacing w:line="240" w:lineRule="auto"/>
      </w:pPr>
      <w:r w:rsidRPr="00A8086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6D1" w14:textId="1ED759AB" w:rsidR="00357C8D" w:rsidRPr="008C2EC5" w:rsidRDefault="008C2EC5" w:rsidP="008C2EC5">
    <w:pPr>
      <w:pStyle w:val="Footer"/>
      <w:spacing w:line="240" w:lineRule="auto"/>
      <w:jc w:val="right"/>
    </w:pPr>
    <w:r w:rsidRPr="008969D2">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AA6A4" w14:textId="77777777" w:rsidR="005F1F95" w:rsidRPr="00A8086E" w:rsidRDefault="005F1F95" w:rsidP="00D3396A">
    <w:pPr>
      <w:pBdr>
        <w:top w:val="single" w:sz="4" w:space="0" w:color="000000"/>
      </w:pBdr>
      <w:adjustRightInd w:val="0"/>
      <w:snapToGrid w:val="0"/>
      <w:spacing w:before="480" w:line="100" w:lineRule="exact"/>
      <w:rPr>
        <w:i/>
        <w:sz w:val="16"/>
        <w:szCs w:val="16"/>
      </w:rPr>
    </w:pPr>
  </w:p>
  <w:p w14:paraId="46C7C755" w14:textId="0A8F3B41" w:rsidR="00357C8D" w:rsidRPr="00A8086E" w:rsidRDefault="00CC569D" w:rsidP="003B290C">
    <w:pPr>
      <w:tabs>
        <w:tab w:val="right" w:pos="10466"/>
      </w:tabs>
      <w:spacing w:line="240" w:lineRule="auto"/>
      <w:rPr>
        <w:sz w:val="16"/>
        <w:szCs w:val="16"/>
      </w:rPr>
    </w:pPr>
    <w:r w:rsidRPr="00A8086E">
      <w:rPr>
        <w:i/>
        <w:sz w:val="16"/>
        <w:szCs w:val="16"/>
      </w:rPr>
      <w:t>IoT</w:t>
    </w:r>
    <w:r w:rsidRPr="00A8086E">
      <w:rPr>
        <w:sz w:val="16"/>
        <w:szCs w:val="16"/>
      </w:rPr>
      <w:t xml:space="preserve"> </w:t>
    </w:r>
    <w:r w:rsidR="008C2EC5">
      <w:rPr>
        <w:b/>
        <w:sz w:val="16"/>
        <w:szCs w:val="16"/>
      </w:rPr>
      <w:t>2026</w:t>
    </w:r>
    <w:r w:rsidRPr="00A8086E">
      <w:rPr>
        <w:bCs/>
        <w:sz w:val="16"/>
        <w:szCs w:val="16"/>
      </w:rPr>
      <w:t>,</w:t>
    </w:r>
    <w:r w:rsidR="0019663C" w:rsidRPr="00A8086E">
      <w:rPr>
        <w:bCs/>
        <w:i/>
        <w:sz w:val="16"/>
        <w:szCs w:val="16"/>
      </w:rPr>
      <w:t xml:space="preserve"> </w:t>
    </w:r>
    <w:r w:rsidR="008C2EC5">
      <w:rPr>
        <w:bCs/>
        <w:i/>
        <w:sz w:val="16"/>
        <w:szCs w:val="16"/>
      </w:rPr>
      <w:t>7</w:t>
    </w:r>
    <w:r w:rsidR="00715BD6" w:rsidRPr="00A8086E">
      <w:rPr>
        <w:bCs/>
        <w:sz w:val="16"/>
        <w:szCs w:val="16"/>
      </w:rPr>
      <w:t xml:space="preserve">, </w:t>
    </w:r>
    <w:r w:rsidR="0019663C" w:rsidRPr="00A8086E">
      <w:rPr>
        <w:bCs/>
        <w:sz w:val="16"/>
        <w:szCs w:val="16"/>
      </w:rPr>
      <w:t>x</w:t>
    </w:r>
    <w:r w:rsidR="003B290C" w:rsidRPr="00A8086E">
      <w:rPr>
        <w:sz w:val="16"/>
        <w:szCs w:val="16"/>
      </w:rPr>
      <w:tab/>
    </w:r>
    <w:r w:rsidR="008C2EC5" w:rsidRPr="008969D2">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FB174" w14:textId="77777777" w:rsidR="00D549C5" w:rsidRPr="00A8086E" w:rsidRDefault="00D549C5">
      <w:pPr>
        <w:spacing w:line="240" w:lineRule="auto"/>
      </w:pPr>
      <w:r w:rsidRPr="00A8086E">
        <w:separator/>
      </w:r>
    </w:p>
  </w:footnote>
  <w:footnote w:type="continuationSeparator" w:id="0">
    <w:p w14:paraId="7911A62B" w14:textId="77777777" w:rsidR="00D549C5" w:rsidRPr="00A8086E" w:rsidRDefault="00D549C5">
      <w:pPr>
        <w:spacing w:line="240" w:lineRule="auto"/>
      </w:pPr>
      <w:r w:rsidRPr="00A8086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53920" w14:textId="77777777" w:rsidR="00357C8D" w:rsidRPr="00A8086E" w:rsidRDefault="00357C8D" w:rsidP="00357C8D">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08046" w14:textId="3F5E636F" w:rsidR="005F1F95" w:rsidRPr="00A8086E" w:rsidRDefault="00CC569D" w:rsidP="003B290C">
    <w:pPr>
      <w:tabs>
        <w:tab w:val="right" w:pos="10466"/>
      </w:tabs>
      <w:adjustRightInd w:val="0"/>
      <w:snapToGrid w:val="0"/>
      <w:spacing w:line="240" w:lineRule="auto"/>
      <w:rPr>
        <w:sz w:val="16"/>
      </w:rPr>
    </w:pPr>
    <w:r w:rsidRPr="00A8086E">
      <w:rPr>
        <w:i/>
        <w:sz w:val="16"/>
      </w:rPr>
      <w:t>IoT</w:t>
    </w:r>
    <w:r w:rsidRPr="00A8086E">
      <w:rPr>
        <w:b/>
        <w:sz w:val="16"/>
      </w:rPr>
      <w:t xml:space="preserve"> </w:t>
    </w:r>
    <w:r w:rsidR="008C2EC5">
      <w:rPr>
        <w:b/>
        <w:sz w:val="16"/>
      </w:rPr>
      <w:t>2026</w:t>
    </w:r>
    <w:r w:rsidR="00715BD6" w:rsidRPr="00A8086E">
      <w:rPr>
        <w:sz w:val="16"/>
      </w:rPr>
      <w:t>,</w:t>
    </w:r>
    <w:r w:rsidR="0019663C" w:rsidRPr="00A8086E">
      <w:rPr>
        <w:i/>
        <w:sz w:val="16"/>
      </w:rPr>
      <w:t xml:space="preserve"> </w:t>
    </w:r>
    <w:r w:rsidR="008C2EC5">
      <w:rPr>
        <w:i/>
        <w:sz w:val="16"/>
      </w:rPr>
      <w:t>7</w:t>
    </w:r>
    <w:r w:rsidR="00715BD6" w:rsidRPr="00A8086E">
      <w:rPr>
        <w:sz w:val="16"/>
      </w:rPr>
      <w:t>,</w:t>
    </w:r>
    <w:r w:rsidR="0019663C" w:rsidRPr="00A8086E">
      <w:rPr>
        <w:sz w:val="16"/>
      </w:rPr>
      <w:t xml:space="preserve"> x</w:t>
    </w:r>
    <w:r w:rsidR="00715BD6" w:rsidRPr="00A8086E">
      <w:rPr>
        <w:sz w:val="16"/>
      </w:rPr>
      <w:t xml:space="preserve"> </w:t>
    </w:r>
    <w:r w:rsidR="0019663C" w:rsidRPr="00A8086E">
      <w:rPr>
        <w:sz w:val="16"/>
      </w:rPr>
      <w:t>FOR PEER REVIEW</w:t>
    </w:r>
    <w:r w:rsidR="0019663C" w:rsidRPr="00A8086E">
      <w:rPr>
        <w:sz w:val="16"/>
      </w:rPr>
      <w:ptab w:relativeTo="margin" w:alignment="right" w:leader="none"/>
    </w:r>
    <w:r w:rsidR="0019663C" w:rsidRPr="00A8086E">
      <w:rPr>
        <w:sz w:val="16"/>
      </w:rPr>
      <w:fldChar w:fldCharType="begin"/>
    </w:r>
    <w:r w:rsidR="0019663C" w:rsidRPr="00A8086E">
      <w:rPr>
        <w:sz w:val="16"/>
      </w:rPr>
      <w:instrText xml:space="preserve"> PAGE   \* MERGEFORMAT </w:instrText>
    </w:r>
    <w:r w:rsidR="0019663C" w:rsidRPr="00A8086E">
      <w:rPr>
        <w:sz w:val="16"/>
      </w:rPr>
      <w:fldChar w:fldCharType="separate"/>
    </w:r>
    <w:r w:rsidR="0019663C" w:rsidRPr="00A8086E">
      <w:rPr>
        <w:sz w:val="16"/>
      </w:rPr>
      <w:t>2</w:t>
    </w:r>
    <w:r w:rsidR="0019663C" w:rsidRPr="00A8086E">
      <w:rPr>
        <w:sz w:val="16"/>
      </w:rPr>
      <w:fldChar w:fldCharType="end"/>
    </w:r>
    <w:r w:rsidR="0019663C" w:rsidRPr="00A8086E">
      <w:rPr>
        <w:sz w:val="16"/>
      </w:rPr>
      <w:t xml:space="preserve"> of </w:t>
    </w:r>
    <w:r w:rsidR="0019663C" w:rsidRPr="00A8086E">
      <w:rPr>
        <w:sz w:val="16"/>
      </w:rPr>
      <w:fldChar w:fldCharType="begin"/>
    </w:r>
    <w:r w:rsidR="0019663C" w:rsidRPr="00A8086E">
      <w:rPr>
        <w:sz w:val="16"/>
      </w:rPr>
      <w:instrText xml:space="preserve"> NUMPAGES   \* MERGEFORMAT </w:instrText>
    </w:r>
    <w:r w:rsidR="0019663C" w:rsidRPr="00A8086E">
      <w:rPr>
        <w:sz w:val="16"/>
      </w:rPr>
      <w:fldChar w:fldCharType="separate"/>
    </w:r>
    <w:r w:rsidR="0019663C" w:rsidRPr="00A8086E">
      <w:rPr>
        <w:sz w:val="16"/>
      </w:rPr>
      <w:t>8</w:t>
    </w:r>
    <w:r w:rsidR="0019663C" w:rsidRPr="00A8086E">
      <w:rPr>
        <w:sz w:val="16"/>
      </w:rPr>
      <w:fldChar w:fldCharType="end"/>
    </w:r>
  </w:p>
  <w:p w14:paraId="3155DB8A" w14:textId="77777777" w:rsidR="00357C8D" w:rsidRPr="00A8086E" w:rsidRDefault="00357C8D" w:rsidP="00D3396A">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5F1F95" w:rsidRPr="00A8086E" w14:paraId="4CB2F1E3" w14:textId="77777777" w:rsidTr="002055C3">
      <w:trPr>
        <w:trHeight w:val="686"/>
      </w:trPr>
      <w:tc>
        <w:tcPr>
          <w:tcW w:w="3679" w:type="dxa"/>
          <w:vAlign w:val="center"/>
        </w:tcPr>
        <w:p w14:paraId="6DF5C523" w14:textId="1579F1B1" w:rsidR="005F1F95" w:rsidRPr="00A8086E" w:rsidRDefault="00EC27A2" w:rsidP="003B290C">
          <w:pPr>
            <w:pStyle w:val="Header"/>
            <w:pBdr>
              <w:bottom w:val="none" w:sz="0" w:space="0" w:color="auto"/>
            </w:pBdr>
            <w:jc w:val="left"/>
            <w:rPr>
              <w:rFonts w:eastAsia="等线"/>
              <w:b/>
              <w:bCs/>
            </w:rPr>
          </w:pPr>
          <w:r w:rsidRPr="00A8086E">
            <w:rPr>
              <w:rFonts w:eastAsia="等线"/>
              <w:b/>
              <w:bCs/>
              <w:noProof/>
            </w:rPr>
            <w:drawing>
              <wp:inline distT="0" distB="0" distL="0" distR="0" wp14:anchorId="0239CEF3" wp14:editId="247ED866">
                <wp:extent cx="839314" cy="432000"/>
                <wp:effectExtent l="0" t="0" r="0" b="6350"/>
                <wp:docPr id="186509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97153" name=""/>
                        <pic:cNvPicPr/>
                      </pic:nvPicPr>
                      <pic:blipFill>
                        <a:blip r:embed="rId1"/>
                        <a:stretch>
                          <a:fillRect/>
                        </a:stretch>
                      </pic:blipFill>
                      <pic:spPr>
                        <a:xfrm>
                          <a:off x="0" y="0"/>
                          <a:ext cx="839314" cy="432000"/>
                        </a:xfrm>
                        <a:prstGeom prst="rect">
                          <a:avLst/>
                        </a:prstGeom>
                      </pic:spPr>
                    </pic:pic>
                  </a:graphicData>
                </a:graphic>
              </wp:inline>
            </w:drawing>
          </w:r>
        </w:p>
      </w:tc>
      <w:tc>
        <w:tcPr>
          <w:tcW w:w="4535" w:type="dxa"/>
          <w:vAlign w:val="center"/>
        </w:tcPr>
        <w:p w14:paraId="0898B16D" w14:textId="77777777" w:rsidR="005F1F95" w:rsidRPr="00A8086E" w:rsidRDefault="005F1F95" w:rsidP="003B290C">
          <w:pPr>
            <w:pStyle w:val="Header"/>
            <w:pBdr>
              <w:bottom w:val="none" w:sz="0" w:space="0" w:color="auto"/>
            </w:pBdr>
            <w:rPr>
              <w:rFonts w:eastAsia="等线"/>
              <w:b/>
              <w:bCs/>
            </w:rPr>
          </w:pPr>
        </w:p>
      </w:tc>
      <w:tc>
        <w:tcPr>
          <w:tcW w:w="2273" w:type="dxa"/>
          <w:vAlign w:val="center"/>
        </w:tcPr>
        <w:p w14:paraId="64DB50AD" w14:textId="4429843F" w:rsidR="005F1F95" w:rsidRPr="00A8086E" w:rsidRDefault="002055C3" w:rsidP="002055C3">
          <w:pPr>
            <w:pStyle w:val="Header"/>
            <w:pBdr>
              <w:bottom w:val="none" w:sz="0" w:space="0" w:color="auto"/>
            </w:pBdr>
            <w:jc w:val="right"/>
            <w:rPr>
              <w:rFonts w:eastAsia="等线"/>
              <w:b/>
              <w:bCs/>
            </w:rPr>
          </w:pPr>
          <w:r w:rsidRPr="00A8086E">
            <w:rPr>
              <w:rFonts w:eastAsia="等线"/>
              <w:b/>
              <w:bCs/>
              <w:noProof/>
            </w:rPr>
            <w:drawing>
              <wp:inline distT="0" distB="0" distL="0" distR="0" wp14:anchorId="07C34F4A" wp14:editId="78196ADE">
                <wp:extent cx="540000" cy="360000"/>
                <wp:effectExtent l="0" t="0" r="0" b="2540"/>
                <wp:docPr id="1284081152" name="Picture 1"/>
                <wp:cNvGraphicFramePr/>
                <a:graphic xmlns:a="http://schemas.openxmlformats.org/drawingml/2006/main">
                  <a:graphicData uri="http://schemas.openxmlformats.org/drawingml/2006/picture">
                    <pic:pic xmlns:pic="http://schemas.openxmlformats.org/drawingml/2006/picture">
                      <pic:nvPicPr>
                        <pic:cNvPr id="1284081152" name=""/>
                        <pic:cNvPicPr/>
                      </pic:nvPicPr>
                      <pic:blipFill>
                        <a:blip r:embed="rId2"/>
                        <a:stretch>
                          <a:fillRect/>
                        </a:stretch>
                      </pic:blipFill>
                      <pic:spPr>
                        <a:xfrm>
                          <a:off x="0" y="0"/>
                          <a:ext cx="540000" cy="360000"/>
                        </a:xfrm>
                        <a:prstGeom prst="rect">
                          <a:avLst/>
                        </a:prstGeom>
                      </pic:spPr>
                    </pic:pic>
                  </a:graphicData>
                </a:graphic>
              </wp:inline>
            </w:drawing>
          </w:r>
        </w:p>
      </w:tc>
    </w:tr>
  </w:tbl>
  <w:p w14:paraId="07F660AB" w14:textId="77777777" w:rsidR="00357C8D" w:rsidRPr="00A8086E" w:rsidRDefault="00357C8D" w:rsidP="0019663C">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3631B"/>
    <w:multiLevelType w:val="hybridMultilevel"/>
    <w:tmpl w:val="8DD6EEDE"/>
    <w:lvl w:ilvl="0" w:tplc="93A6F1DE">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7FB0FCC0"/>
    <w:lvl w:ilvl="0" w:tplc="4CA01816">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36DC520E"/>
    <w:multiLevelType w:val="hybridMultilevel"/>
    <w:tmpl w:val="8668CE68"/>
    <w:lvl w:ilvl="0" w:tplc="5A90BB5E">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618326A2"/>
    <w:multiLevelType w:val="hybridMultilevel"/>
    <w:tmpl w:val="B644D85C"/>
    <w:lvl w:ilvl="0" w:tplc="11D0A648">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2275560">
    <w:abstractNumId w:val="4"/>
  </w:num>
  <w:num w:numId="2" w16cid:durableId="2137989968">
    <w:abstractNumId w:val="6"/>
  </w:num>
  <w:num w:numId="3" w16cid:durableId="697049262">
    <w:abstractNumId w:val="3"/>
  </w:num>
  <w:num w:numId="4" w16cid:durableId="5915518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0886843">
    <w:abstractNumId w:val="5"/>
  </w:num>
  <w:num w:numId="6" w16cid:durableId="1450933873">
    <w:abstractNumId w:val="9"/>
  </w:num>
  <w:num w:numId="7" w16cid:durableId="1706367409">
    <w:abstractNumId w:val="2"/>
  </w:num>
  <w:num w:numId="8" w16cid:durableId="1052120146">
    <w:abstractNumId w:val="9"/>
  </w:num>
  <w:num w:numId="9" w16cid:durableId="8989770">
    <w:abstractNumId w:val="2"/>
  </w:num>
  <w:num w:numId="10" w16cid:durableId="1232421305">
    <w:abstractNumId w:val="9"/>
  </w:num>
  <w:num w:numId="11" w16cid:durableId="1801075917">
    <w:abstractNumId w:val="2"/>
  </w:num>
  <w:num w:numId="12" w16cid:durableId="122385880">
    <w:abstractNumId w:val="11"/>
  </w:num>
  <w:num w:numId="13" w16cid:durableId="1059474638">
    <w:abstractNumId w:val="9"/>
  </w:num>
  <w:num w:numId="14" w16cid:durableId="2089224836">
    <w:abstractNumId w:val="2"/>
  </w:num>
  <w:num w:numId="15" w16cid:durableId="303199159">
    <w:abstractNumId w:val="1"/>
  </w:num>
  <w:num w:numId="16" w16cid:durableId="179128820">
    <w:abstractNumId w:val="8"/>
  </w:num>
  <w:num w:numId="17" w16cid:durableId="559294913">
    <w:abstractNumId w:val="0"/>
  </w:num>
  <w:num w:numId="18" w16cid:durableId="1752962922">
    <w:abstractNumId w:val="9"/>
  </w:num>
  <w:num w:numId="19" w16cid:durableId="159085575">
    <w:abstractNumId w:val="2"/>
  </w:num>
  <w:num w:numId="20" w16cid:durableId="1521892478">
    <w:abstractNumId w:val="1"/>
  </w:num>
  <w:num w:numId="21" w16cid:durableId="227107955">
    <w:abstractNumId w:val="7"/>
  </w:num>
  <w:num w:numId="22" w16cid:durableId="577208175">
    <w:abstractNumId w:val="10"/>
  </w:num>
  <w:num w:numId="23" w16cid:durableId="257367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419"/>
    <w:rsid w:val="000019D8"/>
    <w:rsid w:val="0000474A"/>
    <w:rsid w:val="00006F9A"/>
    <w:rsid w:val="000110F1"/>
    <w:rsid w:val="00021F00"/>
    <w:rsid w:val="000259AF"/>
    <w:rsid w:val="0003298A"/>
    <w:rsid w:val="000343C7"/>
    <w:rsid w:val="000350A5"/>
    <w:rsid w:val="00041D95"/>
    <w:rsid w:val="00047387"/>
    <w:rsid w:val="00057B7E"/>
    <w:rsid w:val="00071FE7"/>
    <w:rsid w:val="0009429F"/>
    <w:rsid w:val="000A5DCA"/>
    <w:rsid w:val="000A6533"/>
    <w:rsid w:val="000B0494"/>
    <w:rsid w:val="000B411C"/>
    <w:rsid w:val="000C0FC2"/>
    <w:rsid w:val="000D1A84"/>
    <w:rsid w:val="000E17C2"/>
    <w:rsid w:val="00100452"/>
    <w:rsid w:val="00113E3A"/>
    <w:rsid w:val="001168FC"/>
    <w:rsid w:val="001233BF"/>
    <w:rsid w:val="001513A1"/>
    <w:rsid w:val="00154436"/>
    <w:rsid w:val="00164B65"/>
    <w:rsid w:val="00165CBF"/>
    <w:rsid w:val="0017188E"/>
    <w:rsid w:val="001877C4"/>
    <w:rsid w:val="00193CF6"/>
    <w:rsid w:val="0019663C"/>
    <w:rsid w:val="001A6A5A"/>
    <w:rsid w:val="001B5E37"/>
    <w:rsid w:val="001C3A7E"/>
    <w:rsid w:val="001C40EA"/>
    <w:rsid w:val="001C4EF2"/>
    <w:rsid w:val="001D1C27"/>
    <w:rsid w:val="001D25D3"/>
    <w:rsid w:val="001E242B"/>
    <w:rsid w:val="001E2AEB"/>
    <w:rsid w:val="001F462D"/>
    <w:rsid w:val="001F6A32"/>
    <w:rsid w:val="0020017C"/>
    <w:rsid w:val="002055C3"/>
    <w:rsid w:val="00216194"/>
    <w:rsid w:val="00222F9A"/>
    <w:rsid w:val="00240AA5"/>
    <w:rsid w:val="002423D3"/>
    <w:rsid w:val="002436CE"/>
    <w:rsid w:val="00254CD9"/>
    <w:rsid w:val="0026577E"/>
    <w:rsid w:val="00270E10"/>
    <w:rsid w:val="00274D95"/>
    <w:rsid w:val="00280F25"/>
    <w:rsid w:val="0028257D"/>
    <w:rsid w:val="00282D4C"/>
    <w:rsid w:val="00283C63"/>
    <w:rsid w:val="00290637"/>
    <w:rsid w:val="0029303F"/>
    <w:rsid w:val="00295161"/>
    <w:rsid w:val="00297194"/>
    <w:rsid w:val="002A5CBE"/>
    <w:rsid w:val="002C5B08"/>
    <w:rsid w:val="002D6978"/>
    <w:rsid w:val="002F57DE"/>
    <w:rsid w:val="00304D60"/>
    <w:rsid w:val="00314479"/>
    <w:rsid w:val="00314AE4"/>
    <w:rsid w:val="00325CF8"/>
    <w:rsid w:val="00326141"/>
    <w:rsid w:val="0034278A"/>
    <w:rsid w:val="0034365E"/>
    <w:rsid w:val="00345807"/>
    <w:rsid w:val="00357C8D"/>
    <w:rsid w:val="003712F1"/>
    <w:rsid w:val="00382DB9"/>
    <w:rsid w:val="003977A3"/>
    <w:rsid w:val="003A268B"/>
    <w:rsid w:val="003A3EF0"/>
    <w:rsid w:val="003B290C"/>
    <w:rsid w:val="003C7DAC"/>
    <w:rsid w:val="003D4857"/>
    <w:rsid w:val="003D4BE4"/>
    <w:rsid w:val="003D55AB"/>
    <w:rsid w:val="003D75BA"/>
    <w:rsid w:val="003F1681"/>
    <w:rsid w:val="003F2DA1"/>
    <w:rsid w:val="003F416B"/>
    <w:rsid w:val="00401D30"/>
    <w:rsid w:val="00402836"/>
    <w:rsid w:val="00412E31"/>
    <w:rsid w:val="004142C7"/>
    <w:rsid w:val="00416C21"/>
    <w:rsid w:val="004225B0"/>
    <w:rsid w:val="004411A5"/>
    <w:rsid w:val="0045483A"/>
    <w:rsid w:val="004729E1"/>
    <w:rsid w:val="00475E9F"/>
    <w:rsid w:val="00485D91"/>
    <w:rsid w:val="00493255"/>
    <w:rsid w:val="004974F3"/>
    <w:rsid w:val="004B6709"/>
    <w:rsid w:val="004B7429"/>
    <w:rsid w:val="004C2F03"/>
    <w:rsid w:val="004D5F4D"/>
    <w:rsid w:val="004F0D9F"/>
    <w:rsid w:val="00507516"/>
    <w:rsid w:val="00507625"/>
    <w:rsid w:val="00512D5A"/>
    <w:rsid w:val="005166BD"/>
    <w:rsid w:val="00540D09"/>
    <w:rsid w:val="00542CE0"/>
    <w:rsid w:val="00545B32"/>
    <w:rsid w:val="00545BBD"/>
    <w:rsid w:val="00547A54"/>
    <w:rsid w:val="005577F2"/>
    <w:rsid w:val="00563B51"/>
    <w:rsid w:val="00567501"/>
    <w:rsid w:val="00567D68"/>
    <w:rsid w:val="00592C55"/>
    <w:rsid w:val="005963C5"/>
    <w:rsid w:val="00597497"/>
    <w:rsid w:val="005A0864"/>
    <w:rsid w:val="005A1067"/>
    <w:rsid w:val="005A7B60"/>
    <w:rsid w:val="005D6B13"/>
    <w:rsid w:val="005F05FD"/>
    <w:rsid w:val="005F1F95"/>
    <w:rsid w:val="005F3351"/>
    <w:rsid w:val="00603B1D"/>
    <w:rsid w:val="006218B8"/>
    <w:rsid w:val="00622838"/>
    <w:rsid w:val="00634001"/>
    <w:rsid w:val="00637CD2"/>
    <w:rsid w:val="0064373B"/>
    <w:rsid w:val="00643FC9"/>
    <w:rsid w:val="00667913"/>
    <w:rsid w:val="00685F96"/>
    <w:rsid w:val="00692393"/>
    <w:rsid w:val="006A5D76"/>
    <w:rsid w:val="006A7906"/>
    <w:rsid w:val="006C087B"/>
    <w:rsid w:val="006C3990"/>
    <w:rsid w:val="006C6DFD"/>
    <w:rsid w:val="006E0505"/>
    <w:rsid w:val="006E2BCF"/>
    <w:rsid w:val="006E78BF"/>
    <w:rsid w:val="006F392A"/>
    <w:rsid w:val="006F43C8"/>
    <w:rsid w:val="007018DC"/>
    <w:rsid w:val="00705D61"/>
    <w:rsid w:val="00706D77"/>
    <w:rsid w:val="00715BD6"/>
    <w:rsid w:val="007218D7"/>
    <w:rsid w:val="007340DD"/>
    <w:rsid w:val="00736ED7"/>
    <w:rsid w:val="007620B4"/>
    <w:rsid w:val="007632B1"/>
    <w:rsid w:val="00764528"/>
    <w:rsid w:val="00765C95"/>
    <w:rsid w:val="00797787"/>
    <w:rsid w:val="007A0CC7"/>
    <w:rsid w:val="007C2E11"/>
    <w:rsid w:val="007F2B9C"/>
    <w:rsid w:val="007F4ED6"/>
    <w:rsid w:val="007F6122"/>
    <w:rsid w:val="00806CA4"/>
    <w:rsid w:val="00816BBE"/>
    <w:rsid w:val="00831142"/>
    <w:rsid w:val="00851192"/>
    <w:rsid w:val="008539A7"/>
    <w:rsid w:val="00853B85"/>
    <w:rsid w:val="0085491A"/>
    <w:rsid w:val="00855334"/>
    <w:rsid w:val="00865AC6"/>
    <w:rsid w:val="00872E35"/>
    <w:rsid w:val="00886BBC"/>
    <w:rsid w:val="008969D2"/>
    <w:rsid w:val="008A0042"/>
    <w:rsid w:val="008A4610"/>
    <w:rsid w:val="008C2EC5"/>
    <w:rsid w:val="008D06BA"/>
    <w:rsid w:val="008D0B41"/>
    <w:rsid w:val="008D4743"/>
    <w:rsid w:val="008E1862"/>
    <w:rsid w:val="008E3A21"/>
    <w:rsid w:val="008F6E8C"/>
    <w:rsid w:val="00900908"/>
    <w:rsid w:val="009035B8"/>
    <w:rsid w:val="00905189"/>
    <w:rsid w:val="00906CF8"/>
    <w:rsid w:val="00912374"/>
    <w:rsid w:val="00914275"/>
    <w:rsid w:val="009164A1"/>
    <w:rsid w:val="00923309"/>
    <w:rsid w:val="009243A4"/>
    <w:rsid w:val="00932683"/>
    <w:rsid w:val="00933CA4"/>
    <w:rsid w:val="00935D18"/>
    <w:rsid w:val="00940CE0"/>
    <w:rsid w:val="00957E7B"/>
    <w:rsid w:val="00961CD6"/>
    <w:rsid w:val="00964251"/>
    <w:rsid w:val="00966F10"/>
    <w:rsid w:val="00970559"/>
    <w:rsid w:val="00970888"/>
    <w:rsid w:val="00985701"/>
    <w:rsid w:val="00986672"/>
    <w:rsid w:val="00993E59"/>
    <w:rsid w:val="00995F53"/>
    <w:rsid w:val="00996419"/>
    <w:rsid w:val="009A60FF"/>
    <w:rsid w:val="009B47EE"/>
    <w:rsid w:val="009C5893"/>
    <w:rsid w:val="009C7E81"/>
    <w:rsid w:val="009D01F7"/>
    <w:rsid w:val="009D3119"/>
    <w:rsid w:val="009F27A0"/>
    <w:rsid w:val="009F70E6"/>
    <w:rsid w:val="00A0587E"/>
    <w:rsid w:val="00A15AC8"/>
    <w:rsid w:val="00A427D4"/>
    <w:rsid w:val="00A45A5B"/>
    <w:rsid w:val="00A460EA"/>
    <w:rsid w:val="00A547AB"/>
    <w:rsid w:val="00A60A83"/>
    <w:rsid w:val="00A73B50"/>
    <w:rsid w:val="00A7706E"/>
    <w:rsid w:val="00A80321"/>
    <w:rsid w:val="00A8086E"/>
    <w:rsid w:val="00A8420D"/>
    <w:rsid w:val="00A860BD"/>
    <w:rsid w:val="00AB660C"/>
    <w:rsid w:val="00AC2EA2"/>
    <w:rsid w:val="00AD2A68"/>
    <w:rsid w:val="00AD3640"/>
    <w:rsid w:val="00AD4E9B"/>
    <w:rsid w:val="00AE6F27"/>
    <w:rsid w:val="00AF63F6"/>
    <w:rsid w:val="00B161D8"/>
    <w:rsid w:val="00B27BDC"/>
    <w:rsid w:val="00B31714"/>
    <w:rsid w:val="00B410B3"/>
    <w:rsid w:val="00B5194B"/>
    <w:rsid w:val="00B66EC1"/>
    <w:rsid w:val="00B81BEA"/>
    <w:rsid w:val="00B8325D"/>
    <w:rsid w:val="00B83E92"/>
    <w:rsid w:val="00B84BC1"/>
    <w:rsid w:val="00B979BE"/>
    <w:rsid w:val="00BB22B4"/>
    <w:rsid w:val="00BB2D93"/>
    <w:rsid w:val="00BB7764"/>
    <w:rsid w:val="00BC2D10"/>
    <w:rsid w:val="00BC7059"/>
    <w:rsid w:val="00BE173A"/>
    <w:rsid w:val="00BE70EC"/>
    <w:rsid w:val="00BF0BE1"/>
    <w:rsid w:val="00BF1C47"/>
    <w:rsid w:val="00BF4FF8"/>
    <w:rsid w:val="00BF5D96"/>
    <w:rsid w:val="00C06E51"/>
    <w:rsid w:val="00C11B25"/>
    <w:rsid w:val="00C1439D"/>
    <w:rsid w:val="00C17D2C"/>
    <w:rsid w:val="00C21E8A"/>
    <w:rsid w:val="00C2474A"/>
    <w:rsid w:val="00C4309E"/>
    <w:rsid w:val="00C56556"/>
    <w:rsid w:val="00C629EF"/>
    <w:rsid w:val="00C638DD"/>
    <w:rsid w:val="00C6750D"/>
    <w:rsid w:val="00C76749"/>
    <w:rsid w:val="00C84CCA"/>
    <w:rsid w:val="00C86FD3"/>
    <w:rsid w:val="00C973CB"/>
    <w:rsid w:val="00CA6FBF"/>
    <w:rsid w:val="00CB13AA"/>
    <w:rsid w:val="00CB5986"/>
    <w:rsid w:val="00CC3E73"/>
    <w:rsid w:val="00CC569D"/>
    <w:rsid w:val="00CC5F55"/>
    <w:rsid w:val="00CE70FE"/>
    <w:rsid w:val="00CF0044"/>
    <w:rsid w:val="00CF1E66"/>
    <w:rsid w:val="00CF2732"/>
    <w:rsid w:val="00CF3E9B"/>
    <w:rsid w:val="00CF671E"/>
    <w:rsid w:val="00D0243A"/>
    <w:rsid w:val="00D0452F"/>
    <w:rsid w:val="00D06DB4"/>
    <w:rsid w:val="00D06ED6"/>
    <w:rsid w:val="00D15FBD"/>
    <w:rsid w:val="00D26F52"/>
    <w:rsid w:val="00D3396A"/>
    <w:rsid w:val="00D549C5"/>
    <w:rsid w:val="00D55C50"/>
    <w:rsid w:val="00D64B54"/>
    <w:rsid w:val="00D658D6"/>
    <w:rsid w:val="00D72E82"/>
    <w:rsid w:val="00D7685F"/>
    <w:rsid w:val="00D76EFE"/>
    <w:rsid w:val="00D84C3E"/>
    <w:rsid w:val="00D84E37"/>
    <w:rsid w:val="00DA0252"/>
    <w:rsid w:val="00DA4BB1"/>
    <w:rsid w:val="00DB00D4"/>
    <w:rsid w:val="00DB65CB"/>
    <w:rsid w:val="00DE5084"/>
    <w:rsid w:val="00DE6063"/>
    <w:rsid w:val="00E23F90"/>
    <w:rsid w:val="00E309B7"/>
    <w:rsid w:val="00E35FEC"/>
    <w:rsid w:val="00E37E7E"/>
    <w:rsid w:val="00E479A7"/>
    <w:rsid w:val="00E548E8"/>
    <w:rsid w:val="00E60FB4"/>
    <w:rsid w:val="00EA1A0C"/>
    <w:rsid w:val="00EB34C8"/>
    <w:rsid w:val="00EB730D"/>
    <w:rsid w:val="00EC27A2"/>
    <w:rsid w:val="00EC2CB7"/>
    <w:rsid w:val="00ED64FF"/>
    <w:rsid w:val="00F159D6"/>
    <w:rsid w:val="00F34FEE"/>
    <w:rsid w:val="00F41D77"/>
    <w:rsid w:val="00F5048F"/>
    <w:rsid w:val="00F61547"/>
    <w:rsid w:val="00F74513"/>
    <w:rsid w:val="00F9722B"/>
    <w:rsid w:val="00FA2DB6"/>
    <w:rsid w:val="00FA4695"/>
    <w:rsid w:val="00FB4D69"/>
    <w:rsid w:val="00FC1882"/>
    <w:rsid w:val="00FD4789"/>
    <w:rsid w:val="00FD7F82"/>
    <w:rsid w:val="00FE79E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D9B8FB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0EC"/>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BE70EC"/>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BE70EC"/>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BE70EC"/>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BE70EC"/>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BE70EC"/>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BE70EC"/>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BE70EC"/>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BE70EC"/>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Footer">
    <w:name w:val="footer"/>
    <w:basedOn w:val="Normal"/>
    <w:link w:val="FooterChar"/>
    <w:uiPriority w:val="99"/>
    <w:rsid w:val="00BE70EC"/>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BE70EC"/>
    <w:rPr>
      <w:rFonts w:ascii="Palatino Linotype" w:hAnsi="Palatino Linotype"/>
      <w:noProof/>
      <w:color w:val="000000"/>
      <w:szCs w:val="18"/>
    </w:rPr>
  </w:style>
  <w:style w:type="paragraph" w:styleId="Header">
    <w:name w:val="header"/>
    <w:basedOn w:val="Normal"/>
    <w:link w:val="HeaderChar"/>
    <w:uiPriority w:val="99"/>
    <w:rsid w:val="00BE70EC"/>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BE70EC"/>
    <w:rPr>
      <w:rFonts w:ascii="Palatino Linotype" w:hAnsi="Palatino Linotype"/>
      <w:noProof/>
      <w:color w:val="000000"/>
      <w:szCs w:val="18"/>
    </w:rPr>
  </w:style>
  <w:style w:type="paragraph" w:customStyle="1" w:styleId="MDPI32textnoindent">
    <w:name w:val="MDPI_3.2_text_no_indent"/>
    <w:basedOn w:val="MDPI31text"/>
    <w:qFormat/>
    <w:rsid w:val="00BE70EC"/>
    <w:pPr>
      <w:ind w:firstLine="0"/>
    </w:pPr>
  </w:style>
  <w:style w:type="paragraph" w:customStyle="1" w:styleId="MDPI31text">
    <w:name w:val="MDPI_3.1_text"/>
    <w:qFormat/>
    <w:rsid w:val="00FB4D69"/>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BE70EC"/>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BE70EC"/>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BE70EC"/>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BE70EC"/>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597497"/>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597497"/>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BE70EC"/>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BE70EC"/>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BE70EC"/>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4B7429"/>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BE70EC"/>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BE70EC"/>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BE70EC"/>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BE70EC"/>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BE70EC"/>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BE70EC"/>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BE70EC"/>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BE70EC"/>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FE79EB"/>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BE70EC"/>
    <w:rPr>
      <w:rFonts w:cs="Tahoma"/>
      <w:szCs w:val="18"/>
    </w:rPr>
  </w:style>
  <w:style w:type="character" w:customStyle="1" w:styleId="BalloonTextChar">
    <w:name w:val="Balloon Text Char"/>
    <w:link w:val="BalloonText"/>
    <w:uiPriority w:val="99"/>
    <w:rsid w:val="00BE70EC"/>
    <w:rPr>
      <w:rFonts w:ascii="Palatino Linotype" w:hAnsi="Palatino Linotype" w:cs="Tahoma"/>
      <w:noProof/>
      <w:color w:val="000000"/>
      <w:szCs w:val="18"/>
    </w:rPr>
  </w:style>
  <w:style w:type="character" w:styleId="LineNumber">
    <w:name w:val="line number"/>
    <w:uiPriority w:val="99"/>
    <w:rsid w:val="00193CF6"/>
    <w:rPr>
      <w:rFonts w:ascii="Palatino Linotype" w:hAnsi="Palatino Linotype"/>
      <w:sz w:val="16"/>
    </w:rPr>
  </w:style>
  <w:style w:type="table" w:customStyle="1" w:styleId="MDPI41threelinetable">
    <w:name w:val="MDPI_4.1_three_line_table"/>
    <w:basedOn w:val="TableNormal"/>
    <w:uiPriority w:val="99"/>
    <w:rsid w:val="00BE70EC"/>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BE70EC"/>
    <w:rPr>
      <w:color w:val="0000FF"/>
      <w:u w:val="single"/>
    </w:rPr>
  </w:style>
  <w:style w:type="character" w:styleId="UnresolvedMention">
    <w:name w:val="Unresolved Mention"/>
    <w:uiPriority w:val="99"/>
    <w:semiHidden/>
    <w:unhideWhenUsed/>
    <w:rsid w:val="0034278A"/>
    <w:rPr>
      <w:color w:val="605E5C"/>
      <w:shd w:val="clear" w:color="auto" w:fill="E1DFDD"/>
    </w:rPr>
  </w:style>
  <w:style w:type="table" w:styleId="TableGrid">
    <w:name w:val="Table Grid"/>
    <w:basedOn w:val="TableNormal"/>
    <w:uiPriority w:val="59"/>
    <w:rsid w:val="00BE70EC"/>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53B8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BE70EC"/>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BE70EC"/>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BE70EC"/>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BB2D93"/>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BE70EC"/>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BE70EC"/>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7340DD"/>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BE70EC"/>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BE70EC"/>
  </w:style>
  <w:style w:type="paragraph" w:styleId="Bibliography">
    <w:name w:val="Bibliography"/>
    <w:basedOn w:val="Normal"/>
    <w:next w:val="Normal"/>
    <w:uiPriority w:val="37"/>
    <w:semiHidden/>
    <w:unhideWhenUsed/>
    <w:rsid w:val="00BE70EC"/>
  </w:style>
  <w:style w:type="paragraph" w:styleId="BodyText">
    <w:name w:val="Body Text"/>
    <w:link w:val="BodyTextChar"/>
    <w:rsid w:val="00BE70EC"/>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BE70EC"/>
    <w:rPr>
      <w:rFonts w:ascii="Palatino Linotype" w:hAnsi="Palatino Linotype"/>
      <w:color w:val="000000"/>
      <w:sz w:val="24"/>
      <w:lang w:eastAsia="de-DE"/>
    </w:rPr>
  </w:style>
  <w:style w:type="character" w:styleId="CommentReference">
    <w:name w:val="annotation reference"/>
    <w:rsid w:val="00BE70EC"/>
    <w:rPr>
      <w:sz w:val="21"/>
      <w:szCs w:val="21"/>
    </w:rPr>
  </w:style>
  <w:style w:type="paragraph" w:styleId="CommentText">
    <w:name w:val="annotation text"/>
    <w:basedOn w:val="Normal"/>
    <w:link w:val="CommentTextChar"/>
    <w:rsid w:val="00BE70EC"/>
  </w:style>
  <w:style w:type="character" w:customStyle="1" w:styleId="CommentTextChar">
    <w:name w:val="Comment Text Char"/>
    <w:link w:val="CommentText"/>
    <w:rsid w:val="00BE70EC"/>
    <w:rPr>
      <w:rFonts w:ascii="Palatino Linotype" w:hAnsi="Palatino Linotype"/>
      <w:noProof/>
      <w:color w:val="000000"/>
    </w:rPr>
  </w:style>
  <w:style w:type="paragraph" w:styleId="CommentSubject">
    <w:name w:val="annotation subject"/>
    <w:basedOn w:val="CommentText"/>
    <w:next w:val="CommentText"/>
    <w:link w:val="CommentSubjectChar"/>
    <w:rsid w:val="00BE70EC"/>
    <w:rPr>
      <w:b/>
      <w:bCs/>
    </w:rPr>
  </w:style>
  <w:style w:type="character" w:customStyle="1" w:styleId="CommentSubjectChar">
    <w:name w:val="Comment Subject Char"/>
    <w:link w:val="CommentSubject"/>
    <w:rsid w:val="00BE70EC"/>
    <w:rPr>
      <w:rFonts w:ascii="Palatino Linotype" w:hAnsi="Palatino Linotype"/>
      <w:b/>
      <w:bCs/>
      <w:noProof/>
      <w:color w:val="000000"/>
    </w:rPr>
  </w:style>
  <w:style w:type="character" w:styleId="EndnoteReference">
    <w:name w:val="endnote reference"/>
    <w:rsid w:val="00BE70EC"/>
    <w:rPr>
      <w:vertAlign w:val="superscript"/>
    </w:rPr>
  </w:style>
  <w:style w:type="paragraph" w:styleId="EndnoteText">
    <w:name w:val="endnote text"/>
    <w:basedOn w:val="Normal"/>
    <w:link w:val="EndnoteTextChar"/>
    <w:semiHidden/>
    <w:unhideWhenUsed/>
    <w:rsid w:val="00BE70EC"/>
    <w:pPr>
      <w:spacing w:line="240" w:lineRule="auto"/>
    </w:pPr>
  </w:style>
  <w:style w:type="character" w:customStyle="1" w:styleId="EndnoteTextChar">
    <w:name w:val="Endnote Text Char"/>
    <w:link w:val="EndnoteText"/>
    <w:semiHidden/>
    <w:rsid w:val="00BE70EC"/>
    <w:rPr>
      <w:rFonts w:ascii="Palatino Linotype" w:hAnsi="Palatino Linotype"/>
      <w:noProof/>
      <w:color w:val="000000"/>
    </w:rPr>
  </w:style>
  <w:style w:type="character" w:styleId="FollowedHyperlink">
    <w:name w:val="FollowedHyperlink"/>
    <w:rsid w:val="00BE70EC"/>
    <w:rPr>
      <w:color w:val="954F72"/>
      <w:u w:val="single"/>
    </w:rPr>
  </w:style>
  <w:style w:type="paragraph" w:styleId="FootnoteText">
    <w:name w:val="footnote text"/>
    <w:basedOn w:val="Normal"/>
    <w:link w:val="FootnoteTextChar"/>
    <w:semiHidden/>
    <w:unhideWhenUsed/>
    <w:rsid w:val="00BE70EC"/>
    <w:pPr>
      <w:spacing w:line="240" w:lineRule="auto"/>
    </w:pPr>
  </w:style>
  <w:style w:type="character" w:customStyle="1" w:styleId="FootnoteTextChar">
    <w:name w:val="Footnote Text Char"/>
    <w:link w:val="FootnoteText"/>
    <w:semiHidden/>
    <w:rsid w:val="00BE70EC"/>
    <w:rPr>
      <w:rFonts w:ascii="Palatino Linotype" w:hAnsi="Palatino Linotype"/>
      <w:noProof/>
      <w:color w:val="000000"/>
    </w:rPr>
  </w:style>
  <w:style w:type="paragraph" w:styleId="NormalWeb">
    <w:name w:val="Normal (Web)"/>
    <w:basedOn w:val="Normal"/>
    <w:uiPriority w:val="99"/>
    <w:rsid w:val="00BE70EC"/>
    <w:rPr>
      <w:szCs w:val="24"/>
    </w:rPr>
  </w:style>
  <w:style w:type="paragraph" w:customStyle="1" w:styleId="MsoFootnoteText0">
    <w:name w:val="MsoFootnoteText"/>
    <w:basedOn w:val="NormalWeb"/>
    <w:qFormat/>
    <w:rsid w:val="00BE70EC"/>
    <w:rPr>
      <w:rFonts w:ascii="Times New Roman" w:hAnsi="Times New Roman"/>
    </w:rPr>
  </w:style>
  <w:style w:type="character" w:styleId="PageNumber">
    <w:name w:val="page number"/>
    <w:rsid w:val="00BE70EC"/>
  </w:style>
  <w:style w:type="character" w:styleId="PlaceholderText">
    <w:name w:val="Placeholder Text"/>
    <w:uiPriority w:val="99"/>
    <w:semiHidden/>
    <w:rsid w:val="00BE70EC"/>
    <w:rPr>
      <w:color w:val="808080"/>
    </w:rPr>
  </w:style>
  <w:style w:type="paragraph" w:customStyle="1" w:styleId="MDPI71footnotes">
    <w:name w:val="MDPI_7.1_footnotes"/>
    <w:qFormat/>
    <w:rsid w:val="00B8325D"/>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563B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3709465">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yperlink" Target="https://img.mdpi.org/data/contributor-role-instruction.pdf"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hyperlink" Target="https://doi.org/10.1145/1541880.1541882" TargetMode="External"/><Relationship Id="rId23" Type="http://schemas.openxmlformats.org/officeDocument/2006/relationships/hyperlink" Target="https://doi.org/10.1145/3439950" TargetMode="External"/><Relationship Id="rId24" Type="http://schemas.openxmlformats.org/officeDocument/2006/relationships/hyperlink" Target="https://doi.org/10.1109/JPROC.2021.3052449" TargetMode="External"/><Relationship Id="rId25" Type="http://schemas.openxmlformats.org/officeDocument/2006/relationships/hyperlink" Target="https://doi.org/10.3390/iot7010016" TargetMode="External"/><Relationship Id="rId26" Type="http://schemas.openxmlformats.org/officeDocument/2006/relationships/hyperlink" Target="https://doi.org/10.3390/iot6040062" TargetMode="External"/><Relationship Id="rId27" Type="http://schemas.openxmlformats.org/officeDocument/2006/relationships/hyperlink" Target="https://doi.org/10.3390/iot4030016" TargetMode="External"/><Relationship Id="rId28" Type="http://schemas.openxmlformats.org/officeDocument/2006/relationships/hyperlink" Target="https://doi.org/10.1609/aaai.v36i7.20680" TargetMode="External"/><Relationship Id="rId29" Type="http://schemas.openxmlformats.org/officeDocument/2006/relationships/hyperlink" Target="https://doi.org/10.1109/TNNLS.2021.3105827" TargetMode="External"/><Relationship Id="rId30" Type="http://schemas.openxmlformats.org/officeDocument/2006/relationships/hyperlink" Target="https://doi.org/10.1109/TKDE.2021.3112126" TargetMode="External"/><Relationship Id="rId31" Type="http://schemas.openxmlformats.org/officeDocument/2006/relationships/hyperlink" Target="https://doi.org/10.3390/s23198096" TargetMode="External"/><Relationship Id="rId32" Type="http://schemas.openxmlformats.org/officeDocument/2006/relationships/hyperlink" Target="https://doi.org/10.1038/s41597-020-00712-x" TargetMode="External"/><Relationship Id="rId33" Type="http://schemas.openxmlformats.org/officeDocument/2006/relationships/hyperlink" Target="https://doi.org/10.1145/3444690" TargetMode="External"/><Relationship Id="rId34" Type="http://schemas.openxmlformats.org/officeDocument/2006/relationships/hyperlink" Target="https://doi.org/10.1177/1550147718794615" TargetMode="External"/><Relationship Id="rId35" Type="http://schemas.openxmlformats.org/officeDocument/2006/relationships/hyperlink" Target="https://doi.org/10.1109/ACCESS.2021.3107975" TargetMode="External"/><Relationship Id="rId36" Type="http://schemas.openxmlformats.org/officeDocument/2006/relationships/hyperlink" Target="https://doi.org/10.1109/JPROC.2019.2918951" TargetMode="External"/><Relationship Id="rId37" Type="http://schemas.openxmlformats.org/officeDocument/2006/relationships/hyperlink" Target="https://doi.org/10.3390/iot5040040" TargetMode="External"/><Relationship Id="rId38" Type="http://schemas.openxmlformats.org/officeDocument/2006/relationships/hyperlink" Target="https://doi.org/10.3390/iot6030053" TargetMode="External"/><Relationship Id="rId39" Type="http://schemas.openxmlformats.org/officeDocument/2006/relationships/hyperlink" Target="https://arxiv.org/abs/2606.00052" TargetMode="External"/><Relationship Id="rId40" Type="http://schemas.openxmlformats.org/officeDocument/2006/relationships/hyperlink" Target="https://arxiv.org/abs/2203.05167" TargetMode="External"/><Relationship Id="rId41" Type="http://schemas.openxmlformats.org/officeDocument/2006/relationships/hyperlink" Target="https://doi.org/10.1145/3637528.3671971" TargetMode="External"/><Relationship Id="rId42" Type="http://schemas.openxmlformats.org/officeDocument/2006/relationships/hyperlink" Target="https://arxiv.org/abs/2606.02670" TargetMode="External"/><Relationship Id="rId43" Type="http://schemas.openxmlformats.org/officeDocument/2006/relationships/hyperlink" Target="https://arxiv.org/abs/2506.18046" TargetMode="External"/><Relationship Id="rId44" Type="http://schemas.openxmlformats.org/officeDocument/2006/relationships/hyperlink" Target="https://arxiv.org/abs/2501.13864" TargetMode="External"/><Relationship Id="rId45" Type="http://schemas.openxmlformats.org/officeDocument/2006/relationships/hyperlink" Target="https://arxiv.org/abs/1904.02639" TargetMode="External"/><Relationship Id="rId46" Type="http://schemas.openxmlformats.org/officeDocument/2006/relationships/hyperlink" Target="https://arxiv.org/abs/2405.02678" TargetMode="External"/><Relationship Id="rId47" Type="http://schemas.openxmlformats.org/officeDocument/2006/relationships/hyperlink" Target="https://openreview.net/forum?id=iMmsCI0JsS" TargetMode="External"/><Relationship Id="rId48" Type="http://schemas.openxmlformats.org/officeDocument/2006/relationships/hyperlink" Target="https://doi.org/10.24963/ijcai.2017/273" TargetMode="External"/><Relationship Id="rId49" Type="http://schemas.openxmlformats.org/officeDocument/2006/relationships/hyperlink" Target="https://openreview.net/forum?id=BJJLHbb0-" TargetMode="External"/><Relationship Id="rId50" Type="http://schemas.openxmlformats.org/officeDocument/2006/relationships/hyperlink" Target="https://doi.org/10.1145/3292500.3330672" TargetMode="External"/><Relationship Id="rId51" Type="http://schemas.openxmlformats.org/officeDocument/2006/relationships/hyperlink" Target="https://doi.org/10.3389/frai.2024.1508821" TargetMode="External"/><Relationship Id="rId52" Type="http://schemas.openxmlformats.org/officeDocument/2006/relationships/hyperlink" Target="https://doi.org/10.1016/S0047-259X(03)00096-4" TargetMode="External"/><Relationship Id="rId53" Type="http://schemas.openxmlformats.org/officeDocument/2006/relationships/hyperlink" Target="https://doi.org/10.1109/ICDM.2008.17" TargetMode="External"/><Relationship Id="rId54" Type="http://schemas.openxmlformats.org/officeDocument/2006/relationships/hyperlink" Target="https://doi.org/10.1145/2689746.2689747" TargetMode="External"/><Relationship Id="rId55" Type="http://schemas.openxmlformats.org/officeDocument/2006/relationships/hyperlink" Target="https://doi.org/10.1145/3394486.3403392" TargetMode="External"/><Relationship Id="rId56" Type="http://schemas.openxmlformats.org/officeDocument/2006/relationships/hyperlink" Target="https://doi.org/10.14778/3514061.3514067" TargetMode="External"/><Relationship Id="rId57" Type="http://schemas.openxmlformats.org/officeDocument/2006/relationships/hyperlink" Target="https://doi.org/10.1609/aaai.v35i5.16523" TargetMode="External"/><Relationship Id="rId58" Type="http://schemas.openxmlformats.org/officeDocument/2006/relationships/hyperlink" Target="https://doi.org/10.1609/aaai.v39i16.33921" TargetMode="External"/><Relationship Id="rId59" Type="http://schemas.openxmlformats.org/officeDocument/2006/relationships/hyperlink" Target="https://doi.org/10.1145/3637528.3671919" TargetMode="External"/><Relationship Id="rId60" Type="http://schemas.openxmlformats.org/officeDocument/2006/relationships/hyperlink" Target="https://arxiv.org/abs/2410.12261" TargetMode="External"/><Relationship Id="rId61" Type="http://schemas.openxmlformats.org/officeDocument/2006/relationships/hyperlink" Target="https://doi.org/10.1109/ICCAD57653.2023.10152303" TargetMode="External"/><Relationship Id="rId62" Type="http://schemas.openxmlformats.org/officeDocument/2006/relationships/hyperlink" Target="https://doi.org/10.36001/phmconf.2023.v15i1.3502" TargetMode="External"/><Relationship Id="rId63" Type="http://schemas.openxmlformats.org/officeDocument/2006/relationships/hyperlink" Target="https://doi.org/10.36001/phme.2022.v7i1.3322" TargetMode="External"/><Relationship Id="rId64" Type="http://schemas.openxmlformats.org/officeDocument/2006/relationships/hyperlink" Target="https://doi.org/10.1016/j.ifacol.2022.04.199" TargetMode="External"/><Relationship Id="rId65" Type="http://schemas.openxmlformats.org/officeDocument/2006/relationships/hyperlink" Target="https://doi.org/10.1061/(ASCE)WR.1943-5452.0000969" TargetMode="External"/><Relationship Id="rId66" Type="http://schemas.openxmlformats.org/officeDocument/2006/relationships/hyperlink" Target="https://doi.org/10.3390/data6010005" TargetMode="External"/><Relationship Id="rId67" Type="http://schemas.openxmlformats.org/officeDocument/2006/relationships/hyperlink" Target="https://doi.org/10.14778/3529337.3529354" TargetMode="External"/><Relationship Id="rId68" Type="http://schemas.openxmlformats.org/officeDocument/2006/relationships/hyperlink" Target="https://doi.org/10.1214/009053604000000265" TargetMode="External"/><Relationship Id="rId69" Type="http://schemas.openxmlformats.org/officeDocument/2006/relationships/hyperlink" Target="https://doi.org/10.1145/3055366.3055375" TargetMode="External"/><Relationship Id="rId70" Type="http://schemas.openxmlformats.org/officeDocument/2006/relationships/hyperlink" Target="https://www.usenix.org/conference/cset20/presentation/shin" TargetMode="External"/><Relationship Id="rId71" Type="http://schemas.openxmlformats.org/officeDocument/2006/relationships/hyperlink" Target="https://doi.org/10.1109/CySWater.2016.7469060" TargetMode="External"/><Relationship Id="rId72" Type="http://schemas.openxmlformats.org/officeDocument/2006/relationships/hyperlink" Target="https://doi.org/10.1038/s41597-022-01877-3" TargetMode="External"/><Relationship Id="rId73" Type="http://schemas.openxmlformats.org/officeDocument/2006/relationships/hyperlink" Target="https://doi.org/10.34740/KAGGLE/DSV/1693952" TargetMode="External"/><Relationship Id="rId74" Type="http://schemas.openxmlformats.org/officeDocument/2006/relationships/hyperlink" Target="https://doi.org/10.1016/j.patcog.2020.107501" TargetMode="External"/><Relationship Id="rId75" Type="http://schemas.openxmlformats.org/officeDocument/2006/relationships/hyperlink" Target="https://arxiv.org/abs/2006.11941" TargetMode="External"/><Relationship Id="rId76" Type="http://schemas.openxmlformats.org/officeDocument/2006/relationships/hyperlink" Target="https://doi.org/10.1145/3196494.3196546" TargetMode="External"/><Relationship Id="rId77" Type="http://schemas.openxmlformats.org/officeDocument/2006/relationships/hyperlink" Target="https://doi.org/10.3390/electronics15102149" TargetMode="External"/><Relationship Id="rId78" Type="http://schemas.openxmlformats.org/officeDocument/2006/relationships/hyperlink" Target="https://doi.org/10.1016/j.conengprac.2015.04.012"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iot-template.dot</Template>
  <TotalTime>0</TotalTime>
  <Pages>6</Pages>
  <Words>2138</Words>
  <Characters>12193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MDPI</cp:lastModifiedBy>
  <cp:revision>2</cp:revision>
  <dcterms:created xsi:type="dcterms:W3CDTF">2026-06-15T08:01:00Z</dcterms:created>
  <dcterms:modified xsi:type="dcterms:W3CDTF">2026-06-15T08:01:00Z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9179e883-161a-41aa-8673-d1ae2c66bfcc</vt:lpwstr>
  </property>
</Properties>
</file>