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sponse-to-the-academic-editor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Response to the Academic Editor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Manuscript IoT-4522779, MDPI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iCs/>
          <w:sz w:val="20"/>
        </w:rPr>
        <w:t xml:space="preserve">IoT</w:t>
      </w:r>
      <w:r>
        <w:rPr>
          <w:rFonts w:ascii="Times New Roman" w:hAnsi="Times New Roman"/>
          <w:b w:val="0"/>
          <w:i/>
          <w:sz w:val="20"/>
        </w:rPr>
        <w:br/>
      </w:r>
      <w:r>
        <w:rPr>
          <w:rFonts w:ascii="Times New Roman" w:hAnsi="Times New Roman"/>
          <w:b w:val="0"/>
          <w:i/>
          <w:sz w:val="20"/>
        </w:rPr>
        <w:t xml:space="preserve">Title: Modeling Normal Is All You Need: Joint Latent Clustering for Anomaly Detection in Multimodal Industrial-IoT Cyber-Physical Systems</w:t>
      </w:r>
      <w:r>
        <w:rPr>
          <w:rFonts w:ascii="Times New Roman" w:hAnsi="Times New Roman"/>
          <w:b w:val="0"/>
          <w:i/>
          <w:sz w:val="20"/>
        </w:rPr>
        <w:br/>
      </w:r>
      <w:r>
        <w:rPr>
          <w:rFonts w:ascii="Times New Roman" w:hAnsi="Times New Roman"/>
          <w:b w:val="0"/>
          <w:i/>
          <w:sz w:val="20"/>
        </w:rPr>
        <w:t xml:space="preserve">Authors: Alexander Apartsin and Yehudit Aperstein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Dear Academic Editor,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Thank you for handling our manuscript and for a clear, actionable set of requests. We are grateful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for the care you and both Reviewers gave the paper. The revision addresses every point: we validated or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remeasured the previously unused assumptions, added a construct-matched graph baseline, benchmarked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computational cost, put every significance claim on a time-aware footing, added an ablation that isolates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source of the gain, and reworked the front matter, figures, notation, and typesetting. Along the way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 re-audited every reported number against its source artifact and corrected them where an artifact had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inflated a result; the corrected numbers are used throughout, and the main conclusions hold and are in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one respect sharper. A point-by-point response to each Reviewer accompanies this letter. Below we answer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your direct requests and then summarize the principal changes and where to find them.</w:t>
      </w:r>
    </w:p>
    <w:bookmarkStart w:id="9" w:name="summary-of-the-principal-changes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Summary of the principal changes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New construct-matched baseline (GDN).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graph-based detector GDN is now run on all three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canonical streams under the identical protocol and reported in Tables 3 and 4 and in Figure 3. This replaces the earlier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statement that GDN did not complete, which was inaccurate; GDN is now a full baseline (Sections 2.4,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5.5, and 7).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Corrected numbers.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WADI difficult subset was re-derived from 43 to 30 windows after we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fixed a difficulty-stratification artifact (an inconsistent per-dataset clip that had left 12 trivially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separable constant-channel-flip windows in the difficult subset). Together with two earlier data-quality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corrections (the rescaled WADI analyzer channel dropped and the canonical December-2015 SWaT release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adopted, Section 5.1), all result tables were rebuilt. The headline difficult-subset AUROC is HAI 0.845,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SWaT 0.837, WADI 0.771.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A8, A9, A10 remeasured.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between-regime assumption (renumbered A8) is reframed with valid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observation-space metrics; A9 (multiscale structure) is shown present and partly exploitable; A10 (path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dependence) is measured absent with a passing positive control (Table 1, Section 7, Appendix C).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Dataset-scale scholarship.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 new discussion of public-benchmark scale versus operational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scale is added (Introduction, new Section 2.5, and Section 7), with new references, arguing that A8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A10 are properties best verified at operational scale.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Change-marked manuscript.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New and changed text is highlighted in green in the revised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Style w:val="VerbatimChar"/>
          <w:rFonts w:ascii="Times New Roman" w:hAnsi="Times New Roman"/>
          <w:b w:val="0"/>
          <w:i/>
          <w:sz w:val="20"/>
        </w:rPr>
        <w:t xml:space="preserve">IoT2.html</w:t>
      </w:r>
      <w:r>
        <w:rPr>
          <w:rFonts w:ascii="Times New Roman" w:hAnsi="Times New Roman"/>
          <w:b w:val="0"/>
          <w:i/>
          <w:sz w:val="20"/>
        </w:rPr>
        <w:t xml:space="preserve">; deletions are struck. Every response below cites the section, table, or figure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it changed.</w:t>
      </w:r>
    </w:p>
    <w:bookmarkEnd w:id="9"/>
    <w:bookmarkStart w:id="15" w:name="your-direct-requests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Your direct requests</w:t>
      </w:r>
    </w:p>
    <w:bookmarkStart w:id="10" w:name="X3b7e71c5ef3f2df4ae8bf0c5c060fce546902b2"/>
    <w:p>
      <w:pPr>
        <w:pStyle w:val="Heading3"/>
        <w:keepNext/>
        <w:keepLines/>
        <w:widowControl w:val="1"/>
      </w:pPr>
      <w:r>
        <w:t xml:space="preserve">1. Validate the assumptions that are currently unused (A3, A9, A10)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Please validate the assumptions that are currently unused (A3, A9, A10) ...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Response.</w:t>
      </w:r>
      <w:r>
        <w:t xml:space="preserve"> </w:t>
      </w:r>
      <w:r>
        <w:t xml:space="preserve">We reframed the MIIM specification from ten realized</w:t>
      </w:r>
      <w:r>
        <w:t xml:space="preserve"> </w:t>
      </w:r>
      <w:r>
        <w:t xml:space="preserve">assumptions to ten assumptions of which</w:t>
      </w:r>
      <w:r>
        <w:t xml:space="preserve"> </w:t>
      </w:r>
      <w:r>
        <w:rPr>
          <w:b/>
          <w:bCs/>
        </w:rPr>
        <w:t xml:space="preserve">seven are realized by the detector and validated here (A1 to A7)</w:t>
      </w:r>
      <w:r>
        <w:rPr>
          <w:b/>
          <w:bCs/>
        </w:rPr>
        <w:t xml:space="preserve"> </w:t>
      </w:r>
      <w:r>
        <w:rPr>
          <w:b/>
          <w:bCs/>
        </w:rPr>
        <w:t xml:space="preserve">and three are specified for future work (A8 to A10)</w:t>
      </w:r>
      <w:r>
        <w:t xml:space="preserve">. Table 1 is now grouped into these two blocks and</w:t>
      </w:r>
      <w:r>
        <w:t xml:space="preserve"> </w:t>
      </w:r>
      <w:r>
        <w:t xml:space="preserve">carries a "Realized by" column mapping each assumption to the design section that implements it.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note on numbering: the between-regime assumption the Reviewer and you refer to as "A3" (the</w:t>
      </w:r>
      <w:r>
        <w:t xml:space="preserve"> </w:t>
      </w:r>
      <w:r>
        <w:t xml:space="preserve">one that motivated the basin-agreement head) has been renumbered</w:t>
      </w:r>
      <w:r>
        <w:t xml:space="preserve"> </w:t>
      </w:r>
      <w:r>
        <w:rPr>
          <w:b/>
          <w:bCs/>
        </w:rPr>
        <w:t xml:space="preserve">A8</w:t>
      </w:r>
      <w:r>
        <w:t xml:space="preserve">, so that the seven realized</w:t>
      </w:r>
      <w:r>
        <w:t xml:space="preserve"> </w:t>
      </w:r>
      <w:r>
        <w:t xml:space="preserve">instantaneous-window properties are contiguous A1 to A7. Its status was remeasured rather than simply</w:t>
      </w:r>
      <w:r>
        <w:t xml:space="preserve"> </w:t>
      </w:r>
      <w:r>
        <w:t xml:space="preserve">scoped. The earlier apparent SKAB signal for it came from a cluster-responsibility screen that is blind by</w:t>
      </w:r>
      <w:r>
        <w:t xml:space="preserve"> </w:t>
      </w:r>
      <w:r>
        <w:t xml:space="preserve">construction: on a synthetic 50 percent-overlap positive control that screen rated the regimes as maximally</w:t>
      </w:r>
      <w:r>
        <w:t xml:space="preserve"> </w:t>
      </w:r>
      <w:r>
        <w:t xml:space="preserve">crisp, and it also proved to be a variance-floor artifact of the estimator on SKAB's 400-window sample</w:t>
      </w:r>
      <w:r>
        <w:t xml:space="preserve"> </w:t>
      </w:r>
      <w:r>
        <w:t xml:space="preserve">(Appendix C, Table C1). Under valid observation-space metrics the A8 precondition (adjacent but distinct</w:t>
      </w:r>
      <w:r>
        <w:t xml:space="preserve"> </w:t>
      </w:r>
      <w:r>
        <w:t xml:space="preserve">regimes) is present on nearly every real CPS dataset, but heavy mode overlap is absent; the masking form is</w:t>
      </w:r>
      <w:r>
        <w:t xml:space="preserve"> </w:t>
      </w:r>
      <w:r>
        <w:t xml:space="preserve">detectable only with the trajectory (which couples A8 to A10), and the over-coverage form is already</w:t>
      </w:r>
      <w:r>
        <w:t xml:space="preserve"> </w:t>
      </w:r>
      <w:r>
        <w:t xml:space="preserve">defended by the 80-component density head. A8 is therefore specified, partly defended, and verifiable at</w:t>
      </w:r>
      <w:r>
        <w:t xml:space="preserve"> </w:t>
      </w:r>
      <w:r>
        <w:t xml:space="preserve">operational scale (Section 7, Appendix C).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A9 (multiscale structure) is present in the data as a measured property: per-channel</w:t>
      </w:r>
      <w:r>
        <w:t xml:space="preserve"> </w:t>
      </w:r>
      <w:r>
        <w:t xml:space="preserve">autocorrelation timescales span 3.4 to 3.7 decades on all three plants, and a longer window adds about</w:t>
      </w:r>
      <w:r>
        <w:t xml:space="preserve"> </w:t>
      </w:r>
      <w:r>
        <w:t xml:space="preserve">+0.06 difficult-subset AUROC on HAI, corroborating the +0.072 from explicit temporal features in Appendix</w:t>
      </w:r>
      <w:r>
        <w:t xml:space="preserve"> </w:t>
      </w:r>
      <w:r>
        <w:t xml:space="preserve">A. A10 (path dependence) is measured absent on these snapshot-detectable benchmarks by three conditional</w:t>
      </w:r>
      <w:r>
        <w:t xml:space="preserve"> </w:t>
      </w:r>
      <w:r>
        <w:t xml:space="preserve">scorers, each validated against a passing synthetic positive control and an order-shuffle guard; "snapshot</w:t>
      </w:r>
      <w:r>
        <w:t xml:space="preserve"> </w:t>
      </w:r>
      <w:r>
        <w:t xml:space="preserve">detectable" is thus now a measured finding, not an assumption (Table 1, Section 7).</w:t>
      </w:r>
    </w:p>
    <w:bookmarkEnd w:id="10"/>
    <w:bookmarkStart w:id="11" w:name="X4fd45cd0ef32903a9720199a74a699e6e15a64c"/>
    <w:p>
      <w:pPr>
        <w:pStyle w:val="Heading3"/>
        <w:keepNext/>
        <w:keepLines/>
        <w:widowControl w:val="1"/>
      </w:pPr>
      <w:r>
        <w:t xml:space="preserve">2. Direct experimental support for the rare-regime-safe nearest-component likelihood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... provide direct experimental support for the rare-regime-safe nearest-component likelihood ...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Response.</w:t>
      </w:r>
      <w:r>
        <w:t xml:space="preserve"> </w:t>
      </w:r>
      <w:r>
        <w:t xml:space="preserve">The nearest-component likelihood is isolated as a standalone</w:t>
      </w:r>
      <w:r>
        <w:t xml:space="preserve"> </w:t>
      </w:r>
      <w:r>
        <w:t xml:space="preserve">score head in Table 6 (difficult-subset AUROC WADI 0.603, HAI 0.797, SWaT 0.723), alongside the mixture</w:t>
      </w:r>
      <w:r>
        <w:t xml:space="preserve"> </w:t>
      </w:r>
      <w:r>
        <w:t xml:space="preserve">density and the density-plus-nearest base, and its design rationale is stated as assumption A5 in Table 1.</w:t>
      </w:r>
      <w:r>
        <w:t xml:space="preserve"> </w:t>
      </w:r>
      <w:r>
        <w:t xml:space="preserve">It is a rare-regime</w:t>
      </w:r>
      <w:r>
        <w:t xml:space="preserve"> </w:t>
      </w:r>
      <w:r>
        <w:rPr>
          <w:i/>
          <w:iCs/>
        </w:rPr>
        <w:t xml:space="preserve">safety</w:t>
      </w:r>
      <w:r>
        <w:t xml:space="preserve"> </w:t>
      </w:r>
      <w:r>
        <w:t xml:space="preserve">term: its role is to keep a valid window in a sparsely populated regime</w:t>
      </w:r>
      <w:r>
        <w:t xml:space="preserve"> </w:t>
      </w:r>
      <w:r>
        <w:t xml:space="preserve">from being flagged for rarity alone, protecting the false-alarm rate rather than raising the aggregate score,</w:t>
      </w:r>
      <w:r>
        <w:t xml:space="preserve"> </w:t>
      </w:r>
      <w:r>
        <w:t xml:space="preserve">and on a dataset without such rare-regime false alarms it can sit marginally below the density head alone</w:t>
      </w:r>
      <w:r>
        <w:t xml:space="preserve"> </w:t>
      </w:r>
      <w:r>
        <w:t xml:space="preserve">(Table 6, WADI; Section 4.3 ii). Its distinctive benefit over the mixture NLL, and the rare-regime</w:t>
      </w:r>
      <w:r>
        <w:t xml:space="preserve"> </w:t>
      </w:r>
      <w:r>
        <w:t xml:space="preserve">false-positive question, would surface under the operating-regime imbalance sweep you propose. We did not run</w:t>
      </w:r>
      <w:r>
        <w:t xml:space="preserve"> </w:t>
      </w:r>
      <w:r>
        <w:t xml:space="preserve">that imbalance sweep, and we support the head here with the Table 6 head-level isolation and the A5 design</w:t>
      </w:r>
      <w:r>
        <w:t xml:space="preserve"> </w:t>
      </w:r>
      <w:r>
        <w:t xml:space="preserve">argument rather than assert a benefit we did not measure.</w:t>
      </w:r>
    </w:p>
    <w:bookmarkEnd w:id="11"/>
    <w:bookmarkStart w:id="12" w:name="Xb4f77eee6956cf546b9e92ff03f7462c1c29855"/>
    <w:p>
      <w:pPr>
        <w:pStyle w:val="Heading3"/>
        <w:keepNext/>
        <w:keepLines/>
        <w:widowControl w:val="1"/>
      </w:pPr>
      <w:r>
        <w:t xml:space="preserve">3. Report training and inference cost for edge deployment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... report training and inference cost for edge deployment ...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Response.</w:t>
      </w:r>
      <w:r>
        <w:t xml:space="preserve"> </w:t>
      </w:r>
      <w:r>
        <w:t xml:space="preserve">Added. Appendix B and Table B1 report parameter count, training</w:t>
      </w:r>
      <w:r>
        <w:t xml:space="preserve"> </w:t>
      </w:r>
      <w:r>
        <w:t xml:space="preserve">wall-clock, per-window inference latency, peak GPU memory, and host memory for LatAD (global and regime-community)</w:t>
      </w:r>
      <w:r>
        <w:t xml:space="preserve"> </w:t>
      </w:r>
      <w:r>
        <w:t xml:space="preserve">and the deep baselines, measured on one Modal A10G GPU (24 GB) plus a Modal 8-vCPU CPU edge proxy, the same</w:t>
      </w:r>
      <w:r>
        <w:t xml:space="preserve"> </w:t>
      </w:r>
      <w:r>
        <w:t xml:space="preserve">hardware for every method. LatAD-global trains in 3.2 / 16 / 3.5 s on</w:t>
      </w:r>
      <w:r>
        <w:t xml:space="preserve"> </w:t>
      </w:r>
      <w:r>
        <w:t xml:space="preserve">WADI / HAI / SWaT, roughly 47 to 72 times faster than TranAD; per-window latency stays within gateway-class</w:t>
      </w:r>
      <w:r>
        <w:t xml:space="preserve"> </w:t>
      </w:r>
      <w:r>
        <w:t xml:space="preserve">budgets (0.7 to 13 ms global, 17 to 32 ms for the full community stack), a CPU edge proxy scores a window in</w:t>
      </w:r>
      <w:r>
        <w:t xml:space="preserve"> </w:t>
      </w:r>
      <w:r>
        <w:t xml:space="preserve">0.6 to 14.6 ms (global), peak GPU memory is tens of MB (about 20 to 29 MB for LatAD), and both configurations</w:t>
      </w:r>
      <w:r>
        <w:t xml:space="preserve"> </w:t>
      </w:r>
      <w:r>
        <w:t xml:space="preserve">run within about 3.5 to 3.9 GB of host memory. These cost measurements are added in Appendix B and Table B1, and</w:t>
      </w:r>
      <w:r>
        <w:t xml:space="preserve"> </w:t>
      </w:r>
      <w:r>
        <w:t xml:space="preserve">the deployment paragraph in Section 7 is reworded so it no longer denies them.</w:t>
      </w:r>
    </w:p>
    <w:bookmarkEnd w:id="12"/>
    <w:bookmarkStart w:id="13" w:name="use-a-time-aware-statistical-test"/>
    <w:p>
      <w:pPr>
        <w:pStyle w:val="Heading3"/>
        <w:keepNext/>
        <w:keepLines/>
        <w:widowControl w:val="1"/>
      </w:pPr>
      <w:r>
        <w:t xml:space="preserve">4. Use a time-aware statistical test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... use a time-aware statistical test ...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Response.</w:t>
      </w:r>
      <w:r>
        <w:t xml:space="preserve"> </w:t>
      </w:r>
      <w:r>
        <w:t xml:space="preserve">Every significance statement is on an episode-block bootstrap</w:t>
      </w:r>
      <w:r>
        <w:t xml:space="preserve"> </w:t>
      </w:r>
      <w:r>
        <w:t xml:space="preserve">that resamples whole attack episodes together with contiguous normal blocks, applied uniformly to all three</w:t>
      </w:r>
      <w:r>
        <w:t xml:space="preserve"> </w:t>
      </w:r>
      <w:r>
        <w:t xml:space="preserve">datasets and to every reported confidence interval and P-value (defined in Section 5.4; results in Section 6,</w:t>
      </w:r>
      <w:r>
        <w:t xml:space="preserve"> </w:t>
      </w:r>
      <w:r>
        <w:t xml:space="preserve">Table 4, Figure 3). The</w:t>
      </w:r>
      <w:r>
        <w:t xml:space="preserve"> </w:t>
      </w:r>
      <w:r>
        <w:t xml:space="preserve">confidence interval is the two-sided 2.5 / 97.5 percentile of the paired difference and P is the one-sided</w:t>
      </w:r>
      <w:r>
        <w:t xml:space="preserve"> </w:t>
      </w:r>
      <w:r>
        <w:t xml:space="preserve">bootstrap probability that the difference is at most zero. On the difficult subset the margin is significant</w:t>
      </w:r>
      <w:r>
        <w:t xml:space="preserve"> </w:t>
      </w:r>
      <w:r>
        <w:t xml:space="preserve">on HAI (+0.088, 95 percent CI [0.042, 0.157], P about 0) and canonical SWaT (+0.055, 95 percent CI [0.012,</w:t>
      </w:r>
      <w:r>
        <w:t xml:space="preserve"> </w:t>
      </w:r>
      <w:r>
        <w:t xml:space="preserve">0.104], P = 0.007); on WADI the lead over the linear baseline is numerical (+0.020, 95 percent CI [-0.161,</w:t>
      </w:r>
      <w:r>
        <w:t xml:space="preserve"> </w:t>
      </w:r>
      <w:r>
        <w:t xml:space="preserve">0.205], P = 0.46 over 8 attack episodes), and we state plainly that WADI is not separable from the linear</w:t>
      </w:r>
      <w:r>
        <w:t xml:space="preserve"> </w:t>
      </w:r>
      <w:r>
        <w:t xml:space="preserve">baseline at that episode count.</w:t>
      </w:r>
    </w:p>
    <w:bookmarkEnd w:id="13"/>
    <w:bookmarkStart w:id="14" w:name="Xcb0acad378f8b644828b2cc924f17fe7581dd6c"/>
    <w:p>
      <w:pPr>
        <w:pStyle w:val="Heading3"/>
        <w:keepNext/>
        <w:keepLines/>
        <w:widowControl w:val="1"/>
      </w:pPr>
      <w:r>
        <w:t xml:space="preserve">5. Add ablations isolating the source of the gain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... add ablations isolating the source of the gain ...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Response.</w:t>
      </w:r>
      <w:r>
        <w:t xml:space="preserve"> </w:t>
      </w:r>
      <w:r>
        <w:t xml:space="preserve">Added as a main-text table. Table 5 (Section 6) replaces the</w:t>
      </w:r>
      <w:r>
        <w:t xml:space="preserve"> </w:t>
      </w:r>
      <w:r>
        <w:t xml:space="preserve">cross-channel latent density with a channel-independent product of per-channel densities: the cross-channel</w:t>
      </w:r>
      <w:r>
        <w:t xml:space="preserve"> </w:t>
      </w:r>
      <w:r>
        <w:t xml:space="preserve">density adds</w:t>
      </w:r>
      <w:r>
        <w:t xml:space="preserve"> </w:t>
      </w:r>
      <w:r>
        <w:rPr>
          <w:b/>
          <w:bCs/>
        </w:rPr>
        <w:t xml:space="preserve">+0.200 on HAI and +0.141 on canonical SWaT</w:t>
      </w:r>
      <w:r>
        <w:t xml:space="preserve"> </w:t>
      </w:r>
      <w:r>
        <w:t xml:space="preserve">over the channel-independent baseline, the two</w:t>
      </w:r>
      <w:r>
        <w:t xml:space="preserve"> </w:t>
      </w:r>
      <w:r>
        <w:t xml:space="preserve">datasets where LatAD wins significantly, and essentially nothing on the artifact-free WADI difficult subset</w:t>
      </w:r>
      <w:r>
        <w:t xml:space="preserve"> </w:t>
      </w:r>
      <w:r>
        <w:t xml:space="preserve">(+0.017), whose difficult anomalies are single-channel or linear. The head-level decomposition (Table 6) and</w:t>
      </w:r>
      <w:r>
        <w:t xml:space="preserve"> </w:t>
      </w:r>
      <w:r>
        <w:t xml:space="preserve">the factorization ladder (Table A1) localize the same gain to the density heads and the regime-community</w:t>
      </w:r>
      <w:r>
        <w:t xml:space="preserve"> </w:t>
      </w:r>
      <w:r>
        <w:t xml:space="preserve">factorization, and the representation check (Table A2) shows the window representation is a smaller,</w:t>
      </w:r>
      <w:r>
        <w:t xml:space="preserve"> </w:t>
      </w:r>
      <w:r>
        <w:t xml:space="preserve">complementary lever. The gain is therefore cross-channel density modeling, not the window representation.</w:t>
      </w:r>
    </w:p>
    <w:bookmarkEnd w:id="14"/>
    <w:bookmarkEnd w:id="15"/>
    <w:bookmarkStart w:id="16" w:name="requests-forwarded-from-reviewer-2"/>
    <w:p>
      <w:pPr>
        <w:pStyle w:val="Heading2"/>
        <w:keepNext/>
        <w:keepLines/>
        <w:widowControl w:val="1"/>
      </w:pPr>
      <w:r>
        <w:t xml:space="preserve">Requests forwarded from Reviewer 2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writing and structure items you forwarded are all addressed and are detailed in the</w:t>
      </w:r>
      <w:r>
        <w:t xml:space="preserve"> </w:t>
      </w:r>
      <w:r>
        <w:t xml:space="preserve">Reviewer 2 letter: the abstract is rebalanced toward LatAD's mechanism and the introduction is restructured</w:t>
      </w:r>
      <w:r>
        <w:t xml:space="preserve"> </w:t>
      </w:r>
      <w:r>
        <w:t xml:space="preserve">with CPS background and no contributions in the first paragraph (abstract, Section 1); Related Work is</w:t>
      </w:r>
      <w:r>
        <w:t xml:space="preserve"> </w:t>
      </w:r>
      <w:r>
        <w:t xml:space="preserve">restructured, with the anomaly-detection definition moved to the introduction, the LatAD self-descriptions</w:t>
      </w:r>
      <w:r>
        <w:t xml:space="preserve"> </w:t>
      </w:r>
      <w:r>
        <w:t xml:space="preserve">removed, Section 2.3 rewritten as a neutral survey, and the old Section 2.5 replaced by a benchmark-scale</w:t>
      </w:r>
      <w:r>
        <w:t xml:space="preserve"> </w:t>
      </w:r>
      <w:r>
        <w:t xml:space="preserve">section (Sections 1, 2.1 to 2.5); a system-model figure (Figure 1) and a LatAD workflow figure (Figure 2)</w:t>
      </w:r>
      <w:r>
        <w:t xml:space="preserve"> </w:t>
      </w:r>
      <w:r>
        <w:t xml:space="preserve">are added and referenced; the notation conflict for z is resolved by keeping the latent z, renaming the</w:t>
      </w:r>
      <w:r>
        <w:t xml:space="preserve"> </w:t>
      </w:r>
      <w:r>
        <w:t xml:space="preserve">standardization operator, and renaming the trivial-rule per-channel value u (Sections 4.3, 5.3); and all</w:t>
      </w:r>
      <w:r>
        <w:t xml:space="preserve"> </w:t>
      </w:r>
      <w:r>
        <w:t xml:space="preserve">nine display equations are numbered (1) to (9), with paragraph-indentation unification applied at the DOCX</w:t>
      </w:r>
      <w:r>
        <w:t xml:space="preserve"> </w:t>
      </w:r>
      <w:r>
        <w:t xml:space="preserve">build stage.</w:t>
      </w:r>
    </w:p>
    <w:bookmarkEnd w:id="16"/>
    <w:bookmarkStart w:id="17" w:name="Xdb993a1c7cb004a2eeb91a6cd370eaa8222daf6"/>
    <w:p>
      <w:pPr>
        <w:pStyle w:val="Heading2"/>
        <w:keepNext/>
        <w:keepLines/>
        <w:widowControl w:val="1"/>
      </w:pPr>
      <w:r>
        <w:t xml:space="preserve">Point-by-point response and revised manuscript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Please submit a point-by-point response with the revised manuscript.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Response.</w:t>
      </w:r>
      <w:r>
        <w:t xml:space="preserve"> </w:t>
      </w:r>
      <w:r>
        <w:t xml:space="preserve">This letter, together with the accompanying Reviewer 1 and</w:t>
      </w:r>
      <w:r>
        <w:t xml:space="preserve"> </w:t>
      </w:r>
      <w:r>
        <w:t xml:space="preserve">Reviewer 2 letters, is the point-by-point response. The revised manuscript is change-marked: new and changed</w:t>
      </w:r>
      <w:r>
        <w:t xml:space="preserve"> </w:t>
      </w:r>
      <w:r>
        <w:t xml:space="preserve">text is highlighted and deletions are struck, and each response above cites the section, table, or figure it</w:t>
      </w:r>
      <w:r>
        <w:t xml:space="preserve"> </w:t>
      </w:r>
      <w:r>
        <w:t xml:space="preserve">changed.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We believe the revision meets every request and that the corrected, construct-matched</w:t>
      </w:r>
      <w:r>
        <w:t xml:space="preserve"> </w:t>
      </w:r>
      <w:r>
        <w:t xml:space="preserve">evaluation makes the paper stronger. Thank you again for your time and guidance.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Sincerely,</w:t>
      </w:r>
      <w:r>
        <w:br/>
      </w:r>
      <w:r>
        <w:t xml:space="preserve">Alexander Apartsin and Yehudit Aperstein</w:t>
      </w:r>
    </w:p>
    <w:bookmarkEnd w:id="17"/>
    <w:bookmarkEnd w:id="18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76" w:lineRule="auto"/>
    </w:pPr>
    <w:rPr>
      <w:rFonts w:ascii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Times New Roman" w:asciiTheme="majorHAnsi" w:cstheme="majorBidi" w:eastAsiaTheme="majorEastAsia" w:hAnsi="Times New Roman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76" w:lineRule="auto"/>
      <w:ind w:firstLine="360"/>
      <w:jc w:val="both"/>
    </w:pPr>
    <w:rPr>
      <w:rFonts w:ascii="Times New Roman" w:hAnsi="Times New Roman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76" w:lineRule="auto"/>
      <w:ind w:firstLine="0"/>
      <w:jc w:val="both"/>
    </w:pPr>
    <w:rPr>
      <w:rFonts w:ascii="Times New Roman" w:hAnsi="Times New Roman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Times New Roman" w:hAnsi="Times New Roman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Times New Roman" w:hAnsi="Times New Roman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Times New Roman" w:hAnsi="Times New Roman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Times New Roman" w:hAnsi="Times New Roman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Times New Roman" w:hAnsi="Times New Roman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2026-09-18T15:55:55Z</dcterms:created>
  <dcterms:modified xsi:type="dcterms:W3CDTF">2026-09-18T15:55:55Z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