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esponse-to-reviewer-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Reviewer 1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Dear Reviewer,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a careful and constructive reading. Your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comments pushed us to validate or remeasure the previously unused assumptions, to support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nearest-component score directly, to benchmark computational cost, to put every significance claim on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time-aware footing, and to isolate the source of the gain. We address each point below, giving the change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made and where to find it, or a rebuttal with the supporting evidence. While preparing the revision we also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re-audited every number and corrected a difficulty-stratification artifact on WADI; the corrected numbers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used throughout and are reflected in the responses.</w:t>
      </w:r>
    </w:p>
    <w:bookmarkStart w:id="9" w:name="X5169a9d53f31ba643c7c4225a23dd88e4fb3c08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1. A9 and A10 are unused, and the basin-agreement head (A3) is inactive on all three datasets; run data that activates them or limit the contribution to the validated assumptions.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This manuscript introduces ten structural assumptions from A1 to A10, but the current model does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not fully realize them. A9 and A10 are not used in the model, while the basin-agreement head for A3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inactive on all three datasets. More experiments are needed on data that can activate and test these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assumptions, otherwise the contribution should be limited to the assumptions that are actually validated.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 and assumptions remeasured.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now present MIIM as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ten assumptions of which seven are realized by the detector and validated here (A1 to A7) and three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specified for future work (A8 to A10). Table 1 is grouped into these two blocks and gains a "Realized by"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column mapping each assumption to the design section that implements it. The between-regime assumption whose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basin head you note as inactive (your "A3") is renumbered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A8</w:t>
      </w:r>
      <w:r>
        <w:rPr>
          <w:rFonts w:ascii="Times New Roman" w:hAnsi="Times New Roman"/>
          <w:b w:val="0"/>
          <w:i/>
          <w:sz w:val="20"/>
        </w:rPr>
        <w:t xml:space="preserve">, so the realized instantaneous-window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properties are contiguous A1 to A7.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Rather than only scoping A8 down, we remeasured it. The earlier apparent signal came from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cluster-responsibility screen that is blind by construction: on a synthetic 50 percent-overlap positive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control it rated the regimes as maximally crisp, and on SKAB the signal proved to be a variance-floor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artifact of the estimator on a 400-window sample (Appendix C, Table C1). Under valid observation-space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metrics the A8 precondition (adjacent but distinct regimes) is present on nearly every real CPS dataset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screened, but heavy mode overlap is absent; the masking form of A8 is detectable only through the trajectory,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which couples it to A10, and the over-coverage form is already defended by the shipped 80-component density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 (a wide two-component head misses about 80 percent of WADI's isolated anomalies, the 80-component head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about 13 percent). A8 is therefore specified, partly defended, and verifiable at operational scale (Section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7, Appendix C).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A9 (multiscale structure) is present in the data as a measured property: per-channel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autocorrelation timescales span 3.4 to 3.7 decades on all three plants, and a longer 600-sample window adds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about +0.06 difficult-subset AUROC on HAI, corroborating the +0.072 that explicit temporal features add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Appendix A. A10 (path dependence) is measured absent on these snapshot-detectable benchmarks by three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conditional scorers (a linear autoregressor, a nearest-neighbour successor model, and a regime-transition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matrix), each validated against a passing synthetic positive control and guarded by an order-shuffle control.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"Snapshot detectable" is thus now a measured finding for these benchmarks, not an assumption (Table 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7). Because the public benchmarks are small and snapshot-detectable, we added a benchmark-scale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discussion (Section 2.5, Section 7) arguing that exercising A8 to A10 further requires operational-scale data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history-dependent faults.</w:t>
      </w:r>
    </w:p>
    <w:bookmarkEnd w:id="9"/>
    <w:bookmarkStart w:id="10" w:name="X5ca7be4bb510d066e129f16835a3b24352fac87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2. The nearest-component likelihood lacks direct support: compare mixture NLL, nearest-component NLL, and other imbalance-aware scores across regime-imbalance ratios, with attention to the false-positive rate of rare normal regimes.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rare-regime-safe nearest-component likelihood in this manuscript lacks direct experimental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support. Experiments under different regime imbalance ratios should compare mixture NLL, nearest-component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NLL, and other imbalance-aware scoring methods, with more attention to the false-positive rate of rare normal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rebuttal plus head-level isolation.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nearest-component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likelihood is isolated as a standalone score head in Table 6, with difficult-subset AUROC 0.603 on WADI,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0.797 on HAI, and 0.723 on SWaT, reported beside the mixture density and the density-plus-nearest base; its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design rationale is stated as assumption A5 in Table 1 ("score against the nearest component, never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weighted mixture, so a rare-but-valid regime is not penalized"). It is a rare-regime safety term: it keeps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valid window in a sparsely populated regime from being flagged for rarity alone, protecting the false-alarm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rate rather than raising the aggregate score, and on a dataset without such rare-regime false alarms it can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sit marginally below the density head alone (Table 6, WADI; Section 4.3 ii). Its distinctive benefit over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mixture NLL, and the rare-regime false-positive rate you ask about, would surface under the operating-regime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imbalance sweep you propose. We did not run that imbalance sweep, and we support the head here with the Table 6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head-level isolation and the A5 design argument rather than assert a benefit we did not measure.</w:t>
      </w:r>
    </w:p>
    <w:bookmarkEnd w:id="10"/>
    <w:bookmarkStart w:id="11" w:name="X3e07ee6c45a2d4e1c1a09dd5b3fd5015a11ee5c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3. The regime-community design trains many models; evaluate its practical cost under the same hardware as the baselines.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regime-community design in this manuscript trains separate representation and density models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many communities, which may introduce much higher cost than a single global detector. More experiments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are needed to evaluate the practical cost of this design under the same hardware setting as the main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added Appendix B and Table B1, reporting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parameter count, training wall-clock, per-window inference latency, peak GPU memory, and host memory for LatAD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(global and regime-community) and the deep baselines on one Modal A10G GPU (24 GB) plus a Modal 8-vCPU CPU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edge proxy, the same hardware for every method. The regime-community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stack does instantiate one small density model per subsystem, and Table B1 quantifies the resulting cost: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training 50 / 195 / 38 s on WADI / HAI / SWaT and per-window latency of 17 to 32 ms (up to about 52 ms 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batch 256), against LatAD-global at 3.2 / 16 / 3.5 s and 0.7 to 13 ms. Even so, LatAD-global trains roughly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47 to 72 times faster than TranAD (231 / 898 / 163 s), both configurations use only tens of MB of GPU memory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(about 20 to 29 MB) and run within about 3.5 to 3.9 GB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host memory, and both stay inside gateway-class real-time budgets on the CPU edge proxy. Section 4.4 now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states the architecture explicitly (a separate small VaDE per community, nothing shared but the input 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features, plus one whole-plant expert), and the deployment paragraph in Section 7 points at these numbers.</w:t>
      </w:r>
    </w:p>
    <w:bookmarkEnd w:id="11"/>
    <w:bookmarkStart w:id="12" w:name="Xce63068459775cc697145350186a8763dd4e1de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4. Sliding windows are strongly time-correlated; use a time-aware test on all three datasets, and clarify the WADI confidence interval and p-value.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sliding windows in this manuscript are strongly correlated in time, so ordinary resampling may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underestimate the confidence interval. A time-aware statistical test should be used on all three datasets,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definition of the confidence interval and p-value on WADI should be clarified.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Every significance statement is on an episode-block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bootstrap that resamples whole attack episodes together with contiguous normal blocks, rather than independent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windows, applied uniformly to all three datasets and to every reported confidence interval and P-value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(defined in Section 5.4; results in Section 6, Table 4, Figure 3). We define both quantities: the confidence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interval is the two-sided 2.5 / 97.5 percentile of the paired difference, and P is the one-sided bootstrap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probability that the difference is at most zero.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HAI difficult subset: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+0.088, 95 percent CI [0.042, 0.157], P about 0 (167 windows, 26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Canonical SWaT difficult subset: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+0.055, 95 percent CI [0.012, 0.104], P = 0.007 (85 windows,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23 episodes).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WADI difficult subset (clarified):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(0.771) is significantly ahead of every learned detector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by the same per-detector episode-block bootstrap, each cleared with P &lt; 0.05: vs AutoEncoder +0.142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(P = 0.001), USAD +0.192 (P = 0.000), TranAD +0.157 (P = 0.0005), Isolation Forest +0.136 (P = 0.000),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GDN +0.111 (P = 0.000). It ties only the linear baseline LinRes (0.750): +0.020, 95 percent CI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[-0.161, 0.205], P = 0.46 over 8 attack episodes, not statistically separable at that episode count.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the double-hard subset the same test gives HAI +0.084 (95 percent CI [0.019, 0.189],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 = 0.0005) and SWaT +0.085 (95 percent CI [0.030, 0.146], P = 0.0005), with WADI a numerical lead over 7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 (Table 4). All intervals were recomputed from persisted scores, with no retraining.</w:t>
      </w:r>
    </w:p>
    <w:bookmarkEnd w:id="12"/>
    <w:bookmarkStart w:id="13" w:name="X87f63f0476ed2f671557a703e7a3bd76e7727a6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5. Six static window statistics: run raw-sequential, temporal, or spectral experiments and ablations to verify whether the gain comes from cross-channel density or from the window representation.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This manuscript mainly uses six static statistics from each window, so the source of the performance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gain is still unclear. Experiments with raw sequential input and temporal or spectral information are needed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verify whether the gain mainly comes from cross-channel density modeling or from the current 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representation.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made, the source of the gain is now isolated.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added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main-text source-of-gain table (Table 5, Section 6) that swaps the cross-channel latent density for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channel-independent product of per-channel densities, holding the representation fixed. The cross-channel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density adds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+0.200 on HAI and +0.141 on SWaT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the channel-independent baseline, the two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datasets where LatAD wins significantly, and essentially nothing on the WADI difficult subset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(+0.017), whose difficult anomalies are single-channel or linear so per-channel marginals already suffice.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address the representation directly, Table A2 re-runs the same latent-density detector with a richer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ten-feature temporal and spectral representation in place of the six statistics: it is immaterial on WADI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adds +0.072 on HAI and +0.026 on SWaT, so an expanded temporal representation is a smaller, complementary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lever aligned with A9, not the source of the reported advantage. We did not run a raw per-timestep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sequential-input variant of LatAD; the temporal-and-spectral part of your request is answered at the feature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level by Table A2, which injects explicit temporal and spectral features into the window representation while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leaving the latent-density mechanism unchanged. The head-level decomposition (Table 6)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factorization ladder (Table A1) localize the same gain to the density heads and the regime-community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factorization. The gain is therefore cross-channel density modeling rather than the window representation.</w:t>
      </w:r>
    </w:p>
    <w:bookmarkEnd w:id="13"/>
    <w:bookmarkStart w:id="14" w:name="Xe1595187189a22776b750bdd0e11e1628b2aee7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on English, figures, and conclusions.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English could be improved to more clearly express the research. Figures and tables,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conclusions, should be improved.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revised the front matter and the longer sentences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flagged during restructuring, and a language pass over the whole manuscript is applied to the submitted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version. Two vector figures were added (Figure 1, the IIoT system-model context; Figure 2, the LatAD workflow,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assumption-tagged), the difficult-subset results chart is renumbered Figure 3 with a corrected caption,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Tables 3 to 6 and A1 were regenerated on the corrected, construct-matched data, with GDN added as a new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 in Tables 3 and 4 and in Figure 3. The Conclusion (Section 8) was rewritten to match the scoped claims and the corrected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significance pattern: best overall AUROC on HAI and SWaT, a lead on the difficult subset of all three,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significant margins on HAI and canonical SWaT and a lead over every learned detector on WADI.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again for the detailed and helpful review. We believe the revision answers 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point, and where the answer is a limitation we have stated it plainly.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Alexander Apartsin and Yehudit Aperstein</w:t>
      </w:r>
    </w:p>
    <w:bookmarkEnd w:id="14"/>
    <w:bookmarkEnd w:id="1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2026-09-18T15:55:56Z</dcterms:created>
  <dcterms:modified xsi:type="dcterms:W3CDTF">2026-09-18T15:55:56Z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