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Response</w:t>
      </w:r>
      <w:r>
        <w:t xml:space="preserve"> </w:t>
      </w:r>
      <w:r>
        <w:t xml:space="preserve">to</w:t>
      </w:r>
      <w:r>
        <w:t xml:space="preserve"> </w:t>
      </w:r>
      <w:r>
        <w:t xml:space="preserve">Reviewers</w:t>
      </w:r>
      <w:r>
        <w:t xml:space="preserve"> </w:t>
      </w:r>
      <w:r>
        <w:t xml:space="preserve">(Round</w:t>
      </w:r>
      <w:r>
        <w:t xml:space="preserve"> </w:t>
      </w:r>
      <w:r>
        <w:t xml:space="preserve">2)</w:t>
      </w:r>
      <w:r>
        <w:t xml:space="preserve"> </w:t>
      </w:r>
      <w:r>
        <w:t xml:space="preserve">-</w:t>
      </w:r>
      <w:r>
        <w:t xml:space="preserve"> </w:t>
      </w:r>
      <w:r>
        <w:t xml:space="preserve">IoT-4522779</w:t>
      </w:r>
    </w:p>
    <w:bookmarkStart w:id="25" w:name="response-to-reviewers-round-2"/>
    <w:p>
      <w:pPr>
        <w:pStyle w:val="FirstParagraph"/>
      </w:pPr>
      <w:r>
        <w:t xml:space="preserve">Manuscript IoT-4522779, MDPI</w:t>
      </w:r>
      <w:r>
        <w:t xml:space="preserve"> </w:t>
      </w:r>
      <w:r>
        <w:rPr>
          <w:i/>
          <w:iCs/>
        </w:rPr>
        <w:t xml:space="preserve">IoT</w:t>
      </w:r>
      <w:r>
        <w:br/>
      </w:r>
      <w:r>
        <w:t xml:space="preserve">Title: Modeling Normal Is All You Need: Joint Latent Clustering for Anomaly Detection in Multimodal Industrial-IoT Cyber-Physical Systems</w:t>
      </w:r>
      <w:r>
        <w:br/>
      </w:r>
      <w:r>
        <w:t xml:space="preserve">Authors: Alexander Apartsin and Yehudit Aperstein</w:t>
      </w:r>
    </w:p>
    <w:p>
      <w:pPr>
        <w:pStyle w:val="BodyText"/>
      </w:pPr>
      <w:r>
        <w:t xml:space="preserve">Dear Reviewer,</w:t>
      </w:r>
    </w:p>
    <w:p>
      <w:pPr>
        <w:pStyle w:val="BodyText"/>
      </w:pPr>
      <w:r>
        <w:t xml:space="preserve">Thank you for the continued reading. We summarize our response to each of the five points below, with the</w:t>
      </w:r>
      <w:r>
        <w:t xml:space="preserve"> </w:t>
      </w:r>
      <w:r>
        <w:t xml:space="preserve">result and a pointer to where it appears in the revised manuscript (this round's changes are highlighted in</w:t>
      </w:r>
      <w:r>
        <w:t xml:space="preserve"> </w:t>
      </w:r>
      <w:r>
        <w:t xml:space="preserve">blue). New and changed text is marked in the manuscript.</w:t>
      </w:r>
    </w:p>
    <w:bookmarkStart w:id="20" w:name="X761f7ff1622cce196bd811feff9a1c127309f5e"/>
    <w:p>
      <w:pPr>
        <w:pStyle w:val="Heading2"/>
      </w:pPr>
      <w:r>
        <w:t xml:space="preserve">Comment 1. Correlation-communities need not reflect physical coupling; examine their relation to real process stages on SWaT or WADI.</w:t>
      </w:r>
    </w:p>
    <w:p>
      <w:pPr>
        <w:pStyle w:val="BlockText"/>
      </w:pPr>
      <w:r>
        <w:t xml:space="preserve">...Pearson correlation does not ensure real physical coupling and the communities can overlap. The</w:t>
      </w:r>
      <w:r>
        <w:t xml:space="preserve"> </w:t>
      </w:r>
      <w:r>
        <w:t xml:space="preserve">relation between these communities and actual process stages or control loops should be examined on SWaT or</w:t>
      </w:r>
      <w:r>
        <w:t xml:space="preserve"> </w:t>
      </w:r>
      <w:r>
        <w:t xml:space="preserve">WADI...</w:t>
      </w:r>
    </w:p>
    <w:p>
      <w:pPr>
        <w:pStyle w:val="FirstParagraph"/>
      </w:pPr>
      <w:r>
        <w:rPr>
          <w:b/>
          <w:bCs/>
        </w:rPr>
        <w:t xml:space="preserve">Examined directly; alignment is above chance but not exact.</w:t>
      </w:r>
      <w:r>
        <w:t xml:space="preserve"> </w:t>
      </w:r>
      <w:r>
        <w:t xml:space="preserve">Scoring the</w:t>
      </w:r>
      <w:r>
        <w:t xml:space="preserve"> </w:t>
      </w:r>
      <w:r>
        <w:t xml:space="preserve">communities against each plant's documented stages (read from channel names), size-weighted stage purity is</w:t>
      </w:r>
      <w:r>
        <w:t xml:space="preserve"> </w:t>
      </w:r>
      <w:r>
        <w:rPr>
          <w:b/>
          <w:bCs/>
        </w:rPr>
        <w:t xml:space="preserve">0.578 vs a 0.370 permutation null on SWaT</w:t>
      </w:r>
      <w:r>
        <w:t xml:space="preserve"> </w:t>
      </w:r>
      <w:r>
        <w:t xml:space="preserve">(NMI 0.465) and</w:t>
      </w:r>
      <w:r>
        <w:t xml:space="preserve"> </w:t>
      </w:r>
      <w:r>
        <w:rPr>
          <w:b/>
          <w:bCs/>
        </w:rPr>
        <w:t xml:space="preserve">0.904 vs 0.795 on WADI</w:t>
      </w:r>
      <w:r>
        <w:t xml:space="preserve"> </w:t>
      </w:r>
      <w:r>
        <w:t xml:space="preserve">(68 percent</w:t>
      </w:r>
      <w:r>
        <w:t xml:space="preserve"> </w:t>
      </w:r>
      <w:r>
        <w:t xml:space="preserve">of communities within one process area). The alignment is significant but deliberately imperfect, since flow,</w:t>
      </w:r>
      <w:r>
        <w:t xml:space="preserve"> </w:t>
      </w:r>
      <w:r>
        <w:t xml:space="preserve">pressure, and dosing physically couple adjacent stages, which is why the communities are described as data-driven</w:t>
      </w:r>
      <w:r>
        <w:t xml:space="preserve"> </w:t>
      </w:r>
      <w:r>
        <w:t xml:space="preserve">subsystem proxies rather than exact stages.</w:t>
      </w:r>
      <w:r>
        <w:t xml:space="preserve"> </w:t>
      </w:r>
      <w:r>
        <w:t xml:space="preserve">See new Appendix C “Community–stage</w:t>
      </w:r>
      <w:r>
        <w:t xml:space="preserve"> </w:t>
      </w:r>
      <w:r>
        <w:t xml:space="preserve">alignment” and Table C2; wording softened in §4.4; downstream usefulness in Table 5.</w:t>
      </w:r>
    </w:p>
    <w:bookmarkEnd w:id="20"/>
    <w:bookmarkStart w:id="21" w:name="X32c6f3c662395f9be80af58b7ff1878c342869a"/>
    <w:p>
      <w:pPr>
        <w:pStyle w:val="Heading2"/>
      </w:pPr>
      <w:r>
        <w:t xml:space="preserve">Comment 2. Adding the standardized HC score to the whole-plant expert mixes scores of different meaning, and the effect is dataset-dependent (WADI 0.795→0.771, HAI 0.801→0.845).</w:t>
      </w:r>
    </w:p>
    <w:p>
      <w:pPr>
        <w:pStyle w:val="BlockText"/>
      </w:pPr>
      <w:r>
        <w:t xml:space="preserve">...the two scores have different statistical meanings. The difficult AUROC decreases from 0.795 to 0.771</w:t>
      </w:r>
      <w:r>
        <w:t xml:space="preserve"> </w:t>
      </w:r>
      <w:r>
        <w:t xml:space="preserve">on WADI but increases from 0.801 to 0.845 on HAI...</w:t>
      </w:r>
    </w:p>
    <w:p>
      <w:pPr>
        <w:pStyle w:val="FirstParagraph"/>
      </w:pPr>
      <w:r>
        <w:rPr>
          <w:b/>
          <w:bCs/>
        </w:rPr>
        <w:t xml:space="preserve">Standardized before combining; the dependence is the paper's thesis.</w:t>
      </w:r>
      <w:r>
        <w:t xml:space="preserve"> </w:t>
      </w:r>
      <w:r>
        <w:t xml:space="preserve">Both</w:t>
      </w:r>
      <w:r>
        <w:t xml:space="preserve"> </w:t>
      </w:r>
      <w:r>
        <w:t xml:space="preserve">terms are standardized on train-normal (zero mean, unit variance) before they are summed, so the combination is</w:t>
      </w:r>
      <w:r>
        <w:t xml:space="preserve"> </w:t>
      </w:r>
      <w:r>
        <w:t xml:space="preserve">over comparable standardized surprises. The dataset-dependence is expected and already reported: the whole-plant</w:t>
      </w:r>
      <w:r>
        <w:t xml:space="preserve"> </w:t>
      </w:r>
      <w:r>
        <w:t xml:space="preserve">fusion is a single untuned choice, net-beneficial (HAI +0.044 against a WADI cost of 0.024 inside the confidence</w:t>
      </w:r>
      <w:r>
        <w:t xml:space="preserve"> </w:t>
      </w:r>
      <w:r>
        <w:t xml:space="preserve">interval), consistent with the factorization helping in proportion to how multimodal the normal law is; an</w:t>
      </w:r>
      <w:r>
        <w:t xml:space="preserve"> </w:t>
      </w:r>
      <w:r>
        <w:t xml:space="preserve">auto-gate could drop it on near-single-mode records.</w:t>
      </w:r>
      <w:r>
        <w:t xml:space="preserve"> </w:t>
      </w:r>
      <w:r>
        <w:t xml:space="preserve">See §4.4 (standardization) and</w:t>
      </w:r>
      <w:r>
        <w:t xml:space="preserve"> </w:t>
      </w:r>
      <w:r>
        <w:t xml:space="preserve">Appendix A (trade-off and auto-gate note).</w:t>
      </w:r>
    </w:p>
    <w:bookmarkEnd w:id="21"/>
    <w:bookmarkStart w:id="22" w:name="X9d53a11ee097422ba9577ecf033d0554b0392ec"/>
    <w:p>
      <w:pPr>
        <w:pStyle w:val="Heading2"/>
      </w:pPr>
      <w:r>
        <w:t xml:space="preserve">Comment 3. The connection to industrial-IoT remains limited; consider studies on LoRa link performance and LPWAN scheduling.</w:t>
      </w:r>
    </w:p>
    <w:p>
      <w:pPr>
        <w:pStyle w:val="BlockText"/>
      </w:pPr>
      <w:r>
        <w:t xml:space="preserve">...could refer to existing studies such as enhancing link performance for mobile LoRa networks and</w:t>
      </w:r>
      <w:r>
        <w:t xml:space="preserve"> </w:t>
      </w:r>
      <w:r>
        <w:t xml:space="preserve">leveraging imperfect-orthogonality-aware scheduling for high scalability in LPWAN.</w:t>
      </w:r>
    </w:p>
    <w:p>
      <w:pPr>
        <w:pStyle w:val="FirstParagraph"/>
      </w:pPr>
      <w:r>
        <w:rPr>
          <w:b/>
          <w:bCs/>
        </w:rPr>
        <w:t xml:space="preserve">IIoT framing strengthened; the two studies fall outside the paper's layer.</w:t>
      </w:r>
      <w:r>
        <w:t xml:space="preserve"> </w:t>
      </w:r>
      <w:r>
        <w:t xml:space="preserve">The IIoT positioning was deepened in the previous revision (§1, §2.1, Figure 1). Following the</w:t>
      </w:r>
      <w:r>
        <w:t xml:space="preserve"> </w:t>
      </w:r>
      <w:r>
        <w:t xml:space="preserve">journal's guideline for recommended references (“critically analyze them… if unnecessary, you should</w:t>
      </w:r>
      <w:r>
        <w:t xml:space="preserve"> </w:t>
      </w:r>
      <w:r>
        <w:t xml:space="preserve">not include them”), the two studies address the wireless-connectivity layer (LoRa link performance; LPWAN</w:t>
      </w:r>
      <w:r>
        <w:t xml:space="preserve"> </w:t>
      </w:r>
      <w:r>
        <w:t xml:space="preserve">scheduling), whereas this paper works at the process-telemetry / analytics layer, with no shared problem, method,</w:t>
      </w:r>
      <w:r>
        <w:t xml:space="preserve"> </w:t>
      </w:r>
      <w:r>
        <w:t xml:space="preserve">dataset, or metric; we therefore did not include them. An earlier, since-edited version of a Reviewer 1</w:t>
      </w:r>
      <w:r>
        <w:t xml:space="preserve"> </w:t>
      </w:r>
      <w:r>
        <w:t xml:space="preserve">comment named these papers, and we reached the same conclusion then. We would gladly add a brief reference given</w:t>
      </w:r>
      <w:r>
        <w:t xml:space="preserve"> </w:t>
      </w:r>
      <w:r>
        <w:t xml:space="preserve">a specific connection to the paper's topic.</w:t>
      </w:r>
    </w:p>
    <w:bookmarkEnd w:id="22"/>
    <w:bookmarkStart w:id="23" w:name="Xb186eb3d3099d778a6469d040ab30bf4914691c"/>
    <w:p>
      <w:pPr>
        <w:pStyle w:val="Heading2"/>
      </w:pPr>
      <w:r>
        <w:t xml:space="preserve">Comment 4. The difficult subset uses the authors' own rule; WADI has only 30 windows / 8 episodes and the LatAD–LinRes CI includes zero.</w:t>
      </w:r>
    </w:p>
    <w:p>
      <w:pPr>
        <w:pStyle w:val="BlockText"/>
      </w:pPr>
      <w:r>
        <w:t xml:space="preserve">...WADI contains only 30 difficult windows from 8 attack episodes, and the confidence interval between</w:t>
      </w:r>
      <w:r>
        <w:t xml:space="preserve"> </w:t>
      </w:r>
      <w:r>
        <w:t xml:space="preserve">LatAD and LinRes is [-0.161, 0.205], so the current evidence is not strong enough for broad performance</w:t>
      </w:r>
      <w:r>
        <w:t xml:space="preserve"> </w:t>
      </w:r>
      <w:r>
        <w:t xml:space="preserve">conclusions.</w:t>
      </w:r>
    </w:p>
    <w:p>
      <w:pPr>
        <w:pStyle w:val="FirstParagraph"/>
      </w:pPr>
      <w:r>
        <w:rPr>
          <w:b/>
          <w:bCs/>
        </w:rPr>
        <w:t xml:space="preserve">Agreed; no WADI claim is made.</w:t>
      </w:r>
      <w:r>
        <w:t xml:space="preserve"> </w:t>
      </w:r>
      <w:r>
        <w:t xml:space="preserve">The difficulty rule is detector-agnostic</w:t>
      </w:r>
      <w:r>
        <w:t xml:space="preserve"> </w:t>
      </w:r>
      <w:r>
        <w:t xml:space="preserve">(train-normal only, independent of any scored detector), and the WADI difficult subset is small and underpowered,</w:t>
      </w:r>
      <w:r>
        <w:t xml:space="preserve"> </w:t>
      </w:r>
      <w:r>
        <w:t xml:space="preserve">so the WADI result is reported as a</w:t>
      </w:r>
      <w:r>
        <w:t xml:space="preserve"> </w:t>
      </w:r>
      <w:r>
        <w:rPr>
          <w:i/>
          <w:iCs/>
        </w:rPr>
        <w:t xml:space="preserve">tie</w:t>
      </w:r>
      <w:r>
        <w:t xml:space="preserve"> </w:t>
      </w:r>
      <w:r>
        <w:t xml:space="preserve">with the linear baseline (the interval includes zero), not a</w:t>
      </w:r>
      <w:r>
        <w:t xml:space="preserve"> </w:t>
      </w:r>
      <w:r>
        <w:t xml:space="preserve">superiority claim. The single significant headline is HAI (+0.088, 95 percent CI [0.042, 0.157]); the</w:t>
      </w:r>
      <w:r>
        <w:t xml:space="preserve"> </w:t>
      </w:r>
      <w:r>
        <w:t xml:space="preserve">manuscript makes no broad cross-baseline “outperforms” claim.</w:t>
      </w:r>
      <w:r>
        <w:t xml:space="preserve"> </w:t>
      </w:r>
      <w:r>
        <w:t xml:space="preserve">Stated explicitly at</w:t>
      </w:r>
      <w:r>
        <w:t xml:space="preserve"> </w:t>
      </w:r>
      <w:r>
        <w:t xml:space="preserve">the start of §6; per-dataset verdicts in §6 and the Conclusion.</w:t>
      </w:r>
    </w:p>
    <w:bookmarkEnd w:id="23"/>
    <w:bookmarkStart w:id="24" w:name="Xaa0b142cdff9f0d3a9547732a446987fbd6a943"/>
    <w:p>
      <w:pPr>
        <w:pStyle w:val="Heading2"/>
      </w:pPr>
      <w:r>
        <w:t xml:space="preserve">Comment 5. Comparison with modern deep detectors is limited; include more recent methods or narrow the conclusions.</w:t>
      </w:r>
    </w:p>
    <w:p>
      <w:pPr>
        <w:pStyle w:val="BlockText"/>
      </w:pPr>
      <w:r>
        <w:t xml:space="preserve">...SensitiveHUE and CATCH are discussed, but the main experiments still focus on USAD, TranAD, and GDN.</w:t>
      </w:r>
      <w:r>
        <w:t xml:space="preserve"> </w:t>
      </w:r>
      <w:r>
        <w:t xml:space="preserve">More recent methods should be included, or the conclusions about reconstruction-based deep detectors should be</w:t>
      </w:r>
      <w:r>
        <w:t xml:space="preserve"> </w:t>
      </w:r>
      <w:r>
        <w:t xml:space="preserve">narrowed.</w:t>
      </w:r>
    </w:p>
    <w:p>
      <w:pPr>
        <w:pStyle w:val="FirstParagraph"/>
      </w:pPr>
      <w:r>
        <w:rPr>
          <w:b/>
          <w:bCs/>
        </w:rPr>
        <w:t xml:space="preserve">Conclusion narrowed to the evaluated detectors.</w:t>
      </w:r>
      <w:r>
        <w:t xml:space="preserve"> </w:t>
      </w:r>
      <w:r>
        <w:t xml:space="preserve">The three baselines are</w:t>
      </w:r>
      <w:r>
        <w:t xml:space="preserve"> </w:t>
      </w:r>
      <w:r>
        <w:t xml:space="preserve">established, widely-adopted representatives of the dominant deep-detector families, each with well over a thousand</w:t>
      </w:r>
      <w:r>
        <w:t xml:space="preserve"> </w:t>
      </w:r>
      <w:r>
        <w:t xml:space="preserve">citations (USAD 1,335; TranAD 1,141; GDN 1,557; Semantic Scholar, 2026); SensitiveHUE (44) and CATCH (161) are</w:t>
      </w:r>
      <w:r>
        <w:t xml:space="preserve"> </w:t>
      </w:r>
      <w:r>
        <w:t xml:space="preserve">recently introduced and both reconstruction-based, which the §8 mechanism analysis predicts inherit the same</w:t>
      </w:r>
      <w:r>
        <w:t xml:space="preserve"> </w:t>
      </w:r>
      <w:r>
        <w:t xml:space="preserve">in-envelope blind spot. Per the reviewer's either/or, we narrowed the empirical claim to the evaluated detectors</w:t>
      </w:r>
      <w:r>
        <w:t xml:space="preserve"> </w:t>
      </w:r>
      <w:r>
        <w:t xml:space="preserve">(USAD, TranAD, GDN) and present SensitiveHUE/CATCH as recent variants with a direct comparison left to future</w:t>
      </w:r>
      <w:r>
        <w:t xml:space="preserve"> </w:t>
      </w:r>
      <w:r>
        <w:t xml:space="preserve">work; we would provide that comparison if the editor prefers.</w:t>
      </w:r>
      <w:r>
        <w:t xml:space="preserve"> </w:t>
      </w:r>
      <w:r>
        <w:t xml:space="preserve">See §2.4 and §8.</w:t>
      </w:r>
    </w:p>
    <w:p>
      <w:pPr>
        <w:pStyle w:val="BodyText"/>
      </w:pPr>
      <w:r>
        <w:t xml:space="preserve">We hope these responses and the marked manuscript changes address the five points.</w:t>
      </w:r>
    </w:p>
    <w:p>
      <w:pPr>
        <w:pStyle w:val="BodyText"/>
      </w:pPr>
      <w:r>
        <w:t xml:space="preserve">Sincerely,</w:t>
      </w:r>
      <w:r>
        <w:br/>
      </w:r>
      <w:r>
        <w:t xml:space="preserve">Alexander Apartsin and Yehudit Aperstein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Response to Reviewers (Round 2) - IoT-4522779</dc:title>
  <dc:creator/>
  <dc:language>en</dc:language>
  <cp:keywords/>
  <dcterms:created xsi:type="dcterms:W3CDTF">2026-09-28T10:09:39Z</dcterms:created>
  <dcterms:modified xsi:type="dcterms:W3CDTF">2026-09-28T10:09:39Z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