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Reviewers</w:t>
      </w:r>
      <w:r>
        <w:t xml:space="preserve"> </w:t>
      </w:r>
      <w:r>
        <w:t xml:space="preserve">(Round</w:t>
      </w:r>
      <w:r>
        <w:t xml:space="preserve"> </w:t>
      </w:r>
      <w:r>
        <w:t xml:space="preserve">2)</w:t>
      </w:r>
      <w:r>
        <w:t xml:space="preserve"> </w:t>
      </w:r>
      <w:r>
        <w:t xml:space="preserve">-</w:t>
      </w:r>
      <w:r>
        <w:t xml:space="preserve"> </w:t>
      </w:r>
      <w:r>
        <w:t xml:space="preserve">IoT-4522779</w:t>
      </w:r>
    </w:p>
    <w:bookmarkStart w:id="25" w:name="response-to-reviewers-round-2"/>
    <w:p>
      <w:pPr>
        <w:pStyle w:val="FirstParagraph"/>
      </w:pPr>
      <w:r>
        <w:t xml:space="preserve">Manuscript IoT-4522779, MDPI</w:t>
      </w:r>
      <w:r>
        <w:t xml:space="preserve"> </w:t>
      </w:r>
      <w:r>
        <w:rPr>
          <w:i/>
          <w:iCs/>
        </w:rPr>
        <w:t xml:space="preserve">IoT</w:t>
      </w:r>
      <w:r>
        <w:br/>
      </w:r>
      <w:r>
        <w:t xml:space="preserve">Title: Modeling Normal Is All You Need: Joint Latent Clustering for Anomaly Detection in Multimodal Industrial-IoT Cyber-Physical Systems</w:t>
      </w:r>
      <w:r>
        <w:br/>
      </w:r>
      <w:r>
        <w:t xml:space="preserve">Authors: Alexander Apartsin and Yehudit Aperstein</w:t>
      </w:r>
    </w:p>
    <w:p>
      <w:pPr>
        <w:pStyle w:val="BodyText"/>
      </w:pPr>
      <w:r>
        <w:t xml:space="preserve">Dear Reviewer,</w:t>
      </w:r>
    </w:p>
    <w:p>
      <w:pPr>
        <w:pStyle w:val="BodyText"/>
      </w:pPr>
      <w:r>
        <w:t xml:space="preserve">Thank you for the continued reading of our manuscript. We address each of the five points below, quoting the</w:t>
      </w:r>
      <w:r>
        <w:t xml:space="preserve"> </w:t>
      </w:r>
      <w:r>
        <w:t xml:space="preserve">comment and giving our response with the supporting evidence and the intended manuscript change.</w:t>
      </w:r>
    </w:p>
    <w:bookmarkStart w:id="20" w:name="X7960130be64b80b973f55032df92f68299179aa"/>
    <w:p>
      <w:pPr>
        <w:pStyle w:val="Heading2"/>
      </w:pPr>
      <w:r>
        <w:t xml:space="preserve">Comment 1. Correlation-communities are treated as physical subsystems, yet Pearson correlation need not reflect physical coupling and communities overlap; examine the relation to real process stages on SWaT or WADI.</w:t>
      </w:r>
    </w:p>
    <w:p>
      <w:pPr>
        <w:pStyle w:val="BlockText"/>
      </w:pPr>
      <w:r>
        <w:t xml:space="preserve">This manuscript directly treats correlation-based communities as physical subsystems, although Pearson</w:t>
      </w:r>
      <w:r>
        <w:t xml:space="preserve"> </w:t>
      </w:r>
      <w:r>
        <w:t xml:space="preserve">correlation does not ensure real physical coupling and the communities can overlap. The relation between these</w:t>
      </w:r>
      <w:r>
        <w:t xml:space="preserve"> </w:t>
      </w:r>
      <w:r>
        <w:t xml:space="preserve">communities and actual process stages or control loops should be examined on SWaT or WADI before using</w:t>
      </w:r>
      <w:r>
        <w:t xml:space="preserve"> </w:t>
      </w:r>
      <w:r>
        <w:t xml:space="preserve">subsystem-level interpretation.</w:t>
      </w:r>
    </w:p>
    <w:p>
      <w:pPr>
        <w:pStyle w:val="FirstParagraph"/>
      </w:pPr>
      <w:r>
        <w:rPr>
          <w:b/>
          <w:bCs/>
        </w:rPr>
        <w:t xml:space="preserve">Response: examined directly on SWaT and WADI.</w:t>
      </w:r>
      <w:r>
        <w:t xml:space="preserve"> </w:t>
      </w:r>
      <w:r>
        <w:t xml:space="preserve">We agree that the</w:t>
      </w:r>
      <w:r>
        <w:t xml:space="preserve"> </w:t>
      </w:r>
      <w:r>
        <w:t xml:space="preserve">correlation communities are data-driven proxies rather than a claim of physical coupling, and that they overlap</w:t>
      </w:r>
      <w:r>
        <w:t xml:space="preserve"> </w:t>
      </w:r>
      <w:r>
        <w:t xml:space="preserve">by construction (they are nested dendrogram subtrees, and the cohesion-weighted Higher Criticism combiner is</w:t>
      </w:r>
      <w:r>
        <w:t xml:space="preserve"> </w:t>
      </w:r>
      <w:r>
        <w:t xml:space="preserve">designed to aggregate overlapping communities). We performed exactly the examination requested. Using the</w:t>
      </w:r>
      <w:r>
        <w:t xml:space="preserve"> </w:t>
      </w:r>
      <w:r>
        <w:t xml:space="preserve">documented plant structure, which is encoded in the channel names (SWaT sensor names carry their stage, for</w:t>
      </w:r>
      <w:r>
        <w:t xml:space="preserve"> </w:t>
      </w:r>
      <w:r>
        <w:t xml:space="preserve">example FIT101/LIT101/MV101 in stage 1 and AIT201 in stage 2; WADI names carry their process area,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1_AIT_001</w:t>
      </w:r>
      <w:r>
        <w:t xml:space="preserve">,</w:t>
      </w:r>
      <w:r>
        <w:t xml:space="preserve"> </w:t>
      </w:r>
      <w:r>
        <w:rPr>
          <w:rStyle w:val="VerbatimChar"/>
        </w:rPr>
        <w:t xml:space="preserve">2_MV_003</w:t>
      </w:r>
      <w:r>
        <w:t xml:space="preserve">,</w:t>
      </w:r>
      <w:r>
        <w:t xml:space="preserve"> </w:t>
      </w:r>
      <w:r>
        <w:rPr>
          <w:rStyle w:val="VerbatimChar"/>
        </w:rPr>
        <w:t xml:space="preserve">2A_</w:t>
      </w:r>
      <w:r>
        <w:t xml:space="preserve">,</w:t>
      </w:r>
      <w:r>
        <w:t xml:space="preserve"> </w:t>
      </w:r>
      <w:r>
        <w:rPr>
          <w:rStyle w:val="VerbatimChar"/>
        </w:rPr>
        <w:t xml:space="preserve">2B_</w:t>
      </w:r>
      <w:r>
        <w:t xml:space="preserve">,</w:t>
      </w:r>
      <w:r>
        <w:t xml:space="preserve"> </w:t>
      </w:r>
      <w:r>
        <w:rPr>
          <w:rStyle w:val="VerbatimChar"/>
        </w:rPr>
        <w:t xml:space="preserve">3_</w:t>
      </w:r>
      <w:r>
        <w:t xml:space="preserve">), we reproduced the community construction on train-normal and measured how well the discovered</w:t>
      </w:r>
      <w:r>
        <w:t xml:space="preserve"> </w:t>
      </w:r>
      <w:r>
        <w:t xml:space="preserve">communities align with the physical stages.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SWaT</w:t>
      </w:r>
      <w:r>
        <w:t xml:space="preserve"> </w:t>
      </w:r>
      <w:r>
        <w:t xml:space="preserve">(43 active channels, 6 documented stages): the communities are stage-coherent well above</w:t>
      </w:r>
      <w:r>
        <w:t xml:space="preserve"> </w:t>
      </w:r>
      <w:r>
        <w:t xml:space="preserve">chance, with size-weighted dominant-stage purity</w:t>
      </w:r>
      <w:r>
        <w:t xml:space="preserve"> </w:t>
      </w:r>
      <w:r>
        <w:rPr>
          <w:b/>
          <w:bCs/>
        </w:rPr>
        <w:t xml:space="preserve">0.578 versus a permutation-null baseline of 0.370</w:t>
      </w:r>
      <w:r>
        <w:t xml:space="preserve"> </w:t>
      </w:r>
      <w:r>
        <w:t xml:space="preserve">(+0.207), normalized mutual information 0.465, and homogeneity 0.436 for a flat partition cut at</w:t>
      </w:r>
      <w:r>
        <w:t xml:space="preserve"> </w:t>
      </w:r>
      <w:r>
        <w:rPr>
          <w:i/>
          <w:iCs/>
        </w:rPr>
        <w:t xml:space="preserve">k</w:t>
      </w:r>
      <w:r>
        <w:t xml:space="preserve"> = 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WADI</w:t>
      </w:r>
      <w:r>
        <w:t xml:space="preserve"> </w:t>
      </w:r>
      <w:r>
        <w:t xml:space="preserve">(93 active channels): purity</w:t>
      </w:r>
      <w:r>
        <w:t xml:space="preserve"> </w:t>
      </w:r>
      <w:r>
        <w:rPr>
          <w:b/>
          <w:bCs/>
        </w:rPr>
        <w:t xml:space="preserve">0.848 versus a 0.696 null</w:t>
      </w:r>
      <w:r>
        <w:t xml:space="preserve"> </w:t>
      </w:r>
      <w:r>
        <w:t xml:space="preserve">(+0.152), with 58 percent</w:t>
      </w:r>
      <w:r>
        <w:t xml:space="preserve"> </w:t>
      </w:r>
      <w:r>
        <w:t xml:space="preserve">of communities entirely within a single process area.</w:t>
      </w:r>
    </w:p>
    <w:p>
      <w:pPr>
        <w:pStyle w:val="FirstParagraph"/>
      </w:pPr>
      <w:r>
        <w:t xml:space="preserve">The alignment is significant but deliberately not exact: some cross-stage correlation is</w:t>
      </w:r>
      <w:r>
        <w:t xml:space="preserve"> </w:t>
      </w:r>
      <w:r>
        <w:t xml:space="preserve">physically real (flow, pressure, and dosing propagate between adjacent stages), so a purely correlation-driven</w:t>
      </w:r>
      <w:r>
        <w:t xml:space="preserve"> </w:t>
      </w:r>
      <w:r>
        <w:t xml:space="preserve">partition should, and does, place a minority of channels across stage boundaries. This is precisely why the</w:t>
      </w:r>
      <w:r>
        <w:t xml:space="preserve"> </w:t>
      </w:r>
      <w:r>
        <w:t xml:space="preserve">paper describes the communities as</w:t>
      </w:r>
      <w:r>
        <w:t xml:space="preserve"> </w:t>
      </w:r>
      <w:r>
        <w:rPr>
          <w:i/>
          <w:iCs/>
        </w:rPr>
        <w:t xml:space="preserve">data-driven subsystem proxies</w:t>
      </w:r>
      <w:r>
        <w:t xml:space="preserve"> </w:t>
      </w:r>
      <w:r>
        <w:t xml:space="preserve">obtained “with no plant</w:t>
      </w:r>
      <w:r>
        <w:t xml:space="preserve"> </w:t>
      </w:r>
      <w:r>
        <w:t xml:space="preserve">schematic,” not as recovered process stages. The result supports the subsystem-level interpretation while</w:t>
      </w:r>
      <w:r>
        <w:t xml:space="preserve"> </w:t>
      </w:r>
      <w:r>
        <w:t xml:space="preserve">respecting its limits. We have added this alignment analysis to the revised manuscript (a paragraph and</w:t>
      </w:r>
      <w:r>
        <w:t xml:space="preserve"> </w:t>
      </w:r>
      <w:r>
        <w:t xml:space="preserve">Table C2 in Appendix C, with the numbers above), and adjusted the wording toward “correlation</w:t>
      </w:r>
      <w:r>
        <w:t xml:space="preserve"> </w:t>
      </w:r>
      <w:r>
        <w:t xml:space="preserve">community (subsystem proxy)” where the distinction matters. The</w:t>
      </w:r>
      <w:r>
        <w:t xml:space="preserve"> </w:t>
      </w:r>
      <w:r>
        <w:t xml:space="preserve">localization evaluation already in the paper (Table 5) is the downstream confirmation that these proxies</w:t>
      </w:r>
      <w:r>
        <w:t xml:space="preserve"> </w:t>
      </w:r>
      <w:r>
        <w:t xml:space="preserve">are operationally useful: the top-ranked community contains the attacked subsystem well above a coverage-aware</w:t>
      </w:r>
      <w:r>
        <w:t xml:space="preserve"> </w:t>
      </w:r>
      <w:r>
        <w:t xml:space="preserve">random baseline.</w:t>
      </w:r>
    </w:p>
    <w:bookmarkEnd w:id="20"/>
    <w:bookmarkStart w:id="21" w:name="X72e6caeb55176438daf4495be2e55585630f7aa"/>
    <w:p>
      <w:pPr>
        <w:pStyle w:val="Heading2"/>
      </w:pPr>
      <w:r>
        <w:t xml:space="preserve">Comment 2. Adding the standardized HC score to the whole-plant expert mixes scores of different statistical meaning, and the effect is strongly dataset-dependent (WADI 0.795→0.771, HAI 0.801→0.845).</w:t>
      </w:r>
    </w:p>
    <w:p>
      <w:pPr>
        <w:pStyle w:val="BlockText"/>
      </w:pPr>
      <w:r>
        <w:t xml:space="preserve">This manuscript directly adds the standardized HC score to the whole-plant expert score, although the</w:t>
      </w:r>
      <w:r>
        <w:t xml:space="preserve"> </w:t>
      </w:r>
      <w:r>
        <w:t xml:space="preserve">two scores have different statistical meanings. The difficult AUROC decreases from 0.795 to 0.771 on WADI but</w:t>
      </w:r>
      <w:r>
        <w:t xml:space="preserve"> </w:t>
      </w:r>
      <w:r>
        <w:t xml:space="preserve">increases from 0.801 to 0.845 on HAI, which suggests that this fusion is strongly dataset-dependent.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On the “different statistical meanings” point: this is</w:t>
      </w:r>
      <w:r>
        <w:t xml:space="preserve"> </w:t>
      </w:r>
      <w:r>
        <w:t xml:space="preserve">the reason both terms are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before they are combined. Each score is centered and scaled by</w:t>
      </w:r>
      <w:r>
        <w:t xml:space="preserve"> </w:t>
      </w:r>
      <w:r>
        <w:t xml:space="preserve">its own train-normal mean and standard deviation, so the community Higher-Criticism score and the whole-plant</w:t>
      </w:r>
      <w:r>
        <w:t xml:space="preserve"> </w:t>
      </w:r>
      <w:r>
        <w:t xml:space="preserve">expert score enter the sum on a common, unit-variance scale rather than in their native units. The combination</w:t>
      </w:r>
      <w:r>
        <w:t xml:space="preserve"> </w:t>
      </w:r>
      <w:r>
        <w:t xml:space="preserve">is a sum of standardized surprises, not a sum of raw statistics of different magnitudes.</w:t>
      </w:r>
    </w:p>
    <w:p>
      <w:pPr>
        <w:pStyle w:val="BodyText"/>
      </w:pPr>
      <w:r>
        <w:t xml:space="preserve">On the dataset-dependence: it is real, it is reported in the paper (Appendix A gives exactly</w:t>
      </w:r>
      <w:r>
        <w:t xml:space="preserve"> </w:t>
      </w:r>
      <w:r>
        <w:t xml:space="preserve">these numbers), and it follows directly from the paper's thesis rather than contradicting it. LatAD uses a</w:t>
      </w:r>
      <w:r>
        <w:t xml:space="preserve"> </w:t>
      </w:r>
      <w:r>
        <w:rPr>
          <w:i/>
          <w:iCs/>
        </w:rPr>
        <w:t xml:space="preserve">single configuration across all three datasets with no per-dataset tuning</w:t>
      </w:r>
      <w:r>
        <w:t xml:space="preserve">. The whole-plant-expert</w:t>
      </w:r>
      <w:r>
        <w:t xml:space="preserve"> </w:t>
      </w:r>
      <w:r>
        <w:t xml:space="preserve">fusion is a net-beneficial design choice: it adds +0.044 on HAI (0.801 to 0.845), where the difficult faults</w:t>
      </w:r>
      <w:r>
        <w:t xml:space="preserve"> </w:t>
      </w:r>
      <w:r>
        <w:t xml:space="preserve">are correlation-conditional and the whole-plant view helps, and costs 0.024 on WADI (0.795 to 0.771), where the</w:t>
      </w:r>
      <w:r>
        <w:t xml:space="preserve"> </w:t>
      </w:r>
      <w:r>
        <w:t xml:space="preserve">difficult faults are already confined to small correlated subsystems that the per-community experts capture on</w:t>
      </w:r>
      <w:r>
        <w:t xml:space="preserve"> </w:t>
      </w:r>
      <w:r>
        <w:t xml:space="preserve">their own. This WADI cost sits inside the reported confidence interval and mirrors the paper's central finding</w:t>
      </w:r>
      <w:r>
        <w:t xml:space="preserve"> </w:t>
      </w:r>
      <w:r>
        <w:t xml:space="preserve">that the factorization helps in proportion to how multimodal and structured the normal law is (the cross-channel</w:t>
      </w:r>
      <w:r>
        <w:t xml:space="preserve"> </w:t>
      </w:r>
      <w:r>
        <w:t xml:space="preserve">gain is +0.200 on HAI versus +0.017 on WADI). We report both the community-only aggregation (WADI 0.795) and the</w:t>
      </w:r>
      <w:r>
        <w:t xml:space="preserve"> </w:t>
      </w:r>
      <w:r>
        <w:t xml:space="preserve">fused headline (0.771) transparently in Appendix A. The revised manuscript states this trade-off explicitly</w:t>
      </w:r>
      <w:r>
        <w:t xml:space="preserve"> </w:t>
      </w:r>
      <w:r>
        <w:t xml:space="preserve">at the fusion definition and adds the standardization clarification, and notes that an auto-gate on the</w:t>
      </w:r>
      <w:r>
        <w:t xml:space="preserve"> </w:t>
      </w:r>
      <w:r>
        <w:t xml:space="preserve">whole-plant term (analogous to the residual-head gate already in the model) could drop it on near-single-mode</w:t>
      </w:r>
      <w:r>
        <w:t xml:space="preserve"> </w:t>
      </w:r>
      <w:r>
        <w:t xml:space="preserve">records; we prefer to keep a single untuned configuration and disclose the trade-off rather than select per</w:t>
      </w:r>
      <w:r>
        <w:t xml:space="preserve"> </w:t>
      </w:r>
      <w:r>
        <w:t xml:space="preserve">dataset.</w:t>
      </w:r>
    </w:p>
    <w:bookmarkEnd w:id="21"/>
    <w:bookmarkStart w:id="22" w:name="Xec31d59bd9ebe3f6f0bacf614ed3678ef118fca"/>
    <w:p>
      <w:pPr>
        <w:pStyle w:val="Heading2"/>
      </w:pPr>
      <w:r>
        <w:t xml:space="preserve">Comment 3. The connection to the industrial-IoT system remains limited; consider existing studies on LoRa link performance and LPWAN scheduling.</w:t>
      </w:r>
    </w:p>
    <w:p>
      <w:pPr>
        <w:pStyle w:val="BlockText"/>
      </w:pPr>
      <w:r>
        <w:t xml:space="preserve">The connection to the industrial IoT system remains limited, and could refer to existing studies</w:t>
      </w:r>
      <w:r>
        <w:t xml:space="preserve"> </w:t>
      </w:r>
      <w:r>
        <w:t xml:space="preserve">such as enhancing link performance for mobile LoRa networks and leveraging imperfect-orthogonality-aware</w:t>
      </w:r>
      <w:r>
        <w:t xml:space="preserve"> </w:t>
      </w:r>
      <w:r>
        <w:t xml:space="preserve">scheduling for high scalability in LPWAN.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appreciate the attention to the industrial-IoT positioning of</w:t>
      </w:r>
      <w:r>
        <w:t xml:space="preserve"> </w:t>
      </w:r>
      <w:r>
        <w:t xml:space="preserve">the work, and we strengthened that positioning in the previous revision: Section 1 now frames the method</w:t>
      </w:r>
      <w:r>
        <w:t xml:space="preserve"> </w:t>
      </w:r>
      <w:r>
        <w:t xml:space="preserve">within the IIoT stack, Section 2.1 discusses the edge-inference thread with on-topic references, and</w:t>
      </w:r>
      <w:r>
        <w:t xml:space="preserve"> </w:t>
      </w:r>
      <w:r>
        <w:t xml:space="preserve">Figure 1 places the detector in an IIoT monitoring deployment. On the two specific studies recommended, we</w:t>
      </w:r>
      <w:r>
        <w:t xml:space="preserve"> </w:t>
      </w:r>
      <w:r>
        <w:t xml:space="preserve">followed the journal's guideline for reviewer-recommended references:</w:t>
      </w:r>
    </w:p>
    <w:p>
      <w:pPr>
        <w:pStyle w:val="BlockText"/>
      </w:pPr>
      <w:r>
        <w:t xml:space="preserve">Editor guideline (IV): “If the reviewer(s) recommended references, critically</w:t>
      </w:r>
      <w:r>
        <w:t xml:space="preserve"> </w:t>
      </w:r>
      <w:r>
        <w:t xml:space="preserve">analyze them to ensure that their inclusion would enhance your manuscript. If you believe these references are</w:t>
      </w:r>
      <w:r>
        <w:t xml:space="preserve"> </w:t>
      </w:r>
      <w:r>
        <w:t xml:space="preserve">unnecessary, you should not include them.”</w:t>
      </w:r>
    </w:p>
    <w:p>
      <w:pPr>
        <w:pStyle w:val="FirstParagraph"/>
      </w:pPr>
      <w:r>
        <w:t xml:space="preserve">Analyzing the two suggested works critically, they address a different layer of the IIoT stack</w:t>
      </w:r>
      <w:r>
        <w:t xml:space="preserve"> </w:t>
      </w:r>
      <w:r>
        <w:t xml:space="preserve">from the one this paper studies. The LoRa study concerns physical- and link-layer performance of the wireless</w:t>
      </w:r>
      <w:r>
        <w:t xml:space="preserve"> </w:t>
      </w:r>
      <w:r>
        <w:t xml:space="preserve">channel; the LPWAN study concerns medium-access scheduling for network scalability. Both operate at the</w:t>
      </w:r>
      <w:r>
        <w:t xml:space="preserve"> </w:t>
      </w:r>
      <w:r>
        <w:t xml:space="preserve">wireless-connectivity layer, addressing how telemetry is transported. Our contribution operates at the</w:t>
      </w:r>
      <w:r>
        <w:t xml:space="preserve"> </w:t>
      </w:r>
      <w:r>
        <w:t xml:space="preserve">process-telemetry / analytics layer above it: unsupervised anomaly detection on the multivariate sensor stream</w:t>
      </w:r>
      <w:r>
        <w:t xml:space="preserve"> </w:t>
      </w:r>
      <w:r>
        <w:t xml:space="preserve">once the telemetry has arrived. There is no shared problem formulation, method, dataset, or evaluation metric,</w:t>
      </w:r>
      <w:r>
        <w:t xml:space="preserve"> </w:t>
      </w:r>
      <w:r>
        <w:t xml:space="preserve">and neither study informs the modeling of normal CPS telemetry or the detection of in-envelope faults. We</w:t>
      </w:r>
      <w:r>
        <w:t xml:space="preserve"> </w:t>
      </w:r>
      <w:r>
        <w:t xml:space="preserve">therefore concluded, per guideline (IV), that including these references would not enhance the manuscript.</w:t>
      </w:r>
    </w:p>
    <w:p>
      <w:pPr>
        <w:pStyle w:val="BodyText"/>
      </w:pPr>
      <w:r>
        <w:t xml:space="preserve">For completeness on this point: an earlier version of a Reviewer 1 comment (subsequently</w:t>
      </w:r>
      <w:r>
        <w:t xml:space="preserve"> </w:t>
      </w:r>
      <w:r>
        <w:t xml:space="preserve">edited) named these two studies explicitly; we performed the same critical analysis at that time and reached</w:t>
      </w:r>
      <w:r>
        <w:t xml:space="preserve"> </w:t>
      </w:r>
      <w:r>
        <w:t xml:space="preserve">the same conclusion, that they have no direct connection to anomaly detection in the telemetry of cyber-physical</w:t>
      </w:r>
      <w:r>
        <w:t xml:space="preserve"> </w:t>
      </w:r>
      <w:r>
        <w:t xml:space="preserve">systems. Should the reviewer or editor see a specific connection we have missed, we would gladly add a brief</w:t>
      </w:r>
      <w:r>
        <w:t xml:space="preserve"> </w:t>
      </w:r>
      <w:r>
        <w:t xml:space="preserve">contextual reference and would welcome a pointer to the intended link.</w:t>
      </w:r>
    </w:p>
    <w:bookmarkEnd w:id="22"/>
    <w:bookmarkStart w:id="23" w:name="X67dddab8f64fccf885aa3f7e821f3f0cd9afcb5"/>
    <w:p>
      <w:pPr>
        <w:pStyle w:val="Heading2"/>
      </w:pPr>
      <w:r>
        <w:t xml:space="preserve">Comment 4. The difficult subset uses the authors' own 99th-percentile and PCA T²/SPE rule; WADI has only 30 difficult windows from 8 episodes and the LatAD–LinRes CI is [−0.161, 0.205], so the evidence is not strong enough for broad conclusions.</w:t>
      </w:r>
    </w:p>
    <w:p>
      <w:pPr>
        <w:pStyle w:val="BlockText"/>
      </w:pPr>
      <w:r>
        <w:t xml:space="preserve">This manuscript places strong emphasis on the difficult subset, but this subset is defined by the</w:t>
      </w:r>
      <w:r>
        <w:t xml:space="preserve"> </w:t>
      </w:r>
      <w:r>
        <w:t xml:space="preserve">proposed 99th-percentile max-mean rule and PCA T2/SPE filtering. WADI contains only 30 difficult windows from 8</w:t>
      </w:r>
      <w:r>
        <w:t xml:space="preserve"> </w:t>
      </w:r>
      <w:r>
        <w:t xml:space="preserve">attack episodes, and the confidence interval between LatAD and LinRes is [-0.161, 0.205], so the current</w:t>
      </w:r>
      <w:r>
        <w:t xml:space="preserve"> </w:t>
      </w:r>
      <w:r>
        <w:t xml:space="preserve">evidence is not strong enough for broad performance conclusions.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agree on the WADI power limit, and the manuscript already</w:t>
      </w:r>
      <w:r>
        <w:t xml:space="preserve"> </w:t>
      </w:r>
      <w:r>
        <w:t xml:space="preserve">declines to draw a broad conclusion there. Two points clarify the evidence.</w:t>
      </w:r>
    </w:p>
    <w:p>
      <w:pPr>
        <w:pStyle w:val="BodyText"/>
      </w:pPr>
      <w:r>
        <w:t xml:space="preserve">First, the difficulty rule is</w:t>
      </w:r>
      <w:r>
        <w:t xml:space="preserve"> </w:t>
      </w:r>
      <w:r>
        <w:rPr>
          <w:i/>
          <w:iCs/>
        </w:rPr>
        <w:t xml:space="preserve">detector-agnostic</w:t>
      </w:r>
      <w:r>
        <w:t xml:space="preserve">: it is defined entirely on train-normal</w:t>
      </w:r>
      <w:r>
        <w:t xml:space="preserve"> </w:t>
      </w:r>
      <w:r>
        <w:t xml:space="preserve">statistics (the channel-wise 99th percentile and a linear PCA T²/SPE subspace fixed on train-normal), with</w:t>
      </w:r>
      <w:r>
        <w:t xml:space="preserve"> </w:t>
      </w:r>
      <w:r>
        <w:t xml:space="preserve">no reference to LatAD or any scored detector. The same subset is used to evaluate every method, so it does not</w:t>
      </w:r>
      <w:r>
        <w:t xml:space="preserve"> </w:t>
      </w:r>
      <w:r>
        <w:t xml:space="preserve">bias the comparison toward our model; it isolates the reconstructable-but-improbable faults for all detectors</w:t>
      </w:r>
      <w:r>
        <w:t xml:space="preserve"> </w:t>
      </w:r>
      <w:r>
        <w:t xml:space="preserve">equally.</w:t>
      </w:r>
    </w:p>
    <w:p>
      <w:pPr>
        <w:pStyle w:val="BodyText"/>
      </w:pPr>
      <w:r>
        <w:t xml:space="preserve">Second, we do not claim a WADI win. The single statistically significant headline is on HAI</w:t>
      </w:r>
      <w:r>
        <w:t xml:space="preserve"> </w:t>
      </w:r>
      <w:r>
        <w:t xml:space="preserve">(+0.088, 95 percent CI [0.042, 0.157], P &lt; 0.0005). On WADI the manuscript reports precisely</w:t>
      </w:r>
      <w:r>
        <w:t xml:space="preserve"> </w:t>
      </w:r>
      <w:r>
        <w:t xml:space="preserve">what the reviewer notes: LatAD leads every learned detector but</w:t>
      </w:r>
      <w:r>
        <w:t xml:space="preserve"> </w:t>
      </w:r>
      <w:r>
        <w:rPr>
          <w:i/>
          <w:iCs/>
        </w:rPr>
        <w:t xml:space="preserve">ties</w:t>
      </w:r>
      <w:r>
        <w:t xml:space="preserve"> </w:t>
      </w:r>
      <w:r>
        <w:t xml:space="preserve">the linear baseline LinRes, with a</w:t>
      </w:r>
      <w:r>
        <w:t xml:space="preserve"> </w:t>
      </w:r>
      <w:r>
        <w:t xml:space="preserve">confidence interval that includes zero (not separable at 8 episodes). This is stated as a tie, not a</w:t>
      </w:r>
      <w:r>
        <w:t xml:space="preserve"> </w:t>
      </w:r>
      <w:r>
        <w:t xml:space="preserve">superiority claim. The revised manuscript states this explicitly where the difficult-subset results are</w:t>
      </w:r>
      <w:r>
        <w:t xml:space="preserve"> </w:t>
      </w:r>
      <w:r>
        <w:t xml:space="preserve">introduced (§6): the difficulty rule is detector-agnostic, and the WADI difficult subset is small</w:t>
      </w:r>
      <w:r>
        <w:t xml:space="preserve"> </w:t>
      </w:r>
      <w:r>
        <w:t xml:space="preserve">(30 windows from 8 episodes) and underpowered, so LatAD's WADI result is reported as a tie with the</w:t>
      </w:r>
      <w:r>
        <w:t xml:space="preserve"> </w:t>
      </w:r>
      <w:r>
        <w:t xml:space="preserve">linear baseline rather than a performance claim. The per-dataset verdicts (significant on HAI; leads-but-ties</w:t>
      </w:r>
      <w:r>
        <w:t xml:space="preserve"> </w:t>
      </w:r>
      <w:r>
        <w:t xml:space="preserve">the linear baseline on WADI; drift-recovered on SWaT) are stated in the Results and Conclusion, and the</w:t>
      </w:r>
      <w:r>
        <w:t xml:space="preserve"> </w:t>
      </w:r>
      <w:r>
        <w:t xml:space="preserve">manuscript makes no broad cross-baseline “outperforms” claim.</w:t>
      </w:r>
    </w:p>
    <w:bookmarkEnd w:id="23"/>
    <w:bookmarkStart w:id="24" w:name="X4e7d7966ecffeb4512a81a80a0e2f2e8afdd905"/>
    <w:p>
      <w:pPr>
        <w:pStyle w:val="Heading2"/>
      </w:pPr>
      <w:r>
        <w:t xml:space="preserve">Comment 5. Comparison with modern deep detectors is limited: SensitiveHUE and CATCH are discussed but experiments use USAD, TranAD, GDN; include more recent methods or narrow the conclusions.</w:t>
      </w:r>
    </w:p>
    <w:p>
      <w:pPr>
        <w:pStyle w:val="BlockText"/>
      </w:pPr>
      <w:r>
        <w:t xml:space="preserve">The comparison with modern deep anomaly detection methods remains limited because SensitiveHUE and</w:t>
      </w:r>
      <w:r>
        <w:t xml:space="preserve"> </w:t>
      </w:r>
      <w:r>
        <w:t xml:space="preserve">CATCH are discussed, but the main experiments still focus on USAD, TranAD, and GDN. More recent methods should</w:t>
      </w:r>
      <w:r>
        <w:t xml:space="preserve"> </w:t>
      </w:r>
      <w:r>
        <w:t xml:space="preserve">be included, or the conclusions about reconstruction-based deep detectors should be narrowed.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Our baseline set was chosen to be representative of the</w:t>
      </w:r>
      <w:r>
        <w:t xml:space="preserve"> </w:t>
      </w:r>
      <w:r>
        <w:t xml:space="preserve">established deep-detector paradigms rather than exhaustive: USAD (autoencoder reconstruction), TranAD</w:t>
      </w:r>
      <w:r>
        <w:t xml:space="preserve"> </w:t>
      </w:r>
      <w:r>
        <w:t xml:space="preserve">(transformer reconstruction), and GDN (graph relational) are among the most widely adopted and highly cited</w:t>
      </w:r>
      <w:r>
        <w:t xml:space="preserve"> </w:t>
      </w:r>
      <w:r>
        <w:t xml:space="preserve">multivariate CPS anomaly detectors, each with well over a thousand citations (USAD 1,335; TranAD 1,141;</w:t>
      </w:r>
      <w:r>
        <w:t xml:space="preserve"> </w:t>
      </w:r>
      <w:r>
        <w:t xml:space="preserve">GDN 1,557; Semantic Scholar, 2026), and they span the three dominant families a new method is measured</w:t>
      </w:r>
      <w:r>
        <w:t xml:space="preserve"> </w:t>
      </w:r>
      <w:r>
        <w:t xml:space="preserve">against: autoencoder reconstruction, transformer reconstruction, and graph relational. SensitiveHUE</w:t>
      </w:r>
      <w:r>
        <w:t xml:space="preserve"> </w:t>
      </w:r>
      <w:r>
        <w:t xml:space="preserve">(KDD 2024) and CATCH (ICLR 2025) are far less established, with 44 and 161 citations respectively at</w:t>
      </w:r>
      <w:r>
        <w:t xml:space="preserve"> </w:t>
      </w:r>
      <w:r>
        <w:t xml:space="preserve">the time of writing, roughly an order of magnitude fewer; an exhaustive comparison against every newly</w:t>
      </w:r>
      <w:r>
        <w:t xml:space="preserve"> </w:t>
      </w:r>
      <w:r>
        <w:t xml:space="preserve">published method is not feasible within one study, and the field's own reproducibility critiques (cited in the</w:t>
      </w:r>
      <w:r>
        <w:t xml:space="preserve"> </w:t>
      </w:r>
      <w:r>
        <w:t xml:space="preserve">paper) caution against treating just-released numbers as settled.</w:t>
      </w:r>
    </w:p>
    <w:p>
      <w:pPr>
        <w:pStyle w:val="BodyText"/>
      </w:pPr>
      <w:r>
        <w:t xml:space="preserve">Both recommended methods are, moreover, reconstruction-based: SensitiveHUE reweights a</w:t>
      </w:r>
      <w:r>
        <w:t xml:space="preserve"> </w:t>
      </w:r>
      <w:r>
        <w:t xml:space="preserve">reconstruction error by learned per-variable uncertainty, and CATCH reconstructs through frequency-domain</w:t>
      </w:r>
      <w:r>
        <w:t xml:space="preserve"> </w:t>
      </w:r>
      <w:r>
        <w:t xml:space="preserve">channel patching. The mechanism analysis in Section 8 concerns the reconstruction objective itself, that a</w:t>
      </w:r>
      <w:r>
        <w:t xml:space="preserve"> </w:t>
      </w:r>
      <w:r>
        <w:t xml:space="preserve">sufficiently flexible decoder rebuilds a fault whose marginals stay in range, so it applies to these variants as</w:t>
      </w:r>
      <w:r>
        <w:t xml:space="preserve"> </w:t>
      </w:r>
      <w:r>
        <w:t xml:space="preserve">well; we already note this in the manuscript. Per the reviewer's either/or, we have</w:t>
      </w:r>
      <w:r>
        <w:t xml:space="preserve"> </w:t>
      </w:r>
      <w:r>
        <w:rPr>
          <w:b/>
          <w:bCs/>
        </w:rPr>
        <w:t xml:space="preserve">narrowed the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</w:t>
      </w:r>
      <w:r>
        <w:t xml:space="preserve"> </w:t>
      </w:r>
      <w:r>
        <w:t xml:space="preserve">in the revised manuscript (§2.4 and §8) so that the empirical claim is made only for the</w:t>
      </w:r>
      <w:r>
        <w:t xml:space="preserve"> </w:t>
      </w:r>
      <w:r>
        <w:t xml:space="preserve">evaluated detectors (USAD, TranAD, GDN); SensitiveHUE and CATCH are presented explicitly as recently introduced</w:t>
      </w:r>
      <w:r>
        <w:t xml:space="preserve"> </w:t>
      </w:r>
      <w:r>
        <w:t xml:space="preserve">reconstruction-based variants that the mechanism analysis predicts inherit the same in-envelope blind spot, with</w:t>
      </w:r>
      <w:r>
        <w:t xml:space="preserve"> </w:t>
      </w:r>
      <w:r>
        <w:t xml:space="preserve">a direct comparison left to future work. Should the editor prefer a direct empirical comparison, we would</w:t>
      </w:r>
      <w:r>
        <w:t xml:space="preserve"> </w:t>
      </w:r>
      <w:r>
        <w:t xml:space="preserve">provide it in a further revision.</w:t>
      </w:r>
    </w:p>
    <w:p>
      <w:pPr>
        <w:pStyle w:val="BodyText"/>
      </w:pPr>
      <w:r>
        <w:t xml:space="preserve">We hope these responses address the five points, and we will apply the noted manuscript changes</w:t>
      </w:r>
      <w:r>
        <w:t xml:space="preserve"> </w:t>
      </w:r>
      <w:r>
        <w:t xml:space="preserve">in the revised version.</w:t>
      </w:r>
    </w:p>
    <w:p>
      <w:pPr>
        <w:pStyle w:val="BodyText"/>
      </w:pPr>
      <w:r>
        <w:t xml:space="preserve">Sincerely,</w:t>
      </w:r>
      <w:r>
        <w:br/>
      </w:r>
      <w:r>
        <w:t xml:space="preserve">Alexander Apartsin and Yehudit Aperstein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Reviewers (Round 2) - IoT-4522779</dc:title>
  <dc:creator/>
  <dc:language>en</dc:language>
  <cp:keywords/>
  <dcterms:created xsi:type="dcterms:W3CDTF">2026-09-28T10:00:13Z</dcterms:created>
  <dcterms:modified xsi:type="dcterms:W3CDTF">2026-09-28T10:00:13Z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