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esponse-to-reviewer-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a careful and constructive reading and for finding the research content interesting. Your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comments pushed us to validate or remeasure the previously unused assumptions, to support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nearest-component score directly, to benchmark computational cost, to put every significance claim on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time-aware footing, and to isolate the source of the gain. We address each point below, giving the change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made and where to find it, or a rebuttal with the supporting evidence. While preparing the revision we also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re-audited every number and corrected a difficulty-stratification artifact on WADI; the corrected numbers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used throughout and are reflected in the responses.</w:t>
      </w:r>
    </w:p>
    <w:bookmarkStart w:id="9" w:name="X5169a9d53f31ba643c7c4225a23dd88e4fb3c08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A9 and A10 are unused, and the basin-agreement head (A3) is inactive on all three datasets; run data that activates them or limit the contribution to the validated assumptions.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introduces ten structural assumptions from A1 to A10, but the current model does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not fully realize them. A9 and A10 are not used in the model, while the basin-agreement head for A3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inactive on all three datasets. More experiments are needed on data that can activate and test these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assumptions, otherwise the contribution should be limited to the assumptions that are actually validated.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 and assumptions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now present MIIM as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 assumptions of which seven are realized by the detector and validated here (A1 to A7) and three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specified for future work (A8 to A10). Table 1 is grouped into these two blocks and gains a "Realized by"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column mapping each assumption to the design section that implements it. The between-regime assumption whose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basin head you note as inactive (your "A3") is renumbered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A8</w:t>
      </w:r>
      <w:r>
        <w:rPr>
          <w:rFonts w:ascii="Times New Roman" w:hAnsi="Times New Roman"/>
          <w:b w:val="0"/>
          <w:i/>
          <w:sz w:val="20"/>
        </w:rPr>
        <w:t xml:space="preserve">, so the realized instantaneous-window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properties are contiguous A1 to A7.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Rather than only scoping A8 down, we remeasured it. The earlier apparent signal came from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cluster-responsibility screen that is blind by construction: on a synthetic 50 percent-overlap positive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control it rated the regimes as maximally crisp, and on SKAB the signal proved to be a variance-floor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artifact of the estimator on a 400-window sample (Appendix C, Table C1). Under valid observation-space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metrics the A8 precondition (adjacent but distinct regimes) is present on nearly every real CPS dataset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screened, but heavy mode overlap is absent; the masking form of A8 is detectable only through the trajectory,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which couples it to A10, and the over-coverage form is already defended by the shipped 80-component density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 (a wide two-component head misses about 80 percent of WADI's isolated anomalies, the 80-component head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13 percent). A8 is therefore specified, partly defended, and verifiable at operational scale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7, Appendix C).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A9 (multiscale structure) is present in the data as a measured property: per-channel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autocorrelation timescales span 3.4 to 3.7 decades on all three plants, and a longer 600-sample window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+0.06 difficult-subset AUROC on HAI, corroborating the +0.072 that explicit temporal features add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Appendix A. A10 (path dependence) is measured absent on these snapshot-detectable benchmarks by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conditional scorers (a linear autoregressor, a nearest-neighbour successor model, and a regime-transition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matrix), each validated against a passing synthetic positive control and guarded by an order-shuffle control.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"Snapshot detectable" is thus now a measured finding for these benchmarks, not an assumption (Table 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7). Because the public benchmarks are small and snapshot-detectable, we added a benchmark-scale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discussion (Section 2.5, Section 7) arguing that exercising A8 to A10 further requires operational-scale data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history-dependent faults.</w:t>
      </w:r>
    </w:p>
    <w:bookmarkEnd w:id="9"/>
    <w:bookmarkStart w:id="10" w:name="X5ca7be4bb510d066e129f16835a3b24352fac8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2. The nearest-component likelihood lacks direct support: compare mixture NLL, nearest-component NLL, and other imbalance-aware scores across regime-imbalance ratios, with attention to the false-positive rate of rare normal 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rare-regime-safe nearest-component likelihood in this manuscript lacks direct experimental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support. Experiments under different regime imbalance ratios should compare mixture NLL,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NLL, and other imbalance-aware scoring methods, with more attention to the false-positive rate of rare normal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rebuttal plus head-level isolation.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likelihood is isolated as a standalone score head in Table 6, with difficult-subset AUROC 0.603 on WADI,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0.797 on HAI, and 0.723 on SWaT, reported beside the mixture density and the density-plus-nearest base; its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design rationale is stated as assumption A5 in Table 1 ("score against the nearest component, never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weighted mixture, so a rare-but-valid regime is not penalized"). On these three benchmarks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nearest-component and mixture scores are close, because the benchmarks lack the operating-regime imbalance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that separates them: their normal windows sit almost entirely within one dominant regime, the same reason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A8 overlap is absent (Comment 1). The nearest-component likelihood is a rare-regime safety property, so its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distinctive benefit, and the rare-regime false-positive question you raise, surface only under a regime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imbalance the public testbeds do not exhibit. We support it here with the Table 6 isolation and the A5 design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argument, and we tie the missing stress case to the new benchmark-scale discussion (Section 2.5, Section 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prefer to state this plainly rather than assert a benefit on data that does not exercise the property.</w:t>
      </w:r>
    </w:p>
    <w:bookmarkEnd w:id="10"/>
    <w:bookmarkStart w:id="11" w:name="X3e07ee6c45a2d4e1c1a09dd5b3fd5015a11ee5c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3. The regime-community design trains many models; evaluate its practical cost under the same hardware as the 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regime-community design in this manuscript trains separate representation and density models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many communities, which may introduce much higher cost than a single global detector. More experiments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needed to evaluate the practical cost of this design under the same hardware setting as the main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Appendix B and Table B1, reporting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and host memory for LatAD (global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regime-community) and the deep baselines on one shared GPU machine plus a CPU edge proxy.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stack does instantiate one small density model per subsystem, and Table B1 quantifies the resulting cost: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training 50 / 195 / 38 s on WADI / HAI / SWaT and per-window latency of 17 to 32 ms (up to about 52 ms 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batch 256), against LatAD-global at 3.2 / 16 / 3.5 s and 0.7 to 13 ms. Even so, LatAD-global trains roughly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47 to 72 times faster than TranAD (231 / 898 / 163 s), both configurations run within about 3.5 to 3.9 GB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host memory, and both stay inside gateway-class real-time budgets on the CPU edge proxy. Section 4.4 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states the architecture explicitly (a separate small VaDE per community, nothing shared but the input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features, plus one global expert), and the deployment paragraph in Section 7 points at these numbers.</w:t>
      </w:r>
    </w:p>
    <w:bookmarkEnd w:id="11"/>
    <w:bookmarkStart w:id="12" w:name="Xce63068459775cc697145350186a8763dd4e1de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Sliding windows are strongly time-correlated; use a time-aware test on all three datasets, and clarify the WADI confidence interval and p-value.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sliding windows in this manuscript are strongly correlated in time, so ordinary resampling may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underestimate the confidence interval. A time-aware statistical test should be used on all three datasets,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definition of the confidence interval and p-value on WADI should be clarified.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significance statement is on an episode-block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bootstrap that resamples whole attack episodes together with contiguous normal blocks, rather than 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windows, applied uniformly to all three datasets and to every reported confidence interval and P-value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6, Table 4, Figure 3). We define both quantities: the confidence interval is the two-sided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2.5 / 97.5 percentile of the paired difference, and P is the one-sided bootstrap probability that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difference is at most zero.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HAI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+0.088, 95 percent CI [0.042, 0.157], P about 0 (167 windows, 26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Canonical SWaT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+0.055, 95 percent CI [0.012, 0.104], P = 0.007 (85 windows,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23 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WADI difficult subset (clarified):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+0.020, 95 percent CI [-0.161, 0.205], P = 0.46 over 8 attack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episodes. WADI's difficult subset spans only 8 episodes, so we state plainly that the lead over the linear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 is not statistically separable at that episode count; LatAD is significantly ahead of every learned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detector on WADI and ties only the linear baseline.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the double-hard subset the same test gives HAI +0.084 (95 percent CI [0.019, 0.189],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 = 0.0005) and SWaT +0.085 (95 percent CI [0.030, 0.146], P = 0.0005), with WADI a numerical lead over 7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 (Table 4). All intervals were recomputed from persisted scores, with no retraining.</w:t>
      </w:r>
    </w:p>
    <w:bookmarkEnd w:id="12"/>
    <w:bookmarkStart w:id="13" w:name="X87f63f0476ed2f671557a703e7a3bd76e7727a6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Six static window statistics: run raw-sequential, temporal, or spectral experiments and ablations to verify whether the gain comes from cross-channel density or from the window 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mainly uses six static statistics from each window, so the source of the performance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gain is still unclear. Experiments with raw sequential input and temporal or spectral information are needed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verify whether the gain mainly comes from cross-channel density modeling or from the current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made, the source of the gain is now isolated.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main-text source-of-gain table (Table 5, Section 6) that swaps the cross-channel latent density for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channel-independent product of per-channel densities, holding the representation fixed. The cross-channel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density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+0.200 on HAI and +0.141 on canonical SWaT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channel-independent baseline,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datasets where LatAD wins significantly, and essentially nothing on the artifact-free WADI difficult subset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(+0.017), whose difficult anomalies are single-channel or linear so per-channel marginals already suffice.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address the representation directly, Table A2 re-runs the same latent-density detector with a richer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ten-feature temporal and spectral representation in place of the six statistics: it is immaterial on WADI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adds +0.072 on HAI and +0.026 on SWaT, so an expanded temporal representation is a smaller, complementary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lever aligned with A9, not the source of the reported advantage. The head-level decomposition (Table 6)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factorization ladder (Table A1) localize the same gain to the density heads and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factorization. The gain is therefore cross-channel density modeling rather than the window representation.</w:t>
      </w:r>
    </w:p>
    <w:bookmarkEnd w:id="13"/>
    <w:bookmarkStart w:id="14" w:name="Xe1595187189a22776b750bdd0e11e1628b2aee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on English, figures, and conclusions.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English could be improved to more clearly express the research. Figures and tables,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conclusions, should be improved.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revised the front matter and the longer sentences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flagged during restructuring, and a language pass over the whole manuscript is applied to the submitted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version. Two vector figures were added (Figure 1, the IIoT system-model context; Figure 2, the LatAD workflow,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assumption-tagged), the difficult-subset results chart is renumbered Figure 3 with a corrected caption,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Tables 3 to 6 and A1 were regenerated on the corrected, construct-matched data, with GDN added as a new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 in Table 3. The Conclusion (Section 8) was rewritten to match the scoped claims and the corrected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significance pattern: best overall AUROC on HAI and SWaT, a lead on the difficult subset of all three,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significant margins on HAI and canonical SWaT and a lead over every learned detector on WADI.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and helpful review. We believe the revision answers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point, and where the answer is a limitation we have stated it plainly.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14"/>
    <w:bookmarkEnd w:id="1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2026-09-18T10:38:12Z</dcterms:created>
  <dcterms:modified xsi:type="dcterms:W3CDTF">2026-09-18T10:38:12Z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