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D7DFC" w14:textId="30B1D67D" w:rsidR="007E326C" w:rsidRPr="00BF5F39" w:rsidRDefault="007E326C" w:rsidP="007E326C">
      <w:pPr>
        <w:pStyle w:val="MDPI11articletype"/>
      </w:pPr>
      <w:r w:rsidRPr="00BF5F39">
        <w:t>Article</w:t>
      </w:r>
    </w:p>
    <w:p w14:paraId="08970651" w14:textId="088A894A" w:rsidR="007E326C" w:rsidRPr="00BF5F39" w:rsidRDefault="004757AE" w:rsidP="007E326C">
      <w:pPr>
        <w:pStyle w:val="MDPI12title"/>
      </w:pPr>
      <w:r>
        <w:t xml:space="preserve">Title: Concise and Informative</w:t>
      </w:r>
    </w:p>
    <w:p w14:paraId="24D9F5C5" w14:textId="2E36D152" w:rsidR="004A6017" w:rsidRPr="00BF5F39" w:rsidRDefault="00D453B1" w:rsidP="007E326C">
      <w:pPr>
        <w:pStyle w:val="MDPI13authornames"/>
      </w:pPr>
      <w:proofErr w:type="gramStart"/>
      <w:proofErr w:type="gramEnd"/>
      <w:r>
        <w:t xml:space="preserve">Firstname Lastname 1,*, Firstname Lastname 2 and Firstname Lastname 3</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4A6017" w:rsidRPr="00BF5F39" w14:paraId="5F776AF6" w14:textId="77777777" w:rsidTr="000E60BC">
        <w:tc>
          <w:tcPr>
            <w:tcW w:w="2410" w:type="dxa"/>
          </w:tcPr>
          <w:p w14:paraId="58B63DB6" w14:textId="77777777" w:rsidR="004A6017" w:rsidRPr="00BF5F39" w:rsidRDefault="004A6017" w:rsidP="000E60BC">
            <w:pPr>
              <w:pStyle w:val="MDPI15academiceditor"/>
              <w:spacing w:before="0" w:after="120"/>
            </w:pPr>
            <w:r w:rsidRPr="00BF5F39">
              <w:t xml:space="preserve">Academic Editor: </w:t>
            </w:r>
            <w:proofErr w:type="spellStart"/>
            <w:r w:rsidRPr="00BF5F39">
              <w:t>Firstname</w:t>
            </w:r>
            <w:proofErr w:type="spellEnd"/>
            <w:r w:rsidRPr="00BF5F39">
              <w:t xml:space="preserve"> Lastname</w:t>
            </w:r>
          </w:p>
          <w:p w14:paraId="626A6354" w14:textId="77777777" w:rsidR="004A6017" w:rsidRPr="00BF5F39" w:rsidRDefault="004A6017" w:rsidP="000E60BC">
            <w:pPr>
              <w:pStyle w:val="MDPI14history"/>
              <w:spacing w:before="120"/>
            </w:pPr>
            <w:r w:rsidRPr="00BF5F39">
              <w:t>Received: date</w:t>
            </w:r>
          </w:p>
          <w:p w14:paraId="26718328" w14:textId="77777777" w:rsidR="004A6017" w:rsidRPr="00BF5F39" w:rsidRDefault="004A6017" w:rsidP="000E60BC">
            <w:pPr>
              <w:pStyle w:val="MDPI14history"/>
            </w:pPr>
            <w:r w:rsidRPr="00BF5F39">
              <w:t>Revised: date</w:t>
            </w:r>
          </w:p>
          <w:p w14:paraId="6BC14FC0" w14:textId="77777777" w:rsidR="004A6017" w:rsidRPr="00BF5F39" w:rsidRDefault="004A6017" w:rsidP="000E60BC">
            <w:pPr>
              <w:pStyle w:val="MDPI14history"/>
            </w:pPr>
            <w:r w:rsidRPr="00BF5F39">
              <w:t>Accepted: date</w:t>
            </w:r>
          </w:p>
          <w:p w14:paraId="721D57C2" w14:textId="77777777" w:rsidR="004A6017" w:rsidRPr="00BF5F39" w:rsidRDefault="004A6017" w:rsidP="000E60BC">
            <w:pPr>
              <w:pStyle w:val="MDPI14history"/>
              <w:spacing w:after="120"/>
            </w:pPr>
            <w:r w:rsidRPr="00BF5F39">
              <w:t>Published: date</w:t>
            </w:r>
          </w:p>
          <w:p w14:paraId="6ABC939A" w14:textId="77777777" w:rsidR="004A6017" w:rsidRPr="00BF5F39" w:rsidRDefault="004A6017" w:rsidP="000E60BC">
            <w:pPr>
              <w:pStyle w:val="MDPI72copyright"/>
              <w:rPr>
                <w:rFonts w:eastAsia="DengXian"/>
                <w:noProof w:val="0"/>
                <w:lang w:val="en-US" w:bidi="en-US"/>
              </w:rPr>
            </w:pPr>
            <w:r w:rsidRPr="00BF5F39">
              <w:rPr>
                <w:rFonts w:eastAsia="DengXian"/>
                <w:b/>
                <w:noProof w:val="0"/>
                <w:lang w:val="en-US" w:bidi="en-US"/>
              </w:rPr>
              <w:t>Copyright:</w:t>
            </w:r>
            <w:r w:rsidRPr="00BF5F39">
              <w:rPr>
                <w:rFonts w:eastAsia="DengXian"/>
                <w:noProof w:val="0"/>
                <w:lang w:val="en-US" w:bidi="en-US"/>
              </w:rPr>
              <w:t xml:space="preserve"> © </w:t>
            </w:r>
            <w:r>
              <w:rPr>
                <w:rFonts w:eastAsia="DengXian"/>
                <w:noProof w:val="0"/>
                <w:lang w:val="en-US" w:bidi="en-US"/>
              </w:rPr>
              <w:t>2026</w:t>
            </w:r>
            <w:r w:rsidRPr="00BF5F39">
              <w:rPr>
                <w:rFonts w:eastAsia="DengXian"/>
                <w:noProof w:val="0"/>
                <w:lang w:val="en-US" w:bidi="en-US"/>
              </w:rPr>
              <w:t xml:space="preserve"> by the authors. Submitted for possible open access publication under the terms and conditions of the </w:t>
            </w:r>
            <w:hyperlink r:id="rId7" w:history="1">
              <w:r w:rsidRPr="004A6017">
                <w:rPr>
                  <w:rStyle w:val="Hyperlink"/>
                  <w:rFonts w:eastAsia="DengXian"/>
                  <w:noProof w:val="0"/>
                  <w:u w:val="none"/>
                  <w:lang w:val="en-US" w:bidi="en-US"/>
                </w:rPr>
                <w:t>Creative Commons Attribution (CC BY) license</w:t>
              </w:r>
            </w:hyperlink>
            <w:r>
              <w:rPr>
                <w:rFonts w:eastAsia="DengXian"/>
                <w:noProof w:val="0"/>
                <w:lang w:val="en-US" w:bidi="en-US"/>
              </w:rPr>
              <w:t>.</w:t>
            </w:r>
          </w:p>
        </w:tc>
      </w:tr>
    </w:tbl>
    <w:p w14:paraId="034F4E6A" w14:textId="1485AD00" w:rsidR="007E326C" w:rsidRPr="002938C4" w:rsidRDefault="00D06FE4" w:rsidP="007E326C">
      <w:pPr>
        <w:pStyle w:val="MDPI16affiliation"/>
      </w:pPr>
      <w:r>
        <w:t xml:space="preserve">1	First affiliation; email1@example.com</w:t>
      </w:r>
    </w:p>
    <w:p w14:paraId="147FF354" w14:textId="60C20F73" w:rsidR="007E326C" w:rsidRPr="002938C4" w:rsidRDefault="007E326C" w:rsidP="007E326C">
      <w:pPr>
        <w:pStyle w:val="MDPI16affiliation"/>
      </w:pPr>
      <w:r>
        <w:t xml:space="preserve">2	Second affiliation; email2@example.com</w:t>
      </w:r>
    </w:p>
    <w:p w14:paraId="15D03709" w14:textId="2BA5B26E" w:rsidR="008F4315" w:rsidRPr="00BF5F39" w:rsidRDefault="008F4315" w:rsidP="00661717">
      <w:pPr>
        <w:pStyle w:val="MDPI16affiliation"/>
      </w:pPr>
      <w:r>
        <w:t xml:space="preserve">*	Correspondence: corresponding.author@example.com</w:t>
      </w:r>
    </w:p>
    <w:p w14:paraId="0BA6A78D" w14:textId="54A74AB2" w:rsidR="007E326C" w:rsidRPr="00BF5F39" w:rsidRDefault="007E326C" w:rsidP="00D453B1">
      <w:pPr>
        <w:pStyle w:val="MDPI16affiliation"/>
      </w:pPr>
      <w:r>
        <w:t xml:space="preserve"/>
      </w:r>
    </w:p>
    <w:p w14:paraId="13768206" w14:textId="77777777" w:rsidR="00D756C4" w:rsidRPr="00D756C4" w:rsidRDefault="007E326C" w:rsidP="00D756C4">
      <w:pPr>
        <w:pStyle w:val="MDPI17abstract"/>
        <w:jc w:val="left"/>
        <w:rPr>
          <w:b/>
        </w:rPr>
      </w:pPr>
      <w:r w:rsidRPr="00D756C4">
        <w:rPr>
          <w:b/>
        </w:rPr>
        <w:t>Abstract</w:t>
      </w:r>
    </w:p>
    <w:bookmarkEnd w:id="2"/>
    <w:bookmarkEnd w:id="3"/>
    <w:bookmarkEnd w:id="4"/>
    <w:bookmarkEnd w:id="7"/>
    <w:bookmarkEnd w:id="8"/>
    <w:bookmarkEnd w:id="9"/>
    <w:bookmarkEnd w:id="13"/>
    <w:bookmarkEnd w:id="14"/>
    <w:bookmarkEnd w:id="15"/>
    <w:p>
      <w:pPr>
        <w:pStyle w:val="MDPI17abstract"/>
      </w:pPr>
      <w:r>
        <w:t xml:space="preserve">Fault detection in networked cyber-physical systems (CPS), which form the sensing and actuation layer of industrial Internet-of-Things deployments, is difficult because faults are rare and poorly represented in available data. Detection must therefore rely on models of normal behaviour rather than representative fault examples. However, existing AI methods often fail because they ignore the unique structure of CPS, where stochastic behaviour is constrained by physical laws, engineered control logic, and numerous operating regimes. More generally, normal CPS behaviour is not a single distribution, but a union of many imbalanced, curved, and sparsely populated regimes. We formalize this structure through ten assumptions, A1–A10, summarized as</w:t>
      </w:r>
      <w:r>
        <w:t xml:space="preserve"> </w:t>
      </w:r>
      <w:r>
        <w:rPr>
          <w:i/>
          <w:iCs/>
        </w:rPr>
        <w:t xml:space="preserve">Massive, Implicit, Imbalanced Multimodality</w:t>
      </w:r>
      <w:r>
        <w:t xml:space="preserve"> </w:t>
      </w:r>
      <w:r>
        <w:t xml:space="preserve">(MIIM). Based on these assumptions, we jointly learn a latent representation and a Gaussian-mixture clustering of operating regimes. Anomaly scores are computed in the clustered latent space rather than from data-space reconstruction error. Aggregate scores are dominated by trivially detectable faults, so we evaluate under raw point-wise metrics with a difficulty split that isolates the stealthy, joint-structure faults a simple per-channel detector cannot see. Across three real CPS attack benchmarks (WADI, HAI, and SWaT), the detector attains the best overall AUROC on every dataset (0.792, 0.933, and 0.991). On the stealthy difficult subset it is strongest on HAI (0.811 over five seeds, a statistically significant margin over the next-best baseline, paired episode-bootstrap 95% CI on the difference [0.015, 0.089]), and it matches the strongest baseline on WADI (0.690) and SWaT (0.960); the HAI advantage persists under a stronger difficulty split that also removes any window separable by a single per-channel statistic. On a stricter double-hard subset that additionally removes windows a linear cross-channel predictor separates, the detector has the highest mean AUROC on all three datasets, with statistically supported superiority on HAI and numerical leads on the smaller WADI and single-episode SWaT subsets. On WADI and HAI, whose difficult faults are reconstructable but improbable sensor combinations that reconstruction error cannot separate from normal, the deep detectors USAD and TranAD collapse to 0.30–0.50. The contributions are the MIIM assumptions, the difficulty-stratified protocol, and a latent-primary anomaly score with an auto-gated reconstruction-residual head.</w:t>
      </w:r>
    </w:p>
    <w:p>
      <w:pPr>
        <w:pStyle w:val="MDPI18keywords"/>
        <w:ind w:left="2608"/>
      </w:pPr>
      <w:r>
        <w:rPr>
          <w:b/>
          <w:bCs/>
        </w:rPr>
        <w:t xml:space="preserve">Keywords:</w:t>
      </w:r>
      <w:r>
        <w:t xml:space="preserve"> </w:t>
      </w:r>
      <w:r>
        <w:t xml:space="preserve">anomaly detection; cyber-physical systems; Internet of Things; industrial IoT; unsupervised learning; variational deep embedding; Gaussian mixture model; sensor time series; fault detection</w:t>
      </w:r>
    </w:p>
    <w:p>
      <w:pPr>
        <w:pStyle w:val="MDPI21heading1"/>
        <w:ind w:left="2608"/>
      </w:pPr>
      <w:r>
        <w:t xml:space="preserve">1  Introduction</w:t>
      </w:r>
    </w:p>
    <w:p>
      <w:pPr>
        <w:pStyle w:val="MDPI32textnoindent"/>
        <w:ind w:left="2608"/>
      </w:pPr>
      <w:r>
        <w:t xml:space="preserve">A modern cyber-physical system (CPS), whether a water-treatment plant, an industrial control loop, or a rotating machine, integrates hundreds of networked sensors, embedded controllers, and physical actuators, the sensing-and-actuation fabric of the industrial Internet of Things (IoT), into a single tightly coupled unit that continuously senses its own state and acts upon it. This complexity puts its faults beyond enumeration: the combinations of component, control regime, and operating condition in which a fault can arise cannot be predefined, tested, or exhaustively sampled before deployment, and many faults develop slowly, as wear, drift, or degradation that shows no obvious symptom until it is well advanced and can escalate into unplanned downtime or a safety-critical failure. Because the faults cannot be specified in advance, they must be discovered from the system’s own behaviour as it operates, which is the task of anomaly detection [</w:t>
      </w:r>
      <w:hyperlink w:anchor="r-chandola">
        <w:r>
          <w:rPr>
            <w:rStyle w:val="Hyperlink"/>
          </w:rPr>
          <w:t xml:space="preserve">1</w:t>
        </w:r>
      </w:hyperlink>
      <w:r>
        <w:t xml:space="preserve">]. That behaviour is richly observable: high-frequency measurements of vibration, current, temperature, pressure, and position, together with internal control signals, are streamed continuously from the device’s sensors as IoT telemetry and, in principle, carry an early signature of almost any developing fault.</w:t>
      </w:r>
    </w:p>
    <w:p>
      <w:pPr>
        <w:pStyle w:val="MDPI31text"/>
        <w:ind w:left="2608"/>
      </w:pPr>
      <w:r>
        <w:t xml:space="preserve">The task is commonly framed as characterising the anomalies, but that framing is misleading. Were a representative set of labelled faults available, the task would reduce to supervised classification; in practice genuine faults are rare and the few on record seldom span the ways a system can fail [</w:t>
      </w:r>
      <w:hyperlink w:anchor="r-ruff">
        <w:r>
          <w:rPr>
            <w:rStyle w:val="Hyperlink"/>
          </w:rPr>
          <w:t xml:space="preserve">2</w:t>
        </w:r>
      </w:hyperlink>
      <w:r>
        <w:t xml:space="preserve">], so scarce faults cannot define the decision boundary and, as revisited below, cannot even be spent reliably on model selection. The information lies on the other side of the boundary, in the normal data, which is abundant and rarely exploited in full. Modelling that normal law faithfully is therefore the hard part of the problem, and cyber-physical normal is a law of a particular kind. Shaped by deterministic physics, hard actuator and setpoint limits, and engineered control, it is the union of many bounded, curved operating regimes, some common and many rare, each with legitimately low-density fringes, rather than a single statistical blob. A detector that mis-models this structure fails however it thresholds.</w:t>
      </w:r>
    </w:p>
    <w:p>
      <w:pPr>
        <w:pStyle w:val="MDPI31text"/>
        <w:ind w:left="2608"/>
      </w:pPr>
      <w:r>
        <w:t xml:space="preserve">A fault is anything that leaves this union of normal regimes, and the interesting ones stay</w:t>
      </w:r>
      <w:r>
        <w:t xml:space="preserve"> </w:t>
      </w:r>
      <w:r>
        <w:rPr>
          <w:i/>
          <w:iCs/>
        </w:rPr>
        <w:t xml:space="preserve">inside</w:t>
      </w:r>
      <w:r>
        <w:t xml:space="preserve"> </w:t>
      </w:r>
      <w:r>
        <w:t xml:space="preserve">the marginal envelope of every channel while breaking the joint structure: a correlation break, a between-regime pocket, a history-inconsistent state. These faults are invisible to any per-channel range rule, and, as we show, to a reconstruction residual as well.</w:t>
      </w:r>
    </w:p>
    <w:p>
      <w:pPr>
        <w:pStyle w:val="MDPI31text"/>
        <w:ind w:left="2608"/>
      </w:pPr>
      <w:r>
        <w:t xml:space="preserve">Two problems make progress on this task hard to measure. The first is evaluation. The dominant metric in the</w:t>
      </w:r>
      <w:r>
        <w:t xml:space="preserve"> </w:t>
      </w:r>
      <w:r>
        <w:t xml:space="preserve">literature, point-adjusted F1, inflates scores so severely that a</w:t>
      </w:r>
      <w:r>
        <w:t xml:space="preserve"> </w:t>
      </w:r>
      <w:r>
        <w:rPr>
          <w:i/>
          <w:iCs/>
        </w:rPr>
        <w:t xml:space="preserve">random</w:t>
      </w:r>
      <w:r>
        <w:t xml:space="preserve"> </w:t>
      </w:r>
      <w:r>
        <w:t xml:space="preserve">anomaly score can beat every</w:t>
      </w:r>
      <w:r>
        <w:t xml:space="preserve"> </w:t>
      </w:r>
      <w:r>
        <w:t xml:space="preserve">published deep model [</w:t>
      </w:r>
      <w:hyperlink w:anchor="r-kim">
        <w:r>
          <w:rPr>
            <w:rStyle w:val="Hyperlink"/>
          </w:rPr>
          <w:t xml:space="preserve">3</w:t>
        </w:r>
      </w:hyperlink>
      <w:r>
        <w:t xml:space="preserve">,</w:t>
      </w:r>
      <w:r>
        <w:t xml:space="preserve"> </w:t>
      </w:r>
      <w:hyperlink w:anchor="r-garg">
        <w:r>
          <w:rPr>
            <w:rStyle w:val="Hyperlink"/>
          </w:rPr>
          <w:t xml:space="preserve">4</w:t>
        </w:r>
      </w:hyperlink>
      <w:r>
        <w:t xml:space="preserve">]; and even under raw metrics, public CPS</w:t>
      </w:r>
      <w:r>
        <w:t xml:space="preserve"> </w:t>
      </w:r>
      <w:r>
        <w:t xml:space="preserve">benchmarks are dominated by anomalies that a one-line univariate rule already separates [</w:t>
      </w:r>
      <w:hyperlink w:anchor="r-wukeogh">
        <w:r>
          <w:rPr>
            <w:rStyle w:val="Hyperlink"/>
          </w:rPr>
          <w:t xml:space="preserve">3</w:t>
        </w:r>
      </w:hyperlink>
      <w:r>
        <w:t xml:space="preserve">], so a high headline number certifies little. The second is modelling. If normal is a</w:t>
      </w:r>
      <w:r>
        <w:t xml:space="preserve"> </w:t>
      </w:r>
      <w:r>
        <w:t xml:space="preserve">union of many imbalanced regimes, then a global anomaly model cannot represent it (a single blob under-fits the</w:t>
      </w:r>
      <w:r>
        <w:t xml:space="preserve"> </w:t>
      </w:r>
      <w:r>
        <w:t xml:space="preserve">regime structure), a single deep autoencoder alarms on rare-but-valid regimes (the trust-eroding false positive),</w:t>
      </w:r>
      <w:r>
        <w:t xml:space="preserve"> </w:t>
      </w:r>
      <w:r>
        <w:t xml:space="preserve">and a reconstruction residual is blind to exactly the joint-structure faults that matter because a flexible</w:t>
      </w:r>
      <w:r>
        <w:t xml:space="preserve"> </w:t>
      </w:r>
      <w:r>
        <w:t xml:space="preserve">decoder reconstructs them faithfully.</w:t>
      </w:r>
    </w:p>
    <w:p>
      <w:pPr>
        <w:pStyle w:val="MDPI31text"/>
        <w:ind w:left="2608"/>
      </w:pPr>
      <w:r>
        <w:t xml:space="preserve">This paper makes three contributions.</w:t>
      </w:r>
      <w:r>
        <w:t xml:space="preserve"> </w:t>
      </w:r>
      <w:r>
        <w:rPr>
          <w:b/>
          <w:bCs/>
        </w:rPr>
        <w:t xml:space="preserve">(1)</w:t>
      </w:r>
      <w:r>
        <w:t xml:space="preserve"> </w:t>
      </w:r>
      <w:r>
        <w:t xml:space="preserve">We state the structural assumptions of CPS normal</w:t>
      </w:r>
      <w:r>
        <w:t xml:space="preserve"> </w:t>
      </w:r>
      <w:r>
        <w:t xml:space="preserve">data as an explicit list, A1–A10, that we abbreviate MIIM (</w:t>
      </w:r>
      <w:r>
        <w:rPr>
          <w:i/>
          <w:iCs/>
        </w:rPr>
        <w:t xml:space="preserve">Massive, Implicit, Imbalanced</w:t>
      </w:r>
      <w:r>
        <w:rPr>
          <w:i/>
          <w:iCs/>
        </w:rPr>
        <w:t xml:space="preserve"> </w:t>
      </w:r>
      <w:r>
        <w:rPr>
          <w:i/>
          <w:iCs/>
        </w:rPr>
        <w:t xml:space="preserve">Multimodality</w:t>
      </w:r>
      <w:r>
        <w:t xml:space="preserve">) and tie each assumption to a concrete choice for</w:t>
      </w:r>
      <w:r>
        <w:t xml:space="preserve"> </w:t>
      </w:r>
      <w:r>
        <w:rPr>
          <w:i/>
          <w:iCs/>
        </w:rPr>
        <w:t xml:space="preserve">modeling normal</w:t>
      </w:r>
      <w:r>
        <w:t xml:space="preserve"> </w:t>
      </w:r>
      <w:r>
        <w:t xml:space="preserve">(§3).</w:t>
      </w:r>
      <w:r>
        <w:t xml:space="preserve"> </w:t>
      </w:r>
      <w:r>
        <w:rPr>
          <w:b/>
          <w:bCs/>
        </w:rPr>
        <w:t xml:space="preserve">(2)</w:t>
      </w:r>
      <w:r>
        <w:t xml:space="preserve"> </w:t>
      </w:r>
      <w:r>
        <w:t xml:space="preserve">We build a detector, one concrete realization of these assumptions, whose whole design is</w:t>
      </w:r>
      <w:r>
        <w:t xml:space="preserve"> </w:t>
      </w:r>
      <w:r>
        <w:t xml:space="preserve">faithfully modeling that normal law: a jointly learned latent plus explicit Gaussian-mixture regime clustering</w:t>
      </w:r>
      <w:r>
        <w:t xml:space="preserve"> </w:t>
      </w:r>
      <w:r>
        <w:t xml:space="preserve">(VaDE), scored in the latent by a mixture density head and a rare-regime-safe nearest-component likelihood; a key mechanism is demoting reconstruction from the</w:t>
      </w:r>
      <w:r>
        <w:t xml:space="preserve"> </w:t>
      </w:r>
      <w:r>
        <w:t xml:space="preserve">default score, since a flexible decoder reconstructs the hard faults faithfully, while an optional</w:t>
      </w:r>
      <w:r>
        <w:t xml:space="preserve"> </w:t>
      </w:r>
      <w:r>
        <w:t xml:space="preserve">reconstruction-residual head is auto-gated back on only where it provably generalises to held-out normal</w:t>
      </w:r>
      <w:r>
        <w:t xml:space="preserve"> </w:t>
      </w:r>
      <w:r>
        <w:t xml:space="preserve">(§4).</w:t>
      </w:r>
      <w:r>
        <w:t xml:space="preserve"> </w:t>
      </w:r>
      <w:r>
        <w:rPr>
          <w:b/>
          <w:bCs/>
        </w:rPr>
        <w:t xml:space="preserve">(3)</w:t>
      </w:r>
      <w:r>
        <w:t xml:space="preserve"> </w:t>
      </w:r>
      <w:r>
        <w:t xml:space="preserve">We evaluate under a fair protocol (raw point-wise</w:t>
      </w:r>
      <w:r>
        <w:t xml:space="preserve"> </w:t>
      </w:r>
      <w:r>
        <w:t xml:space="preserve">metrics, difficulty stratification, raw point-wise F1, train-normal-only calibration) on</w:t>
      </w:r>
      <w:r>
        <w:t xml:space="preserve"> </w:t>
      </w:r>
      <w:r>
        <w:t xml:space="preserve">three real CPS attack benchmarks, and compare against classical baselines and against two deep detectors, USAD</w:t>
      </w:r>
      <w:r>
        <w:t xml:space="preserve"> </w:t>
      </w:r>
      <w:r>
        <w:t xml:space="preserve">and TranAD, re-computed with the same raw metrics (§5–6). The detector attains the best overall AUROC</w:t>
      </w:r>
      <w:r>
        <w:t xml:space="preserve"> </w:t>
      </w:r>
      <w:r>
        <w:t xml:space="preserve">on every dataset and is strongest on the difficult subset over five seeds, most decisively and significantly on</w:t>
      </w:r>
      <w:r>
        <w:t xml:space="preserve"> </w:t>
      </w:r>
      <w:r>
        <w:t xml:space="preserve">HAI, where the difficult faults break joint structure and the deep detectors collapse; on WADI and SWaT it ties</w:t>
      </w:r>
      <w:r>
        <w:t xml:space="preserve"> </w:t>
      </w:r>
      <w:r>
        <w:t xml:space="preserve">the strongest baseline at the top of the difficult column.</w:t>
      </w:r>
    </w:p>
    <w:p>
      <w:pPr>
        <w:pStyle w:val="MDPI31text"/>
        <w:ind w:left="2608"/>
      </w:pPr>
      <w:r>
        <w:t xml:space="preserve">We are explicit about scope. This study covers three datasets with a single trained model</w:t>
      </w:r>
      <w:r>
        <w:t xml:space="preserve"> </w:t>
      </w:r>
      <w:r>
        <w:t xml:space="preserve">per dataset; AUROC is reported as a five-seed mean and the best-F1 threshold is an oracle (disclosed in §5). We</w:t>
      </w:r>
      <w:r>
        <w:t xml:space="preserve"> </w:t>
      </w:r>
      <w:r>
        <w:t xml:space="preserve">report only raw metrics and we treat the difficult subset, not the headline, as the discriminative test.</w:t>
      </w:r>
    </w:p>
    <w:p>
      <w:pPr>
        <w:pStyle w:val="MDPI21heading1"/>
        <w:ind w:left="2608"/>
      </w:pPr>
      <w:r>
        <w:t xml:space="preserve">2  Related work</w:t>
      </w:r>
    </w:p>
    <w:p>
      <w:pPr>
        <w:pStyle w:val="MDPI32textnoindent"/>
        <w:ind w:left="2608"/>
      </w:pPr>
      <w:r>
        <w:t xml:space="preserve">Anomaly detection is the unsupervised or semi-supervised task of flagging departures from a model of normal behaviour, adopted precisely because labelled anomalies are too scarce to train a classifier [</w:t>
      </w:r>
      <w:hyperlink w:anchor="r-chandola">
        <w:r>
          <w:rPr>
            <w:rStyle w:val="Hyperlink"/>
          </w:rPr>
          <w:t xml:space="preserve">1</w:t>
        </w:r>
      </w:hyperlink>
      <w:r>
        <w:t xml:space="preserve">, </w:t>
      </w:r>
      <w:hyperlink w:anchor="r-pang">
        <w:r>
          <w:rPr>
            <w:rStyle w:val="Hyperlink"/>
          </w:rPr>
          <w:t xml:space="preserve">6</w:t>
        </w:r>
      </w:hyperlink>
      <w:r>
        <w:t xml:space="preserve">, </w:t>
      </w:r>
      <w:hyperlink w:anchor="r-ruff">
        <w:r>
          <w:rPr>
            <w:rStyle w:val="Hyperlink"/>
          </w:rPr>
          <w:t xml:space="preserve">2</w:t>
        </w:r>
      </w:hyperlink>
      <w:r>
        <w:t xml:space="preserve">]. On time series it must additionally respect temporal and cross-channel dependence [</w:t>
      </w:r>
      <w:hyperlink w:anchor="r-tsreview">
        <w:r>
          <w:rPr>
            <w:rStyle w:val="Hyperlink"/>
          </w:rPr>
          <w:t xml:space="preserve">7</w:t>
        </w:r>
      </w:hyperlink>
      <w:r>
        <w:t xml:space="preserve">], and on cyber-physical and industrial control systems it underpins physics-aware intrusion and fault detection [</w:t>
      </w:r>
      <w:hyperlink w:anchor="r-icssurvey">
        <w:r>
          <w:rPr>
            <w:rStyle w:val="Hyperlink"/>
          </w:rPr>
          <w:t xml:space="preserve">8</w:t>
        </w:r>
      </w:hyperlink>
      <w:r>
        <w:t xml:space="preserve">]. LatAD sits squarely in this line: unsupervised, trained on normal only, and specialised to the multimodal structure of cyber-physical normal behaviour.</w:t>
      </w:r>
    </w:p>
    <w:p>
      <w:pPr>
        <w:pStyle w:val="MDPI22heading2"/>
        <w:ind w:left="2608"/>
      </w:pPr>
      <w:r>
        <w:t xml:space="preserve">2.1  The illusion of progress in time-series anomaly-detection evaluation</w:t>
      </w:r>
    </w:p>
    <w:p>
      <w:pPr>
        <w:pStyle w:val="MDPI32textnoindent"/>
        <w:ind w:left="2608"/>
      </w:pPr>
      <w:r>
        <w:t xml:space="preserve">A line of critical work shows that the standard evaluation of time-series anomaly detection is unreliable.</w:t>
      </w:r>
      <w:r>
        <w:t xml:space="preserve"> </w:t>
      </w:r>
      <w:r>
        <w:t xml:space="preserve">Kim et al. [</w:t>
      </w:r>
      <w:hyperlink w:anchor="r-kim">
        <w:r>
          <w:rPr>
            <w:rStyle w:val="Hyperlink"/>
          </w:rPr>
          <w:t xml:space="preserve">3</w:t>
        </w:r>
      </w:hyperlink>
      <w:r>
        <w:t xml:space="preserve">] demonstrate that the ubiquitous</w:t>
      </w:r>
      <w:r>
        <w:t xml:space="preserve"> </w:t>
      </w:r>
      <w:r>
        <w:rPr>
          <w:i/>
          <w:iCs/>
        </w:rPr>
        <w:t xml:space="preserve">point-adjustment</w:t>
      </w:r>
      <w:r>
        <w:t xml:space="preserve"> </w:t>
      </w:r>
      <w:r>
        <w:t xml:space="preserve">protocol</w:t>
      </w:r>
      <w:r>
        <w:t xml:space="preserve"> </w:t>
      </w:r>
      <w:r>
        <w:t xml:space="preserve">(marking an entire ground-truth anomaly segment as detected if any single point in it is flagged) inflates</w:t>
      </w:r>
      <w:r>
        <w:t xml:space="preserve"> </w:t>
      </w:r>
      <w:r>
        <w:t xml:space="preserve">F1 so drastically that a</w:t>
      </w:r>
      <w:r>
        <w:t xml:space="preserve"> </w:t>
      </w:r>
      <w:r>
        <w:rPr>
          <w:i/>
          <w:iCs/>
        </w:rPr>
        <w:t xml:space="preserve">random</w:t>
      </w:r>
      <w:r>
        <w:t xml:space="preserve"> </w:t>
      </w:r>
      <w:r>
        <w:t xml:space="preserve">anomaly score achieves higher point-adjusted F1 than every state-of-the-art</w:t>
      </w:r>
      <w:r>
        <w:t xml:space="preserve"> </w:t>
      </w:r>
      <w:r>
        <w:t xml:space="preserve">model on SWaT and WADI. Garg et al. [</w:t>
      </w:r>
      <w:hyperlink w:anchor="r-garg">
        <w:r>
          <w:rPr>
            <w:rStyle w:val="Hyperlink"/>
          </w:rPr>
          <w:t xml:space="preserve">4</w:t>
        </w:r>
      </w:hyperlink>
      <w:r>
        <w:t xml:space="preserve">] independently reproduce this inflation and show</w:t>
      </w:r>
      <w:r>
        <w:t xml:space="preserve"> </w:t>
      </w:r>
      <w:r>
        <w:t xml:space="preserve">that simple baselines (PCA, channel-wise autoencoders) beat elaborate deep models once metrics are made rigorous,</w:t>
      </w:r>
      <w:r>
        <w:t xml:space="preserve"> </w:t>
      </w:r>
      <w:r>
        <w:t xml:space="preserve">and that deep methods often fail to detect even simple anomalies. Doshi et al. [</w:t>
      </w:r>
      <w:hyperlink w:anchor="r-doshi">
        <w:r>
          <w:rPr>
            <w:rStyle w:val="Hyperlink"/>
          </w:rPr>
          <w:t xml:space="preserve">9</w:t>
        </w:r>
      </w:hyperlink>
      <w:r>
        <w:t xml:space="preserve">]</w:t>
      </w:r>
      <w:r>
        <w:t xml:space="preserve"> </w:t>
      </w:r>
      <w:r>
        <w:t xml:space="preserve">diagnose the point-adjustment reward structure and propose a rectified evaluation, and proximity- and event-aware</w:t>
      </w:r>
      <w:r>
        <w:t xml:space="preserve"> </w:t>
      </w:r>
      <w:r>
        <w:t xml:space="preserve">metrics such as PATE [</w:t>
      </w:r>
      <w:hyperlink w:anchor="r-pate">
        <w:r>
          <w:rPr>
            <w:rStyle w:val="Hyperlink"/>
          </w:rPr>
          <w:t xml:space="preserve">10</w:t>
        </w:r>
      </w:hyperlink>
      <w:r>
        <w:t xml:space="preserve">] move beyond point adjustment altogether. The critique now spans metrics and benchmarks alike. Wu and Keogh</w:t>
      </w:r>
      <w:r>
        <w:t xml:space="preserve"> </w:t>
      </w:r>
      <w:r>
        <w:t xml:space="preserve">[</w:t>
      </w:r>
      <w:hyperlink w:anchor="r-wukeogh">
        <w:r>
          <w:rPr>
            <w:rStyle w:val="Hyperlink"/>
          </w:rPr>
          <w:t xml:space="preserve">5</w:t>
        </w:r>
      </w:hyperlink>
      <w:r>
        <w:t xml:space="preserve">] argue that many popular benchmarks are flawed (triviality, mislabelling and</w:t>
      </w:r>
      <w:r>
        <w:t xml:space="preserve"> </w:t>
      </w:r>
      <w:r>
        <w:t xml:space="preserve">unrealistic anomaly density) creating an illusion of progress; and a recent benchmark analysis</w:t>
      </w:r>
      <w:r>
        <w:t xml:space="preserve"> </w:t>
      </w:r>
      <w:r>
        <w:t xml:space="preserve">[</w:t>
      </w:r>
      <w:hyperlink w:anchor="r-univar">
        <w:r>
          <w:rPr>
            <w:rStyle w:val="Hyperlink"/>
          </w:rPr>
          <w:t xml:space="preserve">11</w:t>
        </w:r>
      </w:hyperlink>
      <w:r>
        <w:t xml:space="preserve">] finds that anomaly segments in multivariate CPS benchmarks are mostly univariate</w:t>
      </w:r>
      <w:r>
        <w:t xml:space="preserve"> </w:t>
      </w:r>
      <w:r>
        <w:t xml:space="preserve">(SWaT and WADI sit among the datasets whose anomalies deviate univariately on close to all timesteps, with no</w:t>
      </w:r>
      <w:r>
        <w:t xml:space="preserve"> </w:t>
      </w:r>
      <w:r>
        <w:t xml:space="preserve">long cross-channel-only segments), so a flat univariate model matches channel-dependent deep detectors. Recent</w:t>
      </w:r>
      <w:r>
        <w:t xml:space="preserve"> </w:t>
      </w:r>
      <w:r>
        <w:t xml:space="preserve">large-scale benchmarks confirm that detector rankings are strongly dataset-dependent [</w:t>
      </w:r>
      <w:hyperlink w:anchor="r-tab">
        <w:r>
          <w:rPr>
            <w:rStyle w:val="Hyperlink"/>
          </w:rPr>
          <w:t xml:space="preserve">12</w:t>
        </w:r>
      </w:hyperlink>
      <w:r>
        <w:t xml:space="preserve">],</w:t>
      </w:r>
      <w:r>
        <w:t xml:space="preserve"> </w:t>
      </w:r>
      <w:r>
        <w:t xml:space="preserve">which is why we read every method per dataset and per difficulty subset rather than by a single headline number.</w:t>
      </w:r>
    </w:p>
    <w:p>
      <w:pPr>
        <w:pStyle w:val="MDPI31text"/>
        <w:ind w:left="2608"/>
      </w:pPr>
      <w:r>
        <w:t xml:space="preserve">A parallel critique targets the dominant scoring mechanism itself. Reconstruction-based detectors assume that a model trained to reconstruct normal data reconstructs anomalies worse; Bouman and Heskes [</w:t>
      </w:r>
      <w:hyperlink w:anchor="r-bouman">
        <w:r>
          <w:rPr>
            <w:rStyle w:val="Hyperlink"/>
          </w:rPr>
          <w:t xml:space="preserve">13</w:t>
        </w:r>
      </w:hyperlink>
      <w:r>
        <w:t xml:space="preserve">] show this assumption is unreliable, because anomalies lying far from normal data can be reconstructed perfectly in practice, and Gong et al. [</w:t>
      </w:r>
      <w:hyperlink w:anchor="r-memae">
        <w:r>
          <w:rPr>
            <w:rStyle w:val="Hyperlink"/>
          </w:rPr>
          <w:t xml:space="preserve">14</w:t>
        </w:r>
      </w:hyperlink>
      <w:r>
        <w:t xml:space="preserve">] earlier showed that a deep autoencoder generalises well enough to rebuild anomalies and miss them. This motivates scoring in a clustered latent rather than through a reconstruction residual. A position paper by Sarfraz et al. [</w:t>
      </w:r>
      <w:hyperlink w:anchor="r-sarfraz">
        <w:r>
          <w:rPr>
            <w:rStyle w:val="Hyperlink"/>
          </w:rPr>
          <w:t xml:space="preserve">15</w:t>
        </w:r>
      </w:hyperlink>
      <w:r>
        <w:t xml:space="preserve">] draws the two threads together, characterising the field as plagued by flawed evaluation metrics, inconsistent benchmarking, and unjustified design choices, and showing that state-of-the-art deep detectors effectively learn linear mappings that simple baselines reproduce; Wagner et al. [</w:t>
      </w:r>
      <w:hyperlink w:anchor="r-timesead">
        <w:r>
          <w:rPr>
            <w:rStyle w:val="Hyperlink"/>
          </w:rPr>
          <w:t xml:space="preserve">16</w:t>
        </w:r>
      </w:hyperlink>
      <w:r>
        <w:t xml:space="preserve">] re-audit the widely used multivariate benchmarks, discard the ones with erroneous labels, and note the absence of any standard evaluation metric.</w:t>
      </w:r>
    </w:p>
    <w:p>
      <w:pPr>
        <w:pStyle w:val="MDPI31text"/>
        <w:ind w:left="2608"/>
      </w:pPr>
      <w:r>
        <w:t xml:space="preserve">LatAD adopts this critique as its evaluation protocol: raw point-wise AUROC, F1 and FPR with no point</w:t>
      </w:r>
      <w:r>
        <w:t xml:space="preserve"> </w:t>
      </w:r>
      <w:r>
        <w:t xml:space="preserve">adjustment for any method; a trivial-detector difficulty split that separates the discriminative difficult</w:t>
      </w:r>
      <w:r>
        <w:t xml:space="preserve"> </w:t>
      </w:r>
      <w:r>
        <w:t xml:space="preserve">subset from the easy majority that carries headline numbers; and re-computation of the deep SOTA baselines</w:t>
      </w:r>
      <w:r>
        <w:t xml:space="preserve"> </w:t>
      </w:r>
      <w:r>
        <w:t xml:space="preserve">(USAD and TranAD) under the</w:t>
      </w:r>
      <w:r>
        <w:t xml:space="preserve"> </w:t>
      </w:r>
      <w:r>
        <w:rPr>
          <w:i/>
          <w:iCs/>
        </w:rPr>
        <w:t xml:space="preserve">same</w:t>
      </w:r>
      <w:r>
        <w:t xml:space="preserve"> </w:t>
      </w:r>
      <w:r>
        <w:t xml:space="preserve">raw metrics rather than their point-adjusted published figures</w:t>
      </w:r>
      <w:r>
        <w:t xml:space="preserve"> </w:t>
      </w:r>
      <w:r>
        <w:t xml:space="preserve">(§5).</w:t>
      </w:r>
    </w:p>
    <w:p>
      <w:pPr>
        <w:pStyle w:val="MDPI22heading2"/>
        <w:ind w:left="2608"/>
      </w:pPr>
      <w:r>
        <w:t xml:space="preserve">2.2  Latent and clustering models for anomaly detection</w:t>
      </w:r>
    </w:p>
    <w:p>
      <w:pPr>
        <w:pStyle w:val="MDPI32textnoindent"/>
        <w:ind w:left="2608"/>
      </w:pPr>
      <w:r>
        <w:t xml:space="preserve">Our representation is Variational Deep Embedding (VaDE) [</w:t>
      </w:r>
      <w:hyperlink w:anchor="r-vade">
        <w:r>
          <w:rPr>
            <w:rStyle w:val="Hyperlink"/>
          </w:rPr>
          <w:t xml:space="preserve">17</w:t>
        </w:r>
      </w:hyperlink>
      <w:r>
        <w:t xml:space="preserve">], a VAE with a Gaussian-mixture</w:t>
      </w:r>
      <w:r>
        <w:t xml:space="preserve"> </w:t>
      </w:r>
      <w:r>
        <w:t xml:space="preserve">latent prior that learns representation and clusters jointly. DAGMM [</w:t>
      </w:r>
      <w:hyperlink w:anchor="r-dagmm">
        <w:r>
          <w:rPr>
            <w:rStyle w:val="Hyperlink"/>
          </w:rPr>
          <w:t xml:space="preserve">18</w:t>
        </w:r>
      </w:hyperlink>
      <w:r>
        <w:t xml:space="preserve">] similarly couples</w:t>
      </w:r>
      <w:r>
        <w:t xml:space="preserve"> </w:t>
      </w:r>
      <w:r>
        <w:t xml:space="preserve">an autoencoder with a Gaussian-mixture energy for anomaly detection; we borrow its variance-collapse</w:t>
      </w:r>
      <w:r>
        <w:t xml:space="preserve"> </w:t>
      </w:r>
      <w:r>
        <w:t xml:space="preserve">regularisation but score against explicit per-regime Gaussians in a jointly learned latent rather than a</w:t>
      </w:r>
      <w:r>
        <w:t xml:space="preserve"> </w:t>
      </w:r>
      <w:r>
        <w:t xml:space="preserve">learned-Gaussian energy (§4). Our whitened residual uses the Ledoit–Wolf shrinkage</w:t>
      </w:r>
      <w:r>
        <w:t xml:space="preserve"> </w:t>
      </w:r>
      <w:r>
        <w:t xml:space="preserve">covariance estimator [</w:t>
      </w:r>
      <w:hyperlink w:anchor="r-lw">
        <w:r>
          <w:rPr>
            <w:rStyle w:val="Hyperlink"/>
          </w:rPr>
          <w:t xml:space="preserve">19</w:t>
        </w:r>
      </w:hyperlink>
      <w:r>
        <w:t xml:space="preserve">]. Classical baselines are Isolation Forest [</w:t>
      </w:r>
      <w:hyperlink w:anchor="r-if">
        <w:r>
          <w:rPr>
            <w:rStyle w:val="Hyperlink"/>
          </w:rPr>
          <w:t xml:space="preserve">20</w:t>
        </w:r>
      </w:hyperlink>
      <w:r>
        <w:t xml:space="preserve">] and a deep autoencoder [</w:t>
      </w:r>
      <w:hyperlink w:anchor="r-aead">
        <w:r>
          <w:rPr>
            <w:rStyle w:val="Hyperlink"/>
          </w:rPr>
          <w:t xml:space="preserve">21</w:t>
        </w:r>
      </w:hyperlink>
      <w:r>
        <w:t xml:space="preserve">], both fitted on the same window features, together with a trivial per-channel range detector that also defines the easy/difficult split.</w:t>
      </w:r>
    </w:p>
    <w:p>
      <w:pPr>
        <w:pStyle w:val="MDPI22heading2"/>
        <w:ind w:left="2608"/>
      </w:pPr>
      <w:r>
        <w:t xml:space="preserve">2.3  Deep multivariate CPS anomaly detection</w:t>
      </w:r>
    </w:p>
    <w:p>
      <w:pPr>
        <w:pStyle w:val="MDPI32textnoindent"/>
        <w:ind w:left="2608"/>
      </w:pPr>
      <w:r>
        <w:t xml:space="preserve">USAD [</w:t>
      </w:r>
      <w:hyperlink w:anchor="r-usad">
        <w:r>
          <w:rPr>
            <w:rStyle w:val="Hyperlink"/>
          </w:rPr>
          <w:t xml:space="preserve">22</w:t>
        </w:r>
      </w:hyperlink>
      <w:r>
        <w:t xml:space="preserve">] couples two adversarially trained autoencoders; TranAD [</w:t>
      </w:r>
      <w:hyperlink w:anchor="r-tranad">
        <w:r>
          <w:rPr>
            <w:rStyle w:val="Hyperlink"/>
          </w:rPr>
          <w:t xml:space="preserve">7</w:t>
        </w:r>
      </w:hyperlink>
      <w:r>
        <w:t xml:space="preserve">] uses deep transformer networks with adversarial and self-conditioning training; GDN [</w:t>
      </w:r>
      <w:hyperlink w:anchor="r-gdn">
        <w:r>
          <w:rPr>
            <w:rStyle w:val="Hyperlink"/>
          </w:rPr>
          <w:t xml:space="preserve">10</w:t>
        </w:r>
      </w:hyperlink>
      <w:r>
        <w:t xml:space="preserve">] learns a graph over channels and detects deviations from learned inter-channel relations.</w:t>
      </w:r>
      <w:r>
        <w:t xml:space="preserve"> </w:t>
      </w:r>
      <w:r>
        <w:t xml:space="preserve">These define a widely used deep SOTA on SWaT/WADI-style benchmarks. More recent detectors refine rather than</w:t>
      </w:r>
      <w:r>
        <w:t xml:space="preserve"> </w:t>
      </w:r>
      <w:r>
        <w:t xml:space="preserve">abandon reconstruction: SensitiveHUE [</w:t>
      </w:r>
      <w:hyperlink w:anchor="r-sensitivehue">
        <w:r>
          <w:rPr>
            <w:rStyle w:val="Hyperlink"/>
          </w:rPr>
          <w:t xml:space="preserve">25</w:t>
        </w:r>
      </w:hyperlink>
      <w:r>
        <w:t xml:space="preserve">] models per-variable heteroscedastic</w:t>
      </w:r>
      <w:r>
        <w:t xml:space="preserve"> </w:t>
      </w:r>
      <w:r>
        <w:t xml:space="preserve">uncertainty to sharpen sensitivity to normal patterns, and CATCH [</w:t>
      </w:r>
      <w:hyperlink w:anchor="r-catch">
        <w:r>
          <w:rPr>
            <w:rStyle w:val="Hyperlink"/>
          </w:rPr>
          <w:t xml:space="preserve">26</w:t>
        </w:r>
      </w:hyperlink>
      <w:r>
        <w:t xml:space="preserve">] learns channel</w:t>
      </w:r>
      <w:r>
        <w:t xml:space="preserve"> </w:t>
      </w:r>
      <w:r>
        <w:t xml:space="preserve">correlations through frequency-domain patching. Both remain reconstruction-based, so the mechanism analysis of</w:t>
      </w:r>
      <w:r>
        <w:t xml:space="preserve"> </w:t>
      </w:r>
      <w:r>
        <w:t xml:space="preserve">§7 predicts they too will miss the reconstructable-but-improbable joint faults that define our difficult</w:t>
      </w:r>
      <w:r>
        <w:t xml:space="preserve"> </w:t>
      </w:r>
      <w:r>
        <w:t xml:space="preserve">subset. We benchmark USAD and TranAD, the reconstruction- and transformer-based deep detectors, under the same</w:t>
      </w:r>
      <w:r>
        <w:t xml:space="preserve"> </w:t>
      </w:r>
      <w:r>
        <w:t xml:space="preserve">raw, difficulty-stratified metrics over five seeds (the re-scored comparison is in §6), and additionally</w:t>
      </w:r>
      <w:r>
        <w:t xml:space="preserve"> </w:t>
      </w:r>
      <w:r>
        <w:t xml:space="preserve">re-run the cross-channel GDN under the identical raw protocol where its per-window graph training was tractable</w:t>
      </w:r>
      <w:r>
        <w:t xml:space="preserve"> </w:t>
      </w:r>
      <w:r>
        <w:t xml:space="preserve">(SWaT). A raw-metric evaluation of the newer reconstruction detectors (SensitiveHUE, CATCH) is left to future</w:t>
      </w:r>
      <w:r>
        <w:t xml:space="preserve"> </w:t>
      </w:r>
      <w:r>
        <w:t xml:space="preserve">work.</w:t>
      </w:r>
    </w:p>
    <w:p>
      <w:pPr>
        <w:pStyle w:val="MDPI31text"/>
        <w:ind w:left="2608"/>
      </w:pPr>
      <w:r>
        <w:t xml:space="preserve">Beyond public benchmarks, sensor-driven condition monitoring and fault prediction in operational CPS motivate</w:t>
      </w:r>
      <w:r>
        <w:t xml:space="preserve"> </w:t>
      </w:r>
      <w:r>
        <w:t xml:space="preserve">modelling the multivariate sensor stream directly: vibration-based machine diagnostics [</w:t>
      </w:r>
      <w:hyperlink w:anchor="r-gearbox">
        <w:r>
          <w:rPr>
            <w:rStyle w:val="Hyperlink"/>
          </w:rPr>
          <w:t xml:space="preserve">27</w:t>
        </w:r>
      </w:hyperlink>
      <w:r>
        <w:t xml:space="preserve">, </w:t>
      </w:r>
      <w:hyperlink w:anchor="r-vibdecomp">
        <w:r>
          <w:rPr>
            <w:rStyle w:val="Hyperlink"/>
          </w:rPr>
          <w:t xml:space="preserve">28</w:t>
        </w:r>
      </w:hyperlink>
      <w:r>
        <w:t xml:space="preserve">],</w:t>
      </w:r>
      <w:r>
        <w:t xml:space="preserve"> </w:t>
      </w:r>
      <w:r>
        <w:t xml:space="preserve">structural-health monitoring of rotorcraft components [</w:t>
      </w:r>
      <w:hyperlink w:anchor="r-bolt">
        <w:r>
          <w:rPr>
            <w:rStyle w:val="Hyperlink"/>
          </w:rPr>
          <w:t xml:space="preserve">29</w:t>
        </w:r>
      </w:hyperlink>
      <w:r>
        <w:t xml:space="preserve">], and fault prediction in</w:t>
      </w:r>
      <w:r>
        <w:t xml:space="preserve"> </w:t>
      </w:r>
      <w:r>
        <w:t xml:space="preserve">rotorcraft flight controls [</w:t>
      </w:r>
      <w:hyperlink w:anchor="r-rotorcraft">
        <w:r>
          <w:rPr>
            <w:rStyle w:val="Hyperlink"/>
          </w:rPr>
          <w:t xml:space="preserve">30</w:t>
        </w:r>
      </w:hyperlink>
      <w:r>
        <w:t xml:space="preserve">]. LatAD generalises this applied line to unsupervised,</w:t>
      </w:r>
      <w:r>
        <w:t xml:space="preserve"> </w:t>
      </w:r>
      <w:r>
        <w:t xml:space="preserve">multimodal-latent anomaly detection.</w:t>
      </w:r>
    </w:p>
    <w:p>
      <w:pPr>
        <w:pStyle w:val="MDPI22heading2"/>
        <w:ind w:left="2608"/>
      </w:pPr>
      <w:r>
        <w:t xml:space="preserve">2.4  Benchmark datasets</w:t>
      </w:r>
    </w:p>
    <w:p>
      <w:pPr>
        <w:pStyle w:val="MDPI32textnoindent"/>
        <w:ind w:left="2608"/>
      </w:pPr>
      <w:r>
        <w:t xml:space="preserve">We evaluate on three real CPS attack testbeds. WADI [</w:t>
      </w:r>
      <w:hyperlink w:anchor="r-wadi">
        <w:r>
          <w:rPr>
            <w:rStyle w:val="Hyperlink"/>
          </w:rPr>
          <w:t xml:space="preserve">31</w:t>
        </w:r>
      </w:hyperlink>
      <w:r>
        <w:t xml:space="preserve">] is a 123-channel water-distribution testbed from iTrust, and SWaT [</w:t>
      </w:r>
      <w:hyperlink w:anchor="r-swat">
        <w:r>
          <w:rPr>
            <w:rStyle w:val="Hyperlink"/>
          </w:rPr>
          <w:t xml:space="preserve">32</w:t>
        </w:r>
      </w:hyperlink>
      <w:r>
        <w:t xml:space="preserve">] is its 51-channel water-treatment sibling; the two are the de facto standard multivariate CPS benchmarks and the primary targets of the evaluation critique above [</w:t>
      </w:r>
      <w:hyperlink w:anchor="r-kim">
        <w:r>
          <w:rPr>
            <w:rStyle w:val="Hyperlink"/>
          </w:rPr>
          <w:t xml:space="preserve">3</w:t>
        </w:r>
      </w:hyperlink>
      <w:r>
        <w:t xml:space="preserve">, </w:t>
      </w:r>
      <w:hyperlink w:anchor="r-wukeogh">
        <w:r>
          <w:rPr>
            <w:rStyle w:val="Hyperlink"/>
          </w:rPr>
          <w:t xml:space="preserve">5</w:t>
        </w:r>
      </w:hyperlink>
      <w:r>
        <w:t xml:space="preserve">]. HAI [</w:t>
      </w:r>
      <w:hyperlink w:anchor="r-hai">
        <w:r>
          <w:rPr>
            <w:rStyle w:val="Hyperlink"/>
          </w:rPr>
          <w:t xml:space="preserve">33</w:t>
        </w:r>
      </w:hyperlink>
      <w:r>
        <w:t xml:space="preserve">] is a 59-channel hardware-in-the-loop industrial control testbed spanning several coupled processes. All three carry real executed attacks and are strongly multimodal (BIC-optimal regime counts</w:t>
      </w:r>
      <w:r>
        <w:t xml:space="preserve"> </w:t>
      </w:r>
      <w:r>
        <w:rPr>
          <w:i/>
          <w:iCs/>
        </w:rPr>
        <w:t xml:space="preserve">K</w:t>
      </w:r>
      <w:r>
        <w:t xml:space="preserve">* ≥ 22; §3), so the difficulty-stratified results read directly against the MIIM structure of each dataset.</w:t>
      </w:r>
    </w:p>
    <w:p>
      <w:pPr>
        <w:pStyle w:val="MDPI21heading1"/>
        <w:ind w:left="2608"/>
      </w:pPr>
      <w:r>
        <w:t xml:space="preserve">3  The MIIM assumptions about CPS normal data</w:t>
      </w:r>
    </w:p>
    <w:p>
      <w:pPr>
        <w:pStyle w:val="MDPI32textnoindent"/>
        <w:ind w:left="2608"/>
      </w:pPr>
      <w:r>
        <w:t xml:space="preserve">We model the normal law of a CPS as a mixture over reachable operating regimes,</w:t>
      </w:r>
      <w:r>
        <w:t xml:space="preserve"> </w:t>
      </w:r>
      <m:oMath>
        <m:r>
          <m:t>p</m:t>
        </m:r>
        <m:r>
          <m:rPr>
            <m:sty m:val="p"/>
          </m:rPr>
          <m:t>(</m:t>
        </m:r>
        <m:r>
          <m:t>x</m:t>
        </m:r>
        <m:r>
          <m:rPr>
            <m:sty m:val="p"/>
          </m:rPr>
          <m:t>)</m:t>
        </m:r>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sSub>
          <m:e>
            <m:r>
              <m:t>p</m:t>
            </m:r>
          </m:e>
          <m:sub>
            <m:r>
              <m:t>k</m:t>
            </m:r>
          </m:sub>
        </m:sSub>
        <m:r>
          <m:rPr>
            <m:sty m:val="p"/>
          </m:rPr>
          <m:t>(</m:t>
        </m:r>
        <m:r>
          <m:t>x</m:t>
        </m:r>
        <m:r>
          <m:rPr>
            <m:sty m:val="p"/>
          </m:rPr>
          <m:t>)</m:t>
        </m:r>
      </m:oMath>
      <w:r>
        <w:t xml:space="preserve"> </w:t>
      </w:r>
      <w:r>
        <w:t xml:space="preserve">where each component</w:t>
      </w:r>
      <w:r>
        <w:t xml:space="preserve"> </w:t>
      </w:r>
      <m:oMath>
        <m:sSub>
          <m:e>
            <m:r>
              <m:t>p</m:t>
            </m:r>
          </m:e>
          <m:sub>
            <m:r>
              <m:t>k</m:t>
            </m:r>
          </m:sub>
        </m:sSub>
      </m:oMath>
      <w:r>
        <w:t xml:space="preserve"> </w:t>
      </w:r>
      <w:r>
        <w:t xml:space="preserve">is a bounded, oriented, curved patch of observation space. The ten</w:t>
      </w:r>
      <w:r>
        <w:t xml:space="preserve"> </w:t>
      </w:r>
      <w:r>
        <w:t xml:space="preserve">assumptions of Table 1 describe the qualitative structure of this mixture; each is grounded in a physical property</w:t>
      </w:r>
      <w:r>
        <w:t xml:space="preserve"> </w:t>
      </w:r>
      <w:r>
        <w:t xml:space="preserve">of CPS operation and each motivates a specific design choice in the detector of §4. We call the resulting</w:t>
      </w:r>
      <w:r>
        <w:t xml:space="preserve"> </w:t>
      </w:r>
      <w:r>
        <w:t xml:space="preserve">property</w:t>
      </w:r>
      <w:r>
        <w:t xml:space="preserve"> </w:t>
      </w:r>
      <w:r>
        <w:rPr>
          <w:i/>
          <w:iCs/>
        </w:rPr>
        <w:t xml:space="preserve">MIIM</w:t>
      </w:r>
      <w:r>
        <w:t xml:space="preserve">: the sample is</w:t>
      </w:r>
      <w:r>
        <w:t xml:space="preserve"> </w:t>
      </w:r>
      <w:r>
        <w:rPr>
          <w:b/>
          <w:bCs/>
        </w:rPr>
        <w:t xml:space="preserve">M</w:t>
      </w:r>
      <w:r>
        <w:t xml:space="preserve">assive, the regime structure is</w:t>
      </w:r>
      <w:r>
        <w:t xml:space="preserve"> </w:t>
      </w:r>
      <w:r>
        <w:rPr>
          <w:b/>
          <w:bCs/>
        </w:rPr>
        <w:t xml:space="preserve">I</w:t>
      </w:r>
      <w:r>
        <w:t xml:space="preserve">mplicit</w:t>
      </w:r>
      <w:r>
        <w:t xml:space="preserve"> </w:t>
      </w:r>
      <w:r>
        <w:t xml:space="preserve">(unlabelled and only approximately recoverable), the regime occupancy is</w:t>
      </w:r>
      <w:r>
        <w:t xml:space="preserve"> </w:t>
      </w:r>
      <w:r>
        <w:rPr>
          <w:b/>
          <w:bCs/>
        </w:rPr>
        <w:t xml:space="preserve">I</w:t>
      </w:r>
      <w:r>
        <w:t xml:space="preserve">mbalanced, and normal</w:t>
      </w:r>
      <w:r>
        <w:t xml:space="preserve"> </w:t>
      </w:r>
      <w:r>
        <w:t xml:space="preserve">is</w:t>
      </w:r>
      <w:r>
        <w:t xml:space="preserve"> </w:t>
      </w:r>
      <w:r>
        <w:rPr>
          <w:b/>
          <w:bCs/>
        </w:rPr>
        <w:t xml:space="preserve">M</w:t>
      </w:r>
      <w:r>
        <w:t xml:space="preserve">ultimodal.</w:t>
      </w:r>
    </w:p>
    <w:p>
      <w:pPr>
        <w:pStyle w:val="MDPI41tablecaption"/>
        <w:ind w:left="2608"/>
      </w:pPr>
      <w:r>
        <w:rPr>
          <w:b/>
          <w:bCs/>
        </w:rPr>
        <w:t xml:space="preserve">Table 1.</w:t>
      </w:r>
      <w:r>
        <w:t xml:space="preserve"> </w:t>
      </w:r>
      <w:r>
        <w:t xml:space="preserve">The ten CPS normal-data assumptions, their physical origin, and the detector</w:t>
      </w:r>
      <w:r>
        <w:t xml:space="preserve"> </w:t>
      </w:r>
      <w:r>
        <w:t xml:space="preserve">design choice each motivates. A1–A8 shape the instantaneous window; A9–A10 shape the trajectory.</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495"/>
        <w:gridCol w:w="1841"/>
        <w:gridCol w:w="2986"/>
        <w:gridCol w:w="2536"/>
      </w:tblGrid>
      <w:tr>
        <w:trPr>
          <w:tblHeader w:val="on"/>
        </w:trPr>
        <w:tc>
          <w:tcPr>
            <w:tcBorders>
              <w:bottom w:val="single" w:sz="8" w:space="0" w:color="auto"/>
            </w:tcBorders>
            <w:vAlign w:val="center"/>
          </w:tcPr>
          <w:p>
            <w:pPr>
              <w:pStyle w:val="Compact"/>
              <w:suppressAutoHyphens/>
              <w:jc w:val="center"/>
            </w:pPr>
            <w:r>
              <w:rPr>
                <w:b/>
                <w:sz w:val="18"/>
                <w:szCs w:val="18"/>
              </w:rPr>
              <w:t xml:space="preserve">ID</w:t>
            </w:r>
          </w:p>
        </w:tc>
        <w:tc>
          <w:tcPr>
            <w:tcBorders>
              <w:bottom w:val="single" w:sz="8" w:space="0" w:color="auto"/>
            </w:tcBorders>
            <w:vAlign w:val="center"/>
          </w:tcPr>
          <w:p>
            <w:pPr>
              <w:pStyle w:val="Compact"/>
              <w:suppressAutoHyphens/>
              <w:jc w:val="center"/>
            </w:pPr>
            <w:r>
              <w:rPr>
                <w:b/>
                <w:sz w:val="18"/>
                <w:szCs w:val="18"/>
              </w:rPr>
              <w:t xml:space="preserve">Assumption</w:t>
            </w:r>
          </w:p>
        </w:tc>
        <w:tc>
          <w:tcPr>
            <w:tcBorders>
              <w:bottom w:val="single" w:sz="8" w:space="0" w:color="auto"/>
            </w:tcBorders>
            <w:vAlign w:val="center"/>
          </w:tcPr>
          <w:p>
            <w:pPr>
              <w:pStyle w:val="Compact"/>
              <w:suppressAutoHyphens/>
              <w:jc w:val="center"/>
            </w:pPr>
            <w:r>
              <w:rPr>
                <w:b/>
                <w:sz w:val="18"/>
                <w:szCs w:val="18"/>
              </w:rPr>
              <w:t xml:space="preserve">CPS rationale</w:t>
            </w:r>
          </w:p>
        </w:tc>
        <w:tc>
          <w:tcPr>
            <w:tcBorders>
              <w:bottom w:val="single" w:sz="8" w:space="0" w:color="auto"/>
            </w:tcBorders>
            <w:vAlign w:val="center"/>
          </w:tcPr>
          <w:p>
            <w:pPr>
              <w:pStyle w:val="Compact"/>
              <w:suppressAutoHyphens/>
              <w:jc w:val="center"/>
            </w:pPr>
            <w:r>
              <w:rPr>
                <w:b/>
                <w:sz w:val="18"/>
                <w:szCs w:val="18"/>
              </w:rPr>
              <w:t xml:space="preserve">Motivates (design choice)</w:t>
            </w:r>
          </w:p>
        </w:tc>
      </w:tr>
      <w:tr>
        <w:tc>
          <w:tcPr>
            <w:vAlign w:val="center"/>
          </w:tcPr>
          <w:p>
            <w:pPr>
              <w:pStyle w:val="Compact"/>
              <w:suppressAutoHyphens/>
              <w:jc w:val="center"/>
            </w:pPr>
            <w:r>
              <w:rPr>
                <w:b/>
                <w:bCs/>
                <w:sz w:val="18"/>
                <w:szCs w:val="18"/>
              </w:rPr>
              <w:t xml:space="preserve">A1</w:t>
            </w:r>
          </w:p>
        </w:tc>
        <w:tc>
          <w:tcPr>
            <w:vAlign w:val="center"/>
          </w:tcPr>
          <w:p>
            <w:pPr>
              <w:pStyle w:val="Compact"/>
              <w:suppressAutoHyphens/>
              <w:jc w:val="center"/>
            </w:pPr>
            <w:r>
              <w:rPr>
                <w:b/>
                <w:bCs/>
                <w:sz w:val="18"/>
                <w:szCs w:val="18"/>
              </w:rPr>
              <w:t xml:space="preserve">Regime mixture</w:t>
            </w:r>
            <w:r>
              <w:rPr>
                <w:sz w:val="18"/>
                <w:szCs w:val="18"/>
              </w:rPr>
              <w:t xml:space="preserve"> </w:t>
            </w:r>
            <w:r>
              <w:rPr>
                <w:sz w:val="18"/>
                <w:szCs w:val="18"/>
              </w:rPr>
              <w:t xml:space="preserve">(multimodality)</w:t>
            </w:r>
          </w:p>
        </w:tc>
        <w:tc>
          <w:tcPr>
            <w:vAlign w:val="center"/>
          </w:tcPr>
          <w:p>
            <w:pPr>
              <w:pStyle w:val="Compact"/>
              <w:suppressAutoHyphens/>
              <w:jc w:val="center"/>
            </w:pPr>
            <w:r>
              <w:rPr>
                <w:sz w:val="18"/>
                <w:szCs w:val="18"/>
              </w:rPr>
              <w:t xml:space="preserve">A plant or vehicle cycles through discrete operating regimes (idle, cruise, load steps); normal is their union, not one blob.</w:t>
            </w:r>
          </w:p>
        </w:tc>
        <w:tc>
          <w:tcPr>
            <w:vAlign w:val="center"/>
          </w:tcPr>
          <w:p>
            <w:pPr>
              <w:pStyle w:val="Compact"/>
              <w:suppressAutoHyphens/>
              <w:jc w:val="center"/>
            </w:pPr>
            <w:r>
              <w:rPr>
                <w:sz w:val="18"/>
                <w:szCs w:val="18"/>
              </w:rPr>
              <w:t xml:space="preserve">Model normal as an explicit mixture, not a global density: the latent GMM prior of VaDE.</w:t>
            </w:r>
          </w:p>
        </w:tc>
      </w:tr>
      <w:tr>
        <w:tc>
          <w:tcPr>
            <w:vAlign w:val="center"/>
          </w:tcPr>
          <w:p>
            <w:pPr>
              <w:pStyle w:val="Compact"/>
              <w:suppressAutoHyphens/>
              <w:jc w:val="center"/>
            </w:pPr>
            <w:r>
              <w:rPr>
                <w:b/>
                <w:bCs/>
                <w:sz w:val="18"/>
                <w:szCs w:val="18"/>
              </w:rPr>
              <w:t xml:space="preserve">A2</w:t>
            </w:r>
          </w:p>
        </w:tc>
        <w:tc>
          <w:tcPr>
            <w:vAlign w:val="center"/>
          </w:tcPr>
          <w:p>
            <w:pPr>
              <w:pStyle w:val="Compact"/>
              <w:suppressAutoHyphens/>
              <w:jc w:val="center"/>
            </w:pPr>
            <w:r>
              <w:rPr>
                <w:b/>
                <w:bCs/>
                <w:sz w:val="18"/>
                <w:szCs w:val="18"/>
              </w:rPr>
              <w:t xml:space="preserve">Regime explosion</w:t>
            </w:r>
            <w:r>
              <w:rPr>
                <w:sz w:val="18"/>
                <w:szCs w:val="18"/>
              </w:rPr>
              <w:t xml:space="preserve"> </w:t>
            </w:r>
            <w:r>
              <w:rPr>
                <w:sz w:val="18"/>
                <w:szCs w:val="18"/>
              </w:rPr>
              <w:t xml:space="preserve">(exponential regime growth)</w:t>
            </w:r>
          </w:p>
        </w:tc>
        <w:tc>
          <w:tcPr>
            <w:vAlign w:val="center"/>
          </w:tcPr>
          <w:p>
            <w:pPr>
              <w:pStyle w:val="Compact"/>
              <w:suppressAutoHyphens/>
              <w:jc w:val="center"/>
            </w:pPr>
            <w:r>
              <w:rPr>
                <w:sz w:val="18"/>
                <w:szCs w:val="18"/>
              </w:rPr>
              <w:t xml:space="preserve">A CPS is built from many interacting subsystems; each added element multiplies reachable regimes, so regime count grows with complexity.</w:t>
            </w:r>
          </w:p>
        </w:tc>
        <w:tc>
          <w:tcPr>
            <w:vAlign w:val="center"/>
          </w:tcPr>
          <w:p>
            <w:pPr>
              <w:pStyle w:val="Compact"/>
              <w:suppressAutoHyphens/>
              <w:jc w:val="center"/>
            </w:pPr>
            <w:r>
              <w:rPr>
                <w:sz w:val="18"/>
                <w:szCs w:val="18"/>
              </w:rPr>
              <w:t xml:space="preserve">Use a high number of components</w:t>
            </w:r>
            <w:r>
              <w:rPr>
                <w:sz w:val="18"/>
                <w:szCs w:val="18"/>
              </w:rPr>
              <w:t xml:space="preserve"> </w:t>
            </w:r>
            <w:r>
              <w:rPr>
                <w:i/>
                <w:iCs/>
                <w:sz w:val="18"/>
                <w:szCs w:val="18"/>
              </w:rPr>
              <w:t xml:space="preserve">K</w:t>
            </w:r>
            <w:r>
              <w:rPr>
                <w:sz w:val="18"/>
                <w:szCs w:val="18"/>
              </w:rPr>
              <w:t xml:space="preserve"> </w:t>
            </w:r>
            <w:r>
              <w:rPr>
                <w:sz w:val="18"/>
                <w:szCs w:val="18"/>
              </w:rPr>
              <w:t xml:space="preserve">(and a high-</w:t>
            </w:r>
            <w:r>
              <w:rPr>
                <w:i/>
                <w:iCs/>
                <w:sz w:val="18"/>
                <w:szCs w:val="18"/>
              </w:rPr>
              <w:t xml:space="preserve">K</w:t>
            </w:r>
            <w:r>
              <w:rPr>
                <w:sz w:val="18"/>
                <w:szCs w:val="18"/>
              </w:rPr>
              <w:t xml:space="preserve"> </w:t>
            </w:r>
            <w:r>
              <w:rPr>
                <w:sz w:val="18"/>
                <w:szCs w:val="18"/>
              </w:rPr>
              <w:t xml:space="preserve">density head) rather than a handful.</w:t>
            </w:r>
          </w:p>
        </w:tc>
      </w:tr>
      <w:tr>
        <w:tc>
          <w:tcPr>
            <w:vAlign w:val="center"/>
          </w:tcPr>
          <w:p>
            <w:pPr>
              <w:pStyle w:val="Compact"/>
              <w:suppressAutoHyphens/>
              <w:jc w:val="center"/>
            </w:pPr>
            <w:r>
              <w:rPr>
                <w:b/>
                <w:bCs/>
                <w:sz w:val="18"/>
                <w:szCs w:val="18"/>
              </w:rPr>
              <w:t xml:space="preserve">A3</w:t>
            </w:r>
          </w:p>
        </w:tc>
        <w:tc>
          <w:tcPr>
            <w:vAlign w:val="center"/>
          </w:tcPr>
          <w:p>
            <w:pPr>
              <w:pStyle w:val="Compact"/>
              <w:suppressAutoHyphens/>
              <w:jc w:val="center"/>
            </w:pPr>
            <w:r>
              <w:rPr>
                <w:b/>
                <w:bCs/>
                <w:sz w:val="18"/>
                <w:szCs w:val="18"/>
              </w:rPr>
              <w:t xml:space="preserve">Hard envelopes</w:t>
            </w:r>
            <w:r>
              <w:rPr>
                <w:sz w:val="18"/>
                <w:szCs w:val="18"/>
              </w:rPr>
              <w:t xml:space="preserve"> </w:t>
            </w:r>
            <w:r>
              <w:rPr>
                <w:sz w:val="18"/>
                <w:szCs w:val="18"/>
              </w:rPr>
              <w:t xml:space="preserve">(bounded regimes; thin between-regime pockets)</w:t>
            </w:r>
          </w:p>
        </w:tc>
        <w:tc>
          <w:tcPr>
            <w:vAlign w:val="center"/>
          </w:tcPr>
          <w:p>
            <w:pPr>
              <w:pStyle w:val="Compact"/>
              <w:suppressAutoHyphens/>
              <w:jc w:val="center"/>
            </w:pPr>
            <w:r>
              <w:rPr>
                <w:sz w:val="18"/>
                <w:szCs w:val="18"/>
              </w:rPr>
              <w:t xml:space="preserve">Controllers hold each regime within setpoint/actuator bands; the space between regimes is passed through, rarely dwelt in, leaving thin anomalous pockets.</w:t>
            </w:r>
          </w:p>
        </w:tc>
        <w:tc>
          <w:tcPr>
            <w:vAlign w:val="center"/>
          </w:tcPr>
          <w:p>
            <w:pPr>
              <w:pStyle w:val="Compact"/>
              <w:suppressAutoHyphens/>
              <w:jc w:val="center"/>
            </w:pPr>
            <w:r>
              <w:rPr>
                <w:sz w:val="18"/>
                <w:szCs w:val="18"/>
              </w:rPr>
              <w:t xml:space="preserve">A between-regime point must score anomalous even when every channel is in range: the basin-agreement head (v).</w:t>
            </w:r>
          </w:p>
        </w:tc>
      </w:tr>
      <w:tr>
        <w:tc>
          <w:tcPr>
            <w:vAlign w:val="center"/>
          </w:tcPr>
          <w:p>
            <w:pPr>
              <w:pStyle w:val="Compact"/>
              <w:suppressAutoHyphens/>
              <w:jc w:val="center"/>
            </w:pPr>
            <w:r>
              <w:rPr>
                <w:b/>
                <w:bCs/>
                <w:sz w:val="18"/>
                <w:szCs w:val="18"/>
              </w:rPr>
              <w:t xml:space="preserve">A4</w:t>
            </w:r>
          </w:p>
        </w:tc>
        <w:tc>
          <w:tcPr>
            <w:vAlign w:val="center"/>
          </w:tcPr>
          <w:p>
            <w:pPr>
              <w:pStyle w:val="Compact"/>
              <w:suppressAutoHyphens/>
              <w:jc w:val="center"/>
            </w:pPr>
            <w:r>
              <w:rPr>
                <w:b/>
                <w:bCs/>
                <w:sz w:val="18"/>
                <w:szCs w:val="18"/>
              </w:rPr>
              <w:t xml:space="preserve">Thin fringes</w:t>
            </w:r>
            <w:r>
              <w:rPr>
                <w:sz w:val="18"/>
                <w:szCs w:val="18"/>
              </w:rPr>
              <w:t xml:space="preserve"> </w:t>
            </w:r>
            <w:r>
              <w:rPr>
                <w:sz w:val="18"/>
                <w:szCs w:val="18"/>
              </w:rPr>
              <w:t xml:space="preserve">(intra-regime sparsity)</w:t>
            </w:r>
          </w:p>
        </w:tc>
        <w:tc>
          <w:tcPr>
            <w:vAlign w:val="center"/>
          </w:tcPr>
          <w:p>
            <w:pPr>
              <w:pStyle w:val="Compact"/>
              <w:suppressAutoHyphens/>
              <w:jc w:val="center"/>
            </w:pPr>
            <w:r>
              <w:rPr>
                <w:sz w:val="18"/>
                <w:szCs w:val="18"/>
              </w:rPr>
              <w:t xml:space="preserve">Within a regime the system dwells near a typical operating point and reaches the edges only occasionally; each regime holds legitimate low-density regions near its boundary.</w:t>
            </w:r>
          </w:p>
        </w:tc>
        <w:tc>
          <w:tcPr>
            <w:vAlign w:val="center"/>
          </w:tcPr>
          <w:p>
            <w:pPr>
              <w:pStyle w:val="Compact"/>
              <w:suppressAutoHyphens/>
              <w:jc w:val="center"/>
            </w:pPr>
            <w:r>
              <w:rPr>
                <w:sz w:val="18"/>
                <w:szCs w:val="18"/>
              </w:rPr>
              <w:t xml:space="preserve">Density inside a regime is non-Gaussian → a parametric high-</w:t>
            </w:r>
            <w:r>
              <w:rPr>
                <w:i/>
                <w:iCs/>
                <w:sz w:val="18"/>
                <w:szCs w:val="18"/>
              </w:rPr>
              <w:t xml:space="preserve">K</w:t>
            </w:r>
            <w:r>
              <w:rPr>
                <w:sz w:val="18"/>
                <w:szCs w:val="18"/>
              </w:rPr>
              <w:t xml:space="preserve"> </w:t>
            </w:r>
            <w:r>
              <w:rPr>
                <w:sz w:val="18"/>
                <w:szCs w:val="18"/>
              </w:rPr>
              <w:t xml:space="preserve">mixture density head, not one Gaussian per regime.</w:t>
            </w:r>
          </w:p>
        </w:tc>
      </w:tr>
      <w:tr>
        <w:tc>
          <w:tcPr>
            <w:vAlign w:val="center"/>
          </w:tcPr>
          <w:p>
            <w:pPr>
              <w:pStyle w:val="Compact"/>
              <w:suppressAutoHyphens/>
              <w:jc w:val="center"/>
            </w:pPr>
            <w:r>
              <w:rPr>
                <w:b/>
                <w:bCs/>
                <w:sz w:val="18"/>
                <w:szCs w:val="18"/>
              </w:rPr>
              <w:t xml:space="preserve">A5</w:t>
            </w:r>
          </w:p>
        </w:tc>
        <w:tc>
          <w:tcPr>
            <w:vAlign w:val="center"/>
          </w:tcPr>
          <w:p>
            <w:pPr>
              <w:pStyle w:val="Compact"/>
              <w:suppressAutoHyphens/>
              <w:jc w:val="center"/>
            </w:pPr>
            <w:r>
              <w:rPr>
                <w:b/>
                <w:bCs/>
                <w:sz w:val="18"/>
                <w:szCs w:val="18"/>
              </w:rPr>
              <w:t xml:space="preserve">Few levers</w:t>
            </w:r>
            <w:r>
              <w:rPr>
                <w:sz w:val="18"/>
                <w:szCs w:val="18"/>
              </w:rPr>
              <w:t xml:space="preserve"> </w:t>
            </w:r>
            <w:r>
              <w:rPr>
                <w:sz w:val="18"/>
                <w:szCs w:val="18"/>
              </w:rPr>
              <w:t xml:space="preserve">(low intrinsic dimension)</w:t>
            </w:r>
          </w:p>
        </w:tc>
        <w:tc>
          <w:tcPr>
            <w:vAlign w:val="center"/>
          </w:tcPr>
          <w:p>
            <w:pPr>
              <w:pStyle w:val="Compact"/>
              <w:suppressAutoHyphens/>
              <w:jc w:val="center"/>
            </w:pPr>
            <w:r>
              <w:rPr>
                <w:sz w:val="18"/>
                <w:szCs w:val="18"/>
              </w:rPr>
              <w:t xml:space="preserve">The independent control variables are far fewer than the observed channels; the rest follow deterministically or probabilistically.</w:t>
            </w:r>
          </w:p>
        </w:tc>
        <w:tc>
          <w:tcPr>
            <w:vAlign w:val="center"/>
          </w:tcPr>
          <w:p>
            <w:pPr>
              <w:pStyle w:val="Compact"/>
              <w:suppressAutoHyphens/>
              <w:jc w:val="center"/>
            </w:pPr>
            <w:r>
              <w:rPr>
                <w:sz w:val="18"/>
                <w:szCs w:val="18"/>
              </w:rPr>
              <w:t xml:space="preserve">A low-dimensional learned latent (dim 6–16 across datasets) suffices; faults appear as departures within that latent.</w:t>
            </w:r>
          </w:p>
        </w:tc>
      </w:tr>
      <w:tr>
        <w:tc>
          <w:tcPr>
            <w:vAlign w:val="center"/>
          </w:tcPr>
          <w:p>
            <w:pPr>
              <w:pStyle w:val="Compact"/>
              <w:suppressAutoHyphens/>
              <w:jc w:val="center"/>
            </w:pPr>
            <w:r>
              <w:rPr>
                <w:b/>
                <w:bCs/>
                <w:sz w:val="18"/>
                <w:szCs w:val="18"/>
              </w:rPr>
              <w:t xml:space="preserve">A6</w:t>
            </w:r>
          </w:p>
        </w:tc>
        <w:tc>
          <w:tcPr>
            <w:vAlign w:val="center"/>
          </w:tcPr>
          <w:p>
            <w:pPr>
              <w:pStyle w:val="Compact"/>
              <w:suppressAutoHyphens/>
              <w:jc w:val="center"/>
            </w:pPr>
            <w:r>
              <w:rPr>
                <w:b/>
                <w:bCs/>
                <w:sz w:val="18"/>
                <w:szCs w:val="18"/>
              </w:rPr>
              <w:t xml:space="preserve">Heavy tail</w:t>
            </w:r>
            <w:r>
              <w:rPr>
                <w:sz w:val="18"/>
                <w:szCs w:val="18"/>
              </w:rPr>
              <w:t xml:space="preserve"> </w:t>
            </w:r>
            <w:r>
              <w:rPr>
                <w:sz w:val="18"/>
                <w:szCs w:val="18"/>
              </w:rPr>
              <w:t xml:space="preserve">(Zipf imbalance)</w:t>
            </w:r>
          </w:p>
        </w:tc>
        <w:tc>
          <w:tcPr>
            <w:vAlign w:val="center"/>
          </w:tcPr>
          <w:p>
            <w:pPr>
              <w:pStyle w:val="Compact"/>
              <w:suppressAutoHyphens/>
              <w:jc w:val="center"/>
            </w:pPr>
            <w:r>
              <w:rPr>
                <w:sz w:val="18"/>
                <w:szCs w:val="18"/>
              </w:rPr>
              <w:t xml:space="preserve">Machines spend most of the record in a few steady regimes; startup, shutdown and rare manoeuvres occupy little of it, so an infrequent-but-normal point is easily mistaken for a fault.</w:t>
            </w:r>
          </w:p>
        </w:tc>
        <w:tc>
          <w:tcPr>
            <w:vAlign w:val="center"/>
          </w:tcPr>
          <w:p>
            <w:pPr>
              <w:pStyle w:val="Compact"/>
              <w:suppressAutoHyphens/>
              <w:jc w:val="center"/>
            </w:pPr>
            <w:r>
              <w:rPr>
                <w:sz w:val="18"/>
                <w:szCs w:val="18"/>
              </w:rPr>
              <w:t xml:space="preserve">Score against the</w:t>
            </w:r>
            <w:r>
              <w:rPr>
                <w:sz w:val="18"/>
                <w:szCs w:val="18"/>
              </w:rPr>
              <w:t xml:space="preserve"> </w:t>
            </w:r>
            <w:r>
              <w:rPr>
                <w:i/>
                <w:iCs/>
                <w:sz w:val="18"/>
                <w:szCs w:val="18"/>
              </w:rPr>
              <w:t xml:space="preserve">nearest</w:t>
            </w:r>
            <w:r>
              <w:rPr>
                <w:sz w:val="18"/>
                <w:szCs w:val="18"/>
              </w:rPr>
              <w:t xml:space="preserve"> </w:t>
            </w:r>
            <w:r>
              <w:rPr>
                <w:sz w:val="18"/>
                <w:szCs w:val="18"/>
              </w:rPr>
              <w:t xml:space="preserve">component, never the π-weighted mixture, so a rare-but-valid regime is not penalised (iii).</w:t>
            </w:r>
          </w:p>
        </w:tc>
      </w:tr>
      <w:tr>
        <w:tc>
          <w:tcPr>
            <w:vAlign w:val="center"/>
          </w:tcPr>
          <w:p>
            <w:pPr>
              <w:pStyle w:val="Compact"/>
              <w:suppressAutoHyphens/>
              <w:jc w:val="center"/>
            </w:pPr>
            <w:r>
              <w:rPr>
                <w:b/>
                <w:bCs/>
                <w:sz w:val="18"/>
                <w:szCs w:val="18"/>
              </w:rPr>
              <w:t xml:space="preserve">A7</w:t>
            </w:r>
          </w:p>
        </w:tc>
        <w:tc>
          <w:tcPr>
            <w:vAlign w:val="center"/>
          </w:tcPr>
          <w:p>
            <w:pPr>
              <w:pStyle w:val="Compact"/>
              <w:suppressAutoHyphens/>
              <w:jc w:val="center"/>
            </w:pPr>
            <w:r>
              <w:rPr>
                <w:b/>
                <w:bCs/>
                <w:sz w:val="18"/>
                <w:szCs w:val="18"/>
              </w:rPr>
              <w:t xml:space="preserve">Hidden regimes</w:t>
            </w:r>
            <w:r>
              <w:rPr>
                <w:sz w:val="18"/>
                <w:szCs w:val="18"/>
              </w:rPr>
              <w:t xml:space="preserve"> </w:t>
            </w:r>
            <w:r>
              <w:rPr>
                <w:sz w:val="18"/>
                <w:szCs w:val="18"/>
              </w:rPr>
              <w:t xml:space="preserve">(latent, implicit regimes)</w:t>
            </w:r>
          </w:p>
        </w:tc>
        <w:tc>
          <w:tcPr>
            <w:vAlign w:val="center"/>
          </w:tcPr>
          <w:p>
            <w:pPr>
              <w:pStyle w:val="Compact"/>
              <w:suppressAutoHyphens/>
              <w:jc w:val="center"/>
            </w:pPr>
            <w:r>
              <w:rPr>
                <w:sz w:val="18"/>
                <w:szCs w:val="18"/>
              </w:rPr>
              <w:t xml:space="preserve">True regimes are an emergent artifact of coupling and are not logged; regimes must be discovered approximately from raw streams.</w:t>
            </w:r>
          </w:p>
        </w:tc>
        <w:tc>
          <w:tcPr>
            <w:vAlign w:val="center"/>
          </w:tcPr>
          <w:p>
            <w:pPr>
              <w:pStyle w:val="Compact"/>
              <w:suppressAutoHyphens/>
              <w:jc w:val="center"/>
            </w:pPr>
            <w:r>
              <w:rPr>
                <w:sz w:val="18"/>
                <w:szCs w:val="18"/>
              </w:rPr>
              <w:t xml:space="preserve">Discover regimes jointly with the representation (VaDE), unsupervised; never use regime labels.</w:t>
            </w:r>
          </w:p>
        </w:tc>
      </w:tr>
      <w:tr>
        <w:tc>
          <w:tcPr>
            <w:vAlign w:val="center"/>
          </w:tcPr>
          <w:p>
            <w:pPr>
              <w:pStyle w:val="Compact"/>
              <w:suppressAutoHyphens/>
              <w:jc w:val="center"/>
            </w:pPr>
            <w:r>
              <w:rPr>
                <w:b/>
                <w:bCs/>
                <w:sz w:val="18"/>
                <w:szCs w:val="18"/>
              </w:rPr>
              <w:t xml:space="preserve">A8</w:t>
            </w:r>
          </w:p>
        </w:tc>
        <w:tc>
          <w:tcPr>
            <w:vAlign w:val="center"/>
          </w:tcPr>
          <w:p>
            <w:pPr>
              <w:pStyle w:val="Compact"/>
              <w:suppressAutoHyphens/>
              <w:jc w:val="center"/>
            </w:pPr>
            <w:r>
              <w:rPr>
                <w:b/>
                <w:bCs/>
                <w:sz w:val="18"/>
                <w:szCs w:val="18"/>
              </w:rPr>
              <w:t xml:space="preserve">Mixed signals</w:t>
            </w:r>
            <w:r>
              <w:rPr>
                <w:sz w:val="18"/>
                <w:szCs w:val="18"/>
              </w:rPr>
              <w:t xml:space="preserve"> </w:t>
            </w:r>
            <w:r>
              <w:rPr>
                <w:sz w:val="18"/>
                <w:szCs w:val="18"/>
              </w:rPr>
              <w:t xml:space="preserve">(heterogeneous, typed channels)</w:t>
            </w:r>
          </w:p>
        </w:tc>
        <w:tc>
          <w:tcPr>
            <w:vAlign w:val="center"/>
          </w:tcPr>
          <w:p>
            <w:pPr>
              <w:pStyle w:val="Compact"/>
              <w:suppressAutoHyphens/>
              <w:jc w:val="center"/>
            </w:pPr>
            <w:r>
              <w:rPr>
                <w:sz w:val="18"/>
                <w:szCs w:val="18"/>
              </w:rPr>
              <w:t xml:space="preserve">The bus carries sensors, actuators, discrete states and setpoints, each with its own range, resolution and correlated noise.</w:t>
            </w:r>
          </w:p>
        </w:tc>
        <w:tc>
          <w:tcPr>
            <w:vAlign w:val="center"/>
          </w:tcPr>
          <w:p>
            <w:pPr>
              <w:pStyle w:val="Compact"/>
              <w:suppressAutoHyphens/>
              <w:jc w:val="center"/>
            </w:pPr>
            <w:r>
              <w:rPr>
                <w:sz w:val="18"/>
                <w:szCs w:val="18"/>
              </w:rPr>
              <w:t xml:space="preserve">Per-feature standardisation on train-normal; a whitened (Mahalanobis) residual that respects per-channel scale and cross-channel correlation (iv).</w:t>
            </w:r>
          </w:p>
        </w:tc>
      </w:tr>
      <w:tr>
        <w:tc>
          <w:tcPr>
            <w:vAlign w:val="center"/>
          </w:tcPr>
          <w:p>
            <w:pPr>
              <w:pStyle w:val="Compact"/>
              <w:suppressAutoHyphens/>
              <w:jc w:val="center"/>
            </w:pPr>
            <w:r>
              <w:rPr>
                <w:b/>
                <w:bCs/>
                <w:sz w:val="18"/>
                <w:szCs w:val="18"/>
              </w:rPr>
              <w:t xml:space="preserve">A9</w:t>
            </w:r>
          </w:p>
        </w:tc>
        <w:tc>
          <w:tcPr>
            <w:vAlign w:val="center"/>
          </w:tcPr>
          <w:p>
            <w:pPr>
              <w:pStyle w:val="Compact"/>
              <w:suppressAutoHyphens/>
              <w:jc w:val="center"/>
            </w:pPr>
            <w:r>
              <w:rPr>
                <w:b/>
                <w:bCs/>
                <w:sz w:val="18"/>
                <w:szCs w:val="18"/>
              </w:rPr>
              <w:t xml:space="preserve">Many clocks</w:t>
            </w:r>
            <w:r>
              <w:rPr>
                <w:sz w:val="18"/>
                <w:szCs w:val="18"/>
              </w:rPr>
              <w:t xml:space="preserve"> </w:t>
            </w:r>
            <w:r>
              <w:rPr>
                <w:sz w:val="18"/>
                <w:szCs w:val="18"/>
              </w:rPr>
              <w:t xml:space="preserve">(multiscale dynamics)</w:t>
            </w:r>
          </w:p>
        </w:tc>
        <w:tc>
          <w:tcPr>
            <w:vAlign w:val="center"/>
          </w:tcPr>
          <w:p>
            <w:pPr>
              <w:pStyle w:val="Compact"/>
              <w:suppressAutoHyphens/>
              <w:jc w:val="center"/>
            </w:pPr>
            <w:r>
              <w:rPr>
                <w:sz w:val="18"/>
                <w:szCs w:val="18"/>
              </w:rPr>
              <w:t xml:space="preserve">Physical inertia sets per-channel time constants (thermal slow, electrical fast); only some regime→regime transitions are legal, each with a characteristic dwell.</w:t>
            </w:r>
          </w:p>
        </w:tc>
        <w:tc>
          <w:tcPr>
            <w:vAlign w:val="center"/>
          </w:tcPr>
          <w:p>
            <w:pPr>
              <w:pStyle w:val="Compact"/>
              <w:suppressAutoHyphens/>
              <w:jc w:val="center"/>
            </w:pPr>
            <w:r>
              <w:rPr>
                <w:sz w:val="18"/>
                <w:szCs w:val="18"/>
              </w:rPr>
              <w:t xml:space="preserve">Fixed-length windows with per-channel statistics as features; motivates (but, empirically, does not require) explicit temporal features.</w:t>
            </w:r>
          </w:p>
        </w:tc>
      </w:tr>
      <w:tr>
        <w:tc>
          <w:tcPr>
            <w:vAlign w:val="center"/>
          </w:tcPr>
          <w:p>
            <w:pPr>
              <w:pStyle w:val="Compact"/>
              <w:suppressAutoHyphens/>
              <w:jc w:val="center"/>
            </w:pPr>
            <w:r>
              <w:rPr>
                <w:b/>
                <w:bCs/>
                <w:sz w:val="18"/>
                <w:szCs w:val="18"/>
              </w:rPr>
              <w:t xml:space="preserve">A10</w:t>
            </w:r>
          </w:p>
        </w:tc>
        <w:tc>
          <w:tcPr>
            <w:vAlign w:val="center"/>
          </w:tcPr>
          <w:p>
            <w:pPr>
              <w:pStyle w:val="Compact"/>
              <w:suppressAutoHyphens/>
              <w:jc w:val="center"/>
            </w:pPr>
            <w:r>
              <w:rPr>
                <w:b/>
                <w:bCs/>
                <w:sz w:val="18"/>
                <w:szCs w:val="18"/>
              </w:rPr>
              <w:t xml:space="preserve">Path dependence</w:t>
            </w:r>
            <w:r>
              <w:rPr>
                <w:sz w:val="18"/>
                <w:szCs w:val="18"/>
              </w:rPr>
              <w:t xml:space="preserve"> </w:t>
            </w:r>
            <w:r>
              <w:rPr>
                <w:sz w:val="18"/>
                <w:szCs w:val="18"/>
              </w:rPr>
              <w:t xml:space="preserve">(history-conditioned normality)</w:t>
            </w:r>
          </w:p>
        </w:tc>
        <w:tc>
          <w:tcPr>
            <w:vAlign w:val="center"/>
          </w:tcPr>
          <w:p>
            <w:pPr>
              <w:pStyle w:val="Compact"/>
              <w:suppressAutoHyphens/>
              <w:jc w:val="center"/>
            </w:pPr>
            <w:r>
              <w:rPr>
                <w:sz w:val="18"/>
                <w:szCs w:val="18"/>
              </w:rPr>
              <w:t xml:space="preserve">A fault is defined relative to operational history: the same instantaneous state can be normal or faulty depending on how the system arrived there.</w:t>
            </w:r>
          </w:p>
        </w:tc>
        <w:tc>
          <w:tcPr>
            <w:vAlign w:val="center"/>
          </w:tcPr>
          <w:p>
            <w:pPr>
              <w:pStyle w:val="Compact"/>
              <w:suppressAutoHyphens/>
              <w:jc w:val="center"/>
            </w:pPr>
            <w:r>
              <w:rPr>
                <w:sz w:val="18"/>
                <w:szCs w:val="18"/>
              </w:rPr>
              <w:t xml:space="preserve">In principle a trajectory branch; on these snapshot-detectable public benchmarks it is inert (see §7), so the reported model is window-only.</w:t>
            </w:r>
          </w:p>
        </w:tc>
      </w:tr>
    </w:tbl>
    <w:p>
      <w:pPr>
        <w:pStyle w:val="MDPI31text"/>
        <w:ind w:left="2608"/>
      </w:pPr>
      <w:r>
        <w:t xml:space="preserve">Two standing qualifiers apply throughout: the sample is</w:t>
      </w:r>
      <w:r>
        <w:t xml:space="preserve"> </w:t>
      </w:r>
      <w:r>
        <w:rPr>
          <w:b/>
          <w:bCs/>
        </w:rPr>
        <w:t xml:space="preserve">massive</w:t>
      </w:r>
      <w:r>
        <w:t xml:space="preserve"> </w:t>
      </w:r>
      <w:r>
        <w:t xml:space="preserve">(</w:t>
      </w:r>
      <m:oMath>
        <m:r>
          <m:t>N</m:t>
        </m:r>
      </m:oMath>
      <w:r>
        <w:t xml:space="preserve"> </w:t>
      </w:r>
      <w:r>
        <w:t xml:space="preserve">large) and the mixture is</w:t>
      </w:r>
      <w:r>
        <w:t xml:space="preserve"> </w:t>
      </w:r>
      <w:r>
        <w:t xml:space="preserve">approximately</w:t>
      </w:r>
      <w:r>
        <w:t xml:space="preserve"> </w:t>
      </w:r>
      <w:r>
        <w:rPr>
          <w:b/>
          <w:bCs/>
        </w:rPr>
        <w:t xml:space="preserve">stationary</w:t>
      </w:r>
      <w:r>
        <w:t xml:space="preserve"> </w:t>
      </w:r>
      <w:r>
        <w:t xml:space="preserve">within a run. An exploratory analysis of the three datasets (§5)</w:t>
      </w:r>
      <w:r>
        <w:t xml:space="preserve"> </w:t>
      </w:r>
      <w:r>
        <w:t xml:space="preserve">confirms that the MIIM structure is present but</w:t>
      </w:r>
      <w:r>
        <w:t xml:space="preserve"> </w:t>
      </w:r>
      <w:r>
        <w:rPr>
          <w:i/>
          <w:iCs/>
        </w:rPr>
        <w:t xml:space="preserve">implicit</w:t>
      </w:r>
      <w:r>
        <w:t xml:space="preserve"> </w:t>
      </w:r>
      <w:r>
        <w:t xml:space="preserve">(A7): cluster sizes are heavy-tailed and</w:t>
      </w:r>
      <w:r>
        <w:t xml:space="preserve"> </w:t>
      </w:r>
      <w:r>
        <w:t xml:space="preserve">Bayesian-information-criterion (BIC) regime counts keep improving past several dozen components on HAI and WADI,</w:t>
      </w:r>
      <w:r>
        <w:t xml:space="preserve"> </w:t>
      </w:r>
      <w:r>
        <w:t xml:space="preserve">yet the regimes overlap (silhouette 0.08–0.19) rather than separating crisply. This is precisely the regime</w:t>
      </w:r>
      <w:r>
        <w:t xml:space="preserve"> </w:t>
      </w:r>
      <w:r>
        <w:t xml:space="preserve">in which a jointly learned latent, scored in the latent by a mixture density, pays off, and in which a global</w:t>
      </w:r>
      <w:r>
        <w:t xml:space="preserve"> </w:t>
      </w:r>
      <w:r>
        <w:t xml:space="preserve">detector or a raw reconstruction residual does not.</w:t>
      </w:r>
    </w:p>
    <w:p>
      <w:pPr>
        <w:pStyle w:val="MDPI21heading1"/>
        <w:ind w:left="2608"/>
      </w:pPr>
      <w:r>
        <w:t xml:space="preserve">4  Method</w:t>
      </w:r>
    </w:p>
    <w:p>
      <w:pPr>
        <w:pStyle w:val="MDPI32textnoindent"/>
        <w:ind w:left="2608"/>
      </w:pPr>
      <w:r>
        <w:t xml:space="preserve">The main model is</w:t>
      </w:r>
      <w:r>
        <w:t xml:space="preserve"> </w:t>
      </w:r>
      <w:r>
        <w:rPr>
          <w:b/>
          <w:bCs/>
        </w:rPr>
        <w:t xml:space="preserve">VaDE‑hard+resid(auto)</w:t>
      </w:r>
      <w:r>
        <w:t xml:space="preserve">. It has a representation stage (a VaDE that</w:t>
      </w:r>
      <w:r>
        <w:t xml:space="preserve"> </w:t>
      </w:r>
      <w:r>
        <w:t xml:space="preserve">jointly learns a latent and a Gaussian-mixture prior) and a scoring stage (a stack of heads computed in the</w:t>
      </w:r>
      <w:r>
        <w:t xml:space="preserve"> </w:t>
      </w:r>
      <w:r>
        <w:t xml:space="preserve">latent, all calibrated on train-normal). We describe each in turn.</w:t>
      </w:r>
    </w:p>
    <w:p>
      <w:pPr>
        <w:pStyle w:val="MDPI31text"/>
        <w:ind w:left="2608"/>
      </w:pPr>
      <w:r>
        <w:t xml:space="preserve">The reported detector operationalizes assumptions A1–A8. The mixture representation (A1, A7), the high-</w:t>
      </w:r>
      <w:r>
        <w:rPr>
          <w:i/>
          <w:iCs/>
        </w:rPr>
        <w:t xml:space="preserve">K</w:t>
      </w:r>
      <w:r>
        <w:t xml:space="preserve"> </w:t>
      </w:r>
      <w:r>
        <w:t xml:space="preserve">density head (A2, A4), the low-dimensional latent (A5), the nearest-component score (A6) and per-feature</w:t>
      </w:r>
      <w:r>
        <w:t xml:space="preserve"> </w:t>
      </w:r>
      <w:r>
        <w:t xml:space="preserve">standardisation (A8) are always active; the whitened-residual head (A8) and the basin-agreement head (A3) are</w:t>
      </w:r>
      <w:r>
        <w:t xml:space="preserve"> </w:t>
      </w:r>
      <w:r>
        <w:rPr>
          <w:i/>
          <w:iCs/>
        </w:rPr>
        <w:t xml:space="preserve">auto-gated</w:t>
      </w:r>
      <w:r>
        <w:t xml:space="preserve"> </w:t>
      </w:r>
      <w:r>
        <w:t xml:space="preserve">on train-normal signals and switch on only where a dataset calls for them (the residual on HAI,</w:t>
      </w:r>
      <w:r>
        <w:t xml:space="preserve"> </w:t>
      </w:r>
      <w:r>
        <w:t xml:space="preserve">the basin where regimes overlap), so an inapplicable head cannot backfire. This work therefore demonstrates a</w:t>
      </w:r>
      <w:r>
        <w:t xml:space="preserve"> </w:t>
      </w:r>
      <w:r>
        <w:t xml:space="preserve">detector that leverages the instantaneous-structure assumptions A1–A8, and shows they already deliver the</w:t>
      </w:r>
      <w:r>
        <w:t xml:space="preserve"> </w:t>
      </w:r>
      <w:r>
        <w:t xml:space="preserve">reported gains. Assumptions A9–A10 shape the trajectory rather than the window and are not exercised by these</w:t>
      </w:r>
      <w:r>
        <w:t xml:space="preserve"> </w:t>
      </w:r>
      <w:r>
        <w:t xml:space="preserve">snapshot-detectable public benchmarks; extending the detector to explicit multiscale-temporal features (A9) and</w:t>
      </w:r>
      <w:r>
        <w:t xml:space="preserve"> </w:t>
      </w:r>
      <w:r>
        <w:t xml:space="preserve">history-conditioned, path-dependent scoring (A10) is left to future work (§7).</w:t>
      </w:r>
    </w:p>
    <w:p>
      <w:pPr>
        <w:pStyle w:val="MDPI31text"/>
        <w:ind w:left="2608"/>
      </w:pPr>
      <w:r>
        <w:rPr>
          <w:b/>
          <w:bCs/>
        </w:rPr>
        <w:t xml:space="preserve">One realization of the assumptions.</w:t>
      </w:r>
      <w:r>
        <w:t xml:space="preserve"> </w:t>
      </w:r>
      <w:r>
        <w:t xml:space="preserve">A1–A10 specify</w:t>
      </w:r>
      <w:r>
        <w:t xml:space="preserve"> </w:t>
      </w:r>
      <w:r>
        <w:rPr>
          <w:i/>
          <w:iCs/>
        </w:rPr>
        <w:t xml:space="preserve">what</w:t>
      </w:r>
      <w:r>
        <w:t xml:space="preserve"> </w:t>
      </w:r>
      <w:r>
        <w:t xml:space="preserve">a model of CPS normal</w:t>
      </w:r>
      <w:r>
        <w:t xml:space="preserve"> </w:t>
      </w:r>
      <w:r>
        <w:t xml:space="preserve">must capture (a massive, implicit, imbalanced multimodal law with thin fringes and rare regimes), not</w:t>
      </w:r>
      <w:r>
        <w:t xml:space="preserve"> </w:t>
      </w:r>
      <w:r>
        <w:rPr>
          <w:i/>
          <w:iCs/>
        </w:rPr>
        <w:t xml:space="preserve">how</w:t>
      </w:r>
      <w:r>
        <w:t xml:space="preserve"> </w:t>
      </w:r>
      <w:r>
        <w:t xml:space="preserve">to implement it. The detector described below is one concrete realization, reported in full so that</w:t>
      </w:r>
      <w:r>
        <w:t xml:space="preserve"> </w:t>
      </w:r>
      <w:r>
        <w:t xml:space="preserve">each of its choices is auditable; but each choice is a point in a larger design space that the same assumptions</w:t>
      </w:r>
      <w:r>
        <w:t xml:space="preserve"> </w:t>
      </w:r>
      <w:r>
        <w:t xml:space="preserve">admit. Regime separation (A1, A7) is realized here by a jointly learned VaDE Gaussian mixture, yet the assumptions</w:t>
      </w:r>
      <w:r>
        <w:t xml:space="preserve"> </w:t>
      </w:r>
      <w:r>
        <w:t xml:space="preserve">equally admit correlation-structure clustering or other unsupervised partitioners. Intra-regime density (A2, A4) is</w:t>
      </w:r>
      <w:r>
        <w:t xml:space="preserve"> </w:t>
      </w:r>
      <w:r>
        <w:t xml:space="preserve">realized here by a single high-</w:t>
      </w:r>
      <w:r>
        <w:rPr>
          <w:i/>
          <w:iCs/>
        </w:rPr>
        <w:t xml:space="preserve">K</w:t>
      </w:r>
      <w:r>
        <w:t xml:space="preserve"> </w:t>
      </w:r>
      <w:r>
        <w:t xml:space="preserve">latent mixture, yet equally by non-parametric estimators or by ensembles</w:t>
      </w:r>
      <w:r>
        <w:t xml:space="preserve"> </w:t>
      </w:r>
      <w:r>
        <w:t xml:space="preserve">of lower-dimensional density models, which resist the dilution of a sparse joint fault in a high-dimensional</w:t>
      </w:r>
      <w:r>
        <w:t xml:space="preserve"> </w:t>
      </w:r>
      <w:r>
        <w:t xml:space="preserve">score. The cross-channel term (A8) is realized here by a whitened reconstruction residual, yet equally by explicit</w:t>
      </w:r>
      <w:r>
        <w:t xml:space="preserve"> </w:t>
      </w:r>
      <w:r>
        <w:t xml:space="preserve">factorised likelihoods over correlated channel groups. We therefore treat the MIIM assumptions, not any single</w:t>
      </w:r>
      <w:r>
        <w:t xml:space="preserve"> </w:t>
      </w:r>
      <w:r>
        <w:t xml:space="preserve">estimator, as the portable contribution: the model of §4 shows that the assumptions</w:t>
      </w:r>
      <w:r>
        <w:t xml:space="preserve"> </w:t>
      </w:r>
      <w:r>
        <w:rPr>
          <w:i/>
          <w:iCs/>
        </w:rPr>
        <w:t xml:space="preserve">can</w:t>
      </w:r>
      <w:r>
        <w:t xml:space="preserve"> </w:t>
      </w:r>
      <w:r>
        <w:t xml:space="preserve">be realized</w:t>
      </w:r>
      <w:r>
        <w:t xml:space="preserve"> </w:t>
      </w:r>
      <w:r>
        <w:t xml:space="preserve">and that doing so delivers the reported gains, and §7 returns to these alternative routes as future work.</w:t>
      </w:r>
    </w:p>
    <w:p>
      <w:pPr>
        <w:pStyle w:val="MDPI22heading2"/>
        <w:ind w:left="2608"/>
      </w:pPr>
      <w:r>
        <w:t xml:space="preserve">4.1  Representation: Variational Deep Embedding (VaDE)</w:t>
      </w:r>
    </w:p>
    <w:p>
      <w:pPr>
        <w:pStyle w:val="MDPI32textnoindent"/>
        <w:ind w:left="2608"/>
      </w:pPr>
      <w:r>
        <w:t xml:space="preserve">VaDE [</w:t>
      </w:r>
      <w:hyperlink w:anchor="r-vade">
        <w:r>
          <w:rPr>
            <w:rStyle w:val="Hyperlink"/>
          </w:rPr>
          <w:t xml:space="preserve">17</w:t>
        </w:r>
      </w:hyperlink>
      <w:r>
        <w:t xml:space="preserve">] is a variational autoencoder whose latent prior is a Gaussian mixture, so the</w:t>
      </w:r>
      <w:r>
        <w:t xml:space="preserve"> </w:t>
      </w:r>
      <w:r>
        <w:t xml:space="preserve">representation and the operating-regime clusters are learned</w:t>
      </w:r>
      <w:r>
        <w:t xml:space="preserve"> </w:t>
      </w:r>
      <w:r>
        <w:rPr>
          <w:i/>
          <w:iCs/>
        </w:rPr>
        <w:t xml:space="preserve">together</w:t>
      </w:r>
      <w:r>
        <w:t xml:space="preserve"> </w:t>
      </w:r>
      <w:r>
        <w:t xml:space="preserve">(A1, A7) rather than one after the</w:t>
      </w:r>
      <w:r>
        <w:t xml:space="preserve"> </w:t>
      </w:r>
      <w:r>
        <w:t xml:space="preserve">other. An encoder maps a window feature vector</w:t>
      </w:r>
      <w:r>
        <w:t xml:space="preserve"> </w:t>
      </w:r>
      <m:oMath>
        <m:r>
          <m:t>x</m:t>
        </m:r>
      </m:oMath>
      <w:r>
        <w:t xml:space="preserve"> </w:t>
      </w:r>
      <w:r>
        <w:t xml:space="preserve">to a latent Gaussian</w:t>
      </w:r>
      <w:r>
        <w:t xml:space="preserve"> </w:t>
      </w:r>
      <m:oMath>
        <m:r>
          <m:t>q</m:t>
        </m:r>
        <m:r>
          <m:rPr>
            <m:sty m:val="p"/>
          </m:rPr>
          <m:t>(</m:t>
        </m:r>
        <m:r>
          <m:t>z</m:t>
        </m:r>
        <m:r>
          <m:rPr>
            <m:sty m:val="p"/>
          </m:rPr>
          <m:t>∣</m:t>
        </m:r>
        <m:r>
          <m:t>x</m:t>
        </m:r>
        <m:r>
          <m:rPr>
            <m:sty m:val="p"/>
          </m:rPr>
          <m:t>)</m:t>
        </m:r>
        <m:r>
          <m:rPr>
            <m:sty m:val="p"/>
          </m:rPr>
          <m:t>=</m:t>
        </m:r>
        <m:r>
          <m:t>N</m:t>
        </m:r>
        <m:r>
          <m:rPr>
            <m:sty m:val="p"/>
          </m:rPr>
          <m:t>(</m:t>
        </m:r>
        <m:r>
          <m:t>μ</m:t>
        </m:r>
        <m:r>
          <m:rPr>
            <m:sty m:val="p"/>
          </m:rPr>
          <m:t>,</m:t>
        </m:r>
        <m:r>
          <m:rPr>
            <m:nor/>
            <m:sty m:val="p"/>
          </m:rPr>
          <m:t>diag</m:t>
        </m:r>
        <m:r>
          <m:t> </m:t>
        </m:r>
        <m:sSup>
          <m:e>
            <m:r>
              <m:t>σ</m:t>
            </m:r>
          </m:e>
          <m:sup>
            <m:r>
              <m:t>2</m:t>
            </m:r>
          </m:sup>
        </m:sSup>
        <m:r>
          <m:rPr>
            <m:sty m:val="p"/>
          </m:rPr>
          <m:t>)</m:t>
        </m:r>
      </m:oMath>
      <w:r>
        <w:t xml:space="preserve">; a decoder reconstructs</w:t>
      </w:r>
      <w:r>
        <w:t xml:space="preserve"> </w:t>
      </w:r>
      <m:oMath>
        <m:acc>
          <m:accPr>
            <m:chr m:val="̂"/>
          </m:accPr>
          <m:e>
            <m:r>
              <m:t>x</m:t>
            </m:r>
          </m:e>
        </m:acc>
      </m:oMath>
      <w:r>
        <w:t xml:space="preserve">; and the prior is</w:t>
      </w:r>
    </w:p>
    <w:p>
      <w:pPr>
        <w:pStyle w:val="MDPI39equation"/>
        <w:ind w:left="2608"/>
      </w:pPr>
      <m:oMathPara>
        <m:oMathParaPr>
          <m:jc m:val="center"/>
        </m:oMathParaPr>
        <m:oMath>
          <m:r>
            <m:t>p</m:t>
          </m:r>
          <m:r>
            <m:rPr>
              <m:sty m:val="p"/>
            </m:rPr>
            <m:t>(</m:t>
          </m:r>
          <m:r>
            <m:t>z</m:t>
          </m:r>
          <m:r>
            <m:rPr>
              <m:sty m:val="p"/>
            </m:rPr>
            <m:t>)</m:t>
          </m:r>
          <m:r>
            <m:rPr>
              <m:sty m:val="p"/>
            </m:rPr>
            <m:t>=</m:t>
          </m:r>
          <m:nary>
            <m:naryPr>
              <m:chr m:val="∑"/>
              <m:limLoc m:val="undOvr"/>
              <m:subHide m:val="off"/>
              <m:supHide m:val="off"/>
            </m:naryPr>
            <m:sub>
              <m:r>
                <m:t>c</m:t>
              </m:r>
              <m:r>
                <m:rPr>
                  <m:sty m:val="p"/>
                </m:rPr>
                <m:t>=</m:t>
              </m:r>
              <m:r>
                <m:t>1</m:t>
              </m:r>
            </m:sub>
            <m:sup>
              <m:r>
                <m:t>K</m:t>
              </m:r>
            </m:sup>
            <m:e>
              <m:sSub>
                <m:e>
                  <m:r>
                    <m:t>π</m:t>
                  </m:r>
                </m:e>
                <m:sub>
                  <m:r>
                    <m:t>c</m:t>
                  </m:r>
                </m:sub>
              </m:sSub>
            </m:e>
          </m:nary>
          <m:r>
            <m:t> </m:t>
          </m:r>
          <m:r>
            <m:t>N</m:t>
          </m:r>
          <m:r>
            <m:rPr>
              <m:sty m:val="p"/>
            </m:rPr>
            <m:t>(</m:t>
          </m:r>
          <m:r>
            <m:t>z</m:t>
          </m:r>
          <m:r>
            <m:rPr>
              <m:sty m:val="p"/>
            </m:rPr>
            <m:t>∣</m:t>
          </m:r>
          <m:sSub>
            <m:e>
              <m:r>
                <m:t>μ</m:t>
              </m:r>
            </m:e>
            <m:sub>
              <m:r>
                <m:t>c</m:t>
              </m:r>
            </m:sub>
          </m:sSub>
          <m:r>
            <m:rPr>
              <m:sty m:val="p"/>
            </m:rPr>
            <m:t>,</m:t>
          </m:r>
          <m:r>
            <m:rPr>
              <m:nor/>
              <m:sty m:val="p"/>
            </m:rPr>
            <m:t>diag</m:t>
          </m:r>
          <m:r>
            <m:t> </m:t>
          </m:r>
          <m:sSubSup>
            <m:e>
              <m:r>
                <m:t>σ</m:t>
              </m:r>
            </m:e>
            <m:sub>
              <m:r>
                <m:t>c</m:t>
              </m:r>
            </m:sub>
            <m:sup>
              <m:r>
                <m:t>2</m:t>
              </m:r>
            </m:sup>
          </m:sSubSup>
          <m:r>
            <m:rPr>
              <m:sty m:val="p"/>
            </m:rPr>
            <m:t>)</m:t>
          </m:r>
          <m:r>
            <m:rPr>
              <m:sty m:val="p"/>
            </m:rPr>
            <m:t>,</m:t>
          </m:r>
        </m:oMath>
      </m:oMathPara>
    </w:p>
    <w:p>
      <w:pPr>
        <w:pStyle w:val="MDPI32textnoindent"/>
        <w:ind w:left="2608"/>
      </w:pPr>
      <w:r>
        <w:t xml:space="preserve">with mixture parameters</w:t>
      </w:r>
      <w:r>
        <w:t xml:space="preserve"> </w:t>
      </w:r>
      <m:oMath>
        <m:d>
          <m:dPr>
            <m:begChr m:val="{"/>
            <m:sepChr m:val=""/>
            <m:endChr m:val="}"/>
            <m:grow/>
          </m:dPr>
          <m:e>
            <m:sSub>
              <m:e>
                <m:r>
                  <m:t>π</m:t>
                </m:r>
              </m:e>
              <m:sub>
                <m:r>
                  <m:t>c</m:t>
                </m:r>
              </m:sub>
            </m:sSub>
            <m:r>
              <m:rPr>
                <m:sty m:val="p"/>
              </m:rPr>
              <m:t>,</m:t>
            </m:r>
            <m:sSub>
              <m:e>
                <m:r>
                  <m:t>μ</m:t>
                </m:r>
              </m:e>
              <m:sub>
                <m:r>
                  <m:t>c</m:t>
                </m:r>
              </m:sub>
            </m:sSub>
            <m:r>
              <m:rPr>
                <m:sty m:val="p"/>
              </m:rPr>
              <m:t>,</m:t>
            </m:r>
            <m:sSub>
              <m:e>
                <m:r>
                  <m:t>σ</m:t>
                </m:r>
              </m:e>
              <m:sub>
                <m:r>
                  <m:t>c</m:t>
                </m:r>
              </m:sub>
            </m:sSub>
          </m:e>
        </m:d>
      </m:oMath>
      <w:r>
        <w:t xml:space="preserve"> </w:t>
      </w:r>
      <w:r>
        <w:t xml:space="preserve">learned jointly with the networks. The training</w:t>
      </w:r>
      <w:r>
        <w:t xml:space="preserve"> </w:t>
      </w:r>
      <w:r>
        <w:t xml:space="preserve">objective is the negative evidence lower bound; per window it is</w:t>
      </w:r>
    </w:p>
    <w:p>
      <w:pPr>
        <w:pStyle w:val="MDPI39equation"/>
        <w:ind w:left="2608"/>
      </w:pPr>
      <m:oMathPara>
        <m:oMathParaPr>
          <m:jc m:val="center"/>
        </m:oMathParaPr>
        <m:oMath>
          <m:r>
            <m:rPr>
              <m:scr m:val="script"/>
              <m:sty m:val="p"/>
            </m:rPr>
            <m:t>L</m:t>
          </m:r>
          <m:r>
            <m:rPr>
              <m:sty m:val="p"/>
            </m:rPr>
            <m:t>=</m:t>
          </m:r>
          <m:nary>
            <m:naryPr>
              <m:chr m:val="∑"/>
              <m:limLoc m:val="undOvr"/>
              <m:subHide m:val="off"/>
              <m:supHide m:val="on"/>
            </m:naryPr>
            <m:sub>
              <m:r>
                <m:t>j</m:t>
              </m:r>
            </m:sub>
            <m:sup>
              <m:r>
                <m:t>​</m:t>
              </m:r>
            </m:sup>
            <m:e>
              <m:sSup>
                <m:e>
                  <m:r>
                    <m:rPr>
                      <m:sty m:val="p"/>
                    </m:rPr>
                    <m:t>(</m:t>
                  </m:r>
                  <m:sSub>
                    <m:e>
                      <m:r>
                        <m:t>x</m:t>
                      </m:r>
                    </m:e>
                    <m:sub>
                      <m:r>
                        <m:t>j</m:t>
                      </m:r>
                    </m:sub>
                  </m:sSub>
                  <m:r>
                    <m:rPr>
                      <m:sty m:val="p"/>
                    </m:rPr>
                    <m:t>−</m:t>
                  </m:r>
                  <m:sSub>
                    <m:e>
                      <m:acc>
                        <m:accPr>
                          <m:chr m:val="̂"/>
                        </m:accPr>
                        <m:e>
                          <m:r>
                            <m:t>x</m:t>
                          </m:r>
                        </m:e>
                      </m:acc>
                    </m:e>
                    <m:sub>
                      <m:r>
                        <m:t>j</m:t>
                      </m:r>
                    </m:sub>
                  </m:sSub>
                  <m:r>
                    <m:rPr>
                      <m:sty m:val="p"/>
                    </m:rPr>
                    <m:t>)</m:t>
                  </m:r>
                </m:e>
                <m:sup>
                  <m:r>
                    <m:t>2</m:t>
                  </m:r>
                </m:sup>
              </m:sSup>
            </m:e>
          </m:nary>
          <m:r>
            <m:rPr>
              <m:sty m:val="p"/>
            </m:rPr>
            <m:t>+</m:t>
          </m:r>
          <m:r>
            <m:t>β</m:t>
          </m:r>
          <m:nary>
            <m:naryPr>
              <m:chr m:val="∑"/>
              <m:limLoc m:val="undOvr"/>
              <m:subHide m:val="off"/>
              <m:supHide m:val="on"/>
            </m:naryPr>
            <m:sub>
              <m:r>
                <m:t>c</m:t>
              </m:r>
            </m:sub>
            <m:sup>
              <m:r>
                <m:t>​</m:t>
              </m:r>
            </m:sup>
            <m:e>
              <m:sSub>
                <m:e>
                  <m:r>
                    <m:t>γ</m:t>
                  </m:r>
                </m:e>
                <m:sub>
                  <m:r>
                    <m:t>c</m:t>
                  </m:r>
                </m:sub>
              </m:sSub>
            </m:e>
          </m:nary>
          <m:d>
            <m:dPr>
              <m:begChr m:val="["/>
              <m:sepChr m:val=""/>
              <m:endChr m:val="]"/>
              <m:grow/>
            </m:dPr>
            <m:e>
              <m:r>
                <m:rPr>
                  <m:nor/>
                  <m:sty m:val="p"/>
                </m:rPr>
                <m:t>KL</m:t>
              </m:r>
              <m:r>
                <m:rPr>
                  <m:sty m:val="p"/>
                </m:rPr>
                <m:t>(</m:t>
              </m:r>
              <m:r>
                <m:t>q</m:t>
              </m:r>
              <m:r>
                <m:rPr>
                  <m:sty m:val="p"/>
                </m:rPr>
                <m:t>∣</m:t>
              </m:r>
              <m:r>
                <m:rPr>
                  <m:sty m:val="p"/>
                </m:rPr>
                <m:t>∣</m:t>
              </m:r>
              <m:r>
                <m:t>N</m:t>
              </m:r>
              <m:r>
                <m:rPr>
                  <m:sty m:val="p"/>
                </m:rPr>
                <m:t>(</m:t>
              </m:r>
              <m:sSub>
                <m:e>
                  <m:r>
                    <m:t>μ</m:t>
                  </m:r>
                </m:e>
                <m:sub>
                  <m:r>
                    <m:t>c</m:t>
                  </m:r>
                </m:sub>
              </m:sSub>
              <m:r>
                <m:rPr>
                  <m:sty m:val="p"/>
                </m:rPr>
                <m:t>,</m:t>
              </m:r>
              <m:sSubSup>
                <m:e>
                  <m:r>
                    <m:t>σ</m:t>
                  </m:r>
                </m:e>
                <m:sub>
                  <m:r>
                    <m:t>c</m:t>
                  </m:r>
                </m:sub>
                <m:sup>
                  <m:r>
                    <m:t>2</m:t>
                  </m:r>
                </m:sup>
              </m:sSubSup>
              <m:r>
                <m:rPr>
                  <m:sty m:val="p"/>
                </m:rPr>
                <m:t>)</m:t>
              </m:r>
              <m:r>
                <m:rPr>
                  <m:sty m:val="p"/>
                </m:rPr>
                <m:t>)</m:t>
              </m:r>
              <m:r>
                <m:rPr>
                  <m:sty m:val="p"/>
                </m:rPr>
                <m:t>+</m:t>
              </m:r>
              <m:r>
                <m:rPr>
                  <m:sty m:val="p"/>
                </m:rPr>
                <m:t>log</m:t>
              </m:r>
              <m:f>
                <m:fPr>
                  <m:type m:val="bar"/>
                </m:fPr>
                <m:num>
                  <m:sSub>
                    <m:e>
                      <m:r>
                        <m:t>γ</m:t>
                      </m:r>
                    </m:e>
                    <m:sub>
                      <m:r>
                        <m:t>c</m:t>
                      </m:r>
                    </m:sub>
                  </m:sSub>
                </m:num>
                <m:den>
                  <m:sSub>
                    <m:e>
                      <m:r>
                        <m:t>π</m:t>
                      </m:r>
                    </m:e>
                    <m:sub>
                      <m:r>
                        <m:t>c</m:t>
                      </m:r>
                    </m:sub>
                  </m:sSub>
                </m:den>
              </m:f>
            </m:e>
          </m:d>
          <m:r>
            <m:rPr>
              <m:sty m:val="p"/>
            </m:rPr>
            <m:t>+</m:t>
          </m:r>
          <m:r>
            <m:rPr>
              <m:nor/>
              <m:sty m:val="p"/>
            </m:rPr>
            <m:t>H</m:t>
          </m:r>
          <m:r>
            <m:rPr>
              <m:sty m:val="p"/>
            </m:rPr>
            <m:t>(</m:t>
          </m:r>
          <m:r>
            <m:t>q</m:t>
          </m:r>
          <m:r>
            <m:rPr>
              <m:sty m:val="p"/>
            </m:rPr>
            <m:t>)</m:t>
          </m:r>
          <m:r>
            <m:rPr>
              <m:sty m:val="p"/>
            </m:rPr>
            <m:t>,</m:t>
          </m:r>
        </m:oMath>
      </m:oMathPara>
    </w:p>
    <w:p>
      <w:pPr>
        <w:pStyle w:val="MDPI32textnoindent"/>
        <w:ind w:left="2608"/>
      </w:pPr>
      <w:r>
        <w:t xml:space="preserve">where</w:t>
      </w:r>
      <w:r>
        <w:t xml:space="preserve"> </w:t>
      </w:r>
      <m:oMath>
        <m:sSub>
          <m:e>
            <m:r>
              <m:t>γ</m:t>
            </m:r>
          </m:e>
          <m:sub>
            <m:r>
              <m:t>c</m:t>
            </m:r>
          </m:sub>
        </m:sSub>
        <m:r>
          <m:rPr>
            <m:sty m:val="p"/>
          </m:rPr>
          <m:t>∝</m:t>
        </m:r>
        <m:sSub>
          <m:e>
            <m:r>
              <m:t>π</m:t>
            </m:r>
          </m:e>
          <m:sub>
            <m:r>
              <m:t>c</m:t>
            </m:r>
          </m:sub>
        </m:sSub>
        <m:r>
          <m:t> </m:t>
        </m:r>
        <m:r>
          <m:t>N</m:t>
        </m:r>
        <m:r>
          <m:rPr>
            <m:sty m:val="p"/>
          </m:rPr>
          <m:t>(</m:t>
        </m:r>
        <m:r>
          <m:t>z</m:t>
        </m:r>
        <m:r>
          <m:rPr>
            <m:sty m:val="p"/>
          </m:rPr>
          <m:t>∣</m:t>
        </m:r>
        <m:sSub>
          <m:e>
            <m:r>
              <m:t>μ</m:t>
            </m:r>
          </m:e>
          <m:sub>
            <m:r>
              <m:t>c</m:t>
            </m:r>
          </m:sub>
        </m:sSub>
        <m:r>
          <m:rPr>
            <m:sty m:val="p"/>
          </m:rPr>
          <m:t>,</m:t>
        </m:r>
        <m:sSubSup>
          <m:e>
            <m:r>
              <m:t>σ</m:t>
            </m:r>
          </m:e>
          <m:sub>
            <m:r>
              <m:t>c</m:t>
            </m:r>
          </m:sub>
          <m:sup>
            <m:r>
              <m:t>2</m:t>
            </m:r>
          </m:sup>
        </m:sSubSup>
        <m:r>
          <m:rPr>
            <m:sty m:val="p"/>
          </m:rPr>
          <m:t>)</m:t>
        </m:r>
      </m:oMath>
      <w:r>
        <w:t xml:space="preserve"> </w:t>
      </w:r>
      <w:r>
        <w:t xml:space="preserve">are the responsibilities. Three standard measures prevent the</w:t>
      </w:r>
      <w:r>
        <w:t xml:space="preserve"> </w:t>
      </w:r>
      <w:r>
        <w:t xml:space="preserve">well-known cluster collapse in which many components are abandoned during joint training: a KL/cluster</w:t>
      </w:r>
      <w:r>
        <w:t xml:space="preserve"> </w:t>
      </w:r>
      <w:r>
        <w:rPr>
          <w:i/>
          <w:iCs/>
        </w:rPr>
        <w:t xml:space="preserve">warm-up</w:t>
      </w:r>
      <w:r>
        <w:t xml:space="preserve"> </w:t>
      </w:r>
      <w:r>
        <w:t xml:space="preserve">that anneals</w:t>
      </w:r>
      <w:r>
        <w:t xml:space="preserve"> </w:t>
      </w:r>
      <m:oMath>
        <m:r>
          <m:t>β</m:t>
        </m:r>
      </m:oMath>
      <w:r>
        <w:t xml:space="preserve"> </w:t>
      </w:r>
      <w:r>
        <w:t xml:space="preserve">from 0 to 1 so the encoder settles on the pretrained mixture</w:t>
      </w:r>
      <w:r>
        <w:t xml:space="preserve"> </w:t>
      </w:r>
      <w:r>
        <w:t xml:space="preserve">initialisation before the prior is pulled around; a DAGMM-style [</w:t>
      </w:r>
      <w:hyperlink w:anchor="r-dagmm">
        <w:r>
          <w:rPr>
            <w:rStyle w:val="Hyperlink"/>
          </w:rPr>
          <w:t xml:space="preserve">18</w:t>
        </w:r>
      </w:hyperlink>
      <w:r>
        <w:t xml:space="preserve">] penalty on tiny</w:t>
      </w:r>
      <w:r>
        <w:t xml:space="preserve"> </w:t>
      </w:r>
      <w:r>
        <w:t xml:space="preserve">component variances (a variance floor plus a</w:t>
      </w:r>
      <w:r>
        <w:t xml:space="preserve"> </w:t>
      </w:r>
      <m:oMath>
        <m:nary>
          <m:naryPr>
            <m:chr m:val="∑"/>
            <m:limLoc m:val="undOvr"/>
            <m:subHide m:val="off"/>
            <m:supHide m:val="on"/>
          </m:naryPr>
          <m:sub>
            <m:r>
              <m:t>c</m:t>
            </m:r>
          </m:sub>
          <m:sup>
            <m:r>
              <m:t>​</m:t>
            </m:r>
          </m:sup>
          <m:e>
            <m:sSubSup>
              <m:e>
                <m:r>
                  <m:t>σ</m:t>
                </m:r>
              </m:e>
              <m:sub>
                <m:r>
                  <m:t>c</m:t>
                </m:r>
              </m:sub>
              <m:sup>
                <m:r>
                  <m:rPr>
                    <m:sty m:val="p"/>
                  </m:rPr>
                  <m:t>−</m:t>
                </m:r>
                <m:r>
                  <m:t>2</m:t>
                </m:r>
              </m:sup>
            </m:sSubSup>
          </m:e>
        </m:nary>
      </m:oMath>
      <w:r>
        <w:t xml:space="preserve"> </w:t>
      </w:r>
      <w:r>
        <w:t xml:space="preserve">term); and a slower learning rate on the mixture parameters so</w:t>
      </w:r>
      <w:r>
        <w:t xml:space="preserve"> </w:t>
      </w:r>
      <w:r>
        <w:t xml:space="preserve">the GMM initialisation (fitted on the pretrained latent) is refined, not destroyed. Training proceeds as</w:t>
      </w:r>
      <w:r>
        <w:t xml:space="preserve"> </w:t>
      </w:r>
      <w:r>
        <w:t xml:space="preserve">plain-VAE pretraining, GMM initialisation on the encoded means, then joint optimisation of the full objective.</w:t>
      </w:r>
    </w:p>
    <w:p>
      <w:pPr>
        <w:pStyle w:val="MDPI22heading2"/>
        <w:ind w:left="2608"/>
      </w:pPr>
      <w:r>
        <w:t xml:space="preserve">4.2  Scoring: why we demote reconstruction</w:t>
      </w:r>
    </w:p>
    <w:p>
      <w:pPr>
        <w:pStyle w:val="MDPI32textnoindent"/>
        <w:ind w:left="2608"/>
      </w:pPr>
      <w:r>
        <w:t xml:space="preserve">The natural VaDE anomaly score is the joint negative log-likelihood: a whitened reconstruction residual plus</w:t>
      </w:r>
      <w:r>
        <w:t xml:space="preserve"> </w:t>
      </w:r>
      <w:r>
        <w:t xml:space="preserve">a latent term. On the</w:t>
      </w:r>
      <w:r>
        <w:t xml:space="preserve"> </w:t>
      </w:r>
      <w:r>
        <w:rPr>
          <w:i/>
          <w:iCs/>
        </w:rPr>
        <w:t xml:space="preserve">difficult</w:t>
      </w:r>
      <w:r>
        <w:t xml:space="preserve"> </w:t>
      </w:r>
      <w:r>
        <w:t xml:space="preserve">faults (correlation breaks and between-regime pockets) this</w:t>
      </w:r>
      <w:r>
        <w:t xml:space="preserve"> </w:t>
      </w:r>
      <w:r>
        <w:t xml:space="preserve">is exactly wrong. Table 2 decomposes the two terms by their difficult-subset AUROC on a single trained model</w:t>
      </w:r>
      <w:r>
        <w:t xml:space="preserve"> </w:t>
      </w:r>
      <w:r>
        <w:t xml:space="preserve">per dataset.</w:t>
      </w:r>
    </w:p>
    <w:p>
      <w:pPr>
        <w:pStyle w:val="MDPI41tablecaption"/>
        <w:ind w:left="2608"/>
      </w:pPr>
      <w:r>
        <w:rPr>
          <w:b/>
          <w:bCs/>
        </w:rPr>
        <w:t xml:space="preserve">Table 2.</w:t>
      </w:r>
      <w:r>
        <w:t xml:space="preserve"> </w:t>
      </w:r>
      <w:r>
        <w:t xml:space="preserve">Difficult-subset AUROC of the two natural score terms (single trained model per</w:t>
      </w:r>
      <w:r>
        <w:t xml:space="preserve"> </w:t>
      </w:r>
      <w:r>
        <w:t xml:space="preserve">dataset). The reconstruction residual is near chance on WADI (0.490) and, although informative on HAI (0.689),</w:t>
      </w:r>
      <w:r>
        <w:t xml:space="preserve"> </w:t>
      </w:r>
      <w:r>
        <w:t xml:space="preserve">it stays below the latent term (0.760) and drags the summed joint score down; the latent likelihood carries the</w:t>
      </w:r>
      <w:r>
        <w:t xml:space="preserve"> </w:t>
      </w:r>
      <w:r>
        <w:t xml:space="preserve">signal but a single diagonal Gaussian per regime is coarse. A multi-seed, three-dataset head ablation is reported</w:t>
      </w:r>
      <w:r>
        <w:t xml:space="preserve"> </w:t>
      </w:r>
      <w:r>
        <w:t xml:space="preserve">in Table 5.</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5594"/>
        <w:gridCol w:w="1186"/>
        <w:gridCol w:w="1078"/>
      </w:tblGrid>
      <w:tr>
        <w:trPr>
          <w:tblHeader w:val="on"/>
        </w:trPr>
        <w:tc>
          <w:tcPr>
            <w:tcBorders>
              <w:bottom w:val="single" w:sz="8" w:space="0" w:color="auto"/>
            </w:tcBorders>
            <w:vAlign w:val="center"/>
          </w:tcPr>
          <w:p>
            <w:pPr>
              <w:pStyle w:val="Compact"/>
              <w:suppressAutoHyphens/>
              <w:jc w:val="center"/>
            </w:pPr>
            <w:r>
              <w:rPr>
                <w:b/>
                <w:sz w:val="18"/>
                <w:szCs w:val="18"/>
              </w:rPr>
              <w:t xml:space="preserve">Score term</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r>
      <w:tr>
        <w:tc>
          <w:tcPr>
            <w:vAlign w:val="center"/>
          </w:tcPr>
          <w:p>
            <w:pPr>
              <w:pStyle w:val="Compact"/>
              <w:suppressAutoHyphens/>
              <w:jc w:val="center"/>
            </w:pPr>
            <w:r>
              <w:rPr>
                <w:sz w:val="18"/>
                <w:szCs w:val="18"/>
              </w:rPr>
              <w:t xml:space="preserve">(a) reconstruction residual</w:t>
            </w:r>
            <w:r>
              <w:rPr>
                <w:sz w:val="18"/>
                <w:szCs w:val="18"/>
              </w:rPr>
              <w:t xml:space="preserve"> </w:t>
            </w:r>
            <m:oMath>
              <m:f>
                <m:fPr>
                  <m:type m:val="bar"/>
                </m:fPr>
                <m:num>
                  <m:r>
                    <w:rPr>
                      <w:sz w:val="18"/>
                      <w:szCs w:val="18"/>
                    </w:rPr>
                    <m:t>1</m:t>
                  </m:r>
                </m:num>
                <m:den>
                  <m:r>
                    <w:rPr>
                      <w:sz w:val="18"/>
                      <w:szCs w:val="18"/>
                    </w:rPr>
                    <m:t>2</m:t>
                  </m:r>
                </m:den>
              </m:f>
              <m:sSup>
                <m:e>
                  <m:r>
                    <w:rPr>
                      <w:sz w:val="18"/>
                      <w:szCs w:val="18"/>
                    </w:rPr>
                    <m:t>r</m:t>
                  </m:r>
                </m:e>
                <m:sup>
                  <m:r>
                    <w:rPr>
                      <w:sz w:val="18"/>
                      <w:szCs w:val="18"/>
                    </w:rPr>
                    <m:rPr>
                      <m:sty m:val="p"/>
                    </m:rPr>
                    <m:t>⊤</m:t>
                  </m:r>
                </m:sup>
              </m:sSup>
              <m:sSup>
                <m:e>
                  <m:r>
                    <w:rPr>
                      <w:sz w:val="18"/>
                      <w:szCs w:val="18"/>
                    </w:rPr>
                    <m:rPr>
                      <m:sty m:val="p"/>
                    </m:rPr>
                    <m:t>Σ</m:t>
                  </m:r>
                </m:e>
                <m:sup>
                  <m:r>
                    <w:rPr>
                      <w:sz w:val="18"/>
                      <w:szCs w:val="18"/>
                    </w:rPr>
                    <m:rPr>
                      <m:sty m:val="p"/>
                    </m:rPr>
                    <m:t>−</m:t>
                  </m:r>
                  <m:r>
                    <w:rPr>
                      <w:sz w:val="18"/>
                      <w:szCs w:val="18"/>
                    </w:rPr>
                    <m:t>1</m:t>
                  </m:r>
                </m:sup>
              </m:sSup>
              <m:r>
                <w:rPr>
                  <w:sz w:val="18"/>
                  <w:szCs w:val="18"/>
                </w:rPr>
                <m:t>r</m:t>
              </m:r>
            </m:oMath>
          </w:p>
        </w:tc>
        <w:tc>
          <w:tcPr>
            <w:vAlign w:val="center"/>
          </w:tcPr>
          <w:p>
            <w:pPr>
              <w:pStyle w:val="Compact"/>
              <w:suppressAutoHyphens/>
              <w:jc w:val="center"/>
            </w:pPr>
            <w:r>
              <w:rPr>
                <w:sz w:val="18"/>
                <w:szCs w:val="18"/>
              </w:rPr>
              <w:t xml:space="preserve">0.490</w:t>
            </w:r>
          </w:p>
        </w:tc>
        <w:tc>
          <w:tcPr>
            <w:vAlign w:val="center"/>
          </w:tcPr>
          <w:p>
            <w:pPr>
              <w:pStyle w:val="Compact"/>
              <w:suppressAutoHyphens/>
              <w:jc w:val="center"/>
            </w:pPr>
            <w:r>
              <w:rPr>
                <w:sz w:val="18"/>
                <w:szCs w:val="18"/>
              </w:rPr>
              <w:t xml:space="preserve">0.689</w:t>
            </w:r>
          </w:p>
        </w:tc>
      </w:tr>
      <w:tr>
        <w:tc>
          <w:tcPr>
            <w:vAlign w:val="center"/>
          </w:tcPr>
          <w:p>
            <w:pPr>
              <w:pStyle w:val="Compact"/>
              <w:suppressAutoHyphens/>
              <w:jc w:val="center"/>
            </w:pPr>
            <w:r>
              <w:rPr>
                <w:sz w:val="18"/>
                <w:szCs w:val="18"/>
              </w:rPr>
              <w:t xml:space="preserve">(b) latent NLL (nearest diagonal component)</w:t>
            </w:r>
          </w:p>
        </w:tc>
        <w:tc>
          <w:tcPr>
            <w:vAlign w:val="center"/>
          </w:tcPr>
          <w:p>
            <w:pPr>
              <w:pStyle w:val="Compact"/>
              <w:suppressAutoHyphens/>
              <w:jc w:val="center"/>
            </w:pPr>
            <w:r>
              <w:rPr>
                <w:sz w:val="18"/>
                <w:szCs w:val="18"/>
              </w:rPr>
              <w:t xml:space="preserve">0.663</w:t>
            </w:r>
          </w:p>
        </w:tc>
        <w:tc>
          <w:tcPr>
            <w:vAlign w:val="center"/>
          </w:tcPr>
          <w:p>
            <w:pPr>
              <w:pStyle w:val="Compact"/>
              <w:suppressAutoHyphens/>
              <w:jc w:val="center"/>
            </w:pPr>
            <w:r>
              <w:rPr>
                <w:sz w:val="18"/>
                <w:szCs w:val="18"/>
              </w:rPr>
              <w:t xml:space="preserve">0.760</w:t>
            </w:r>
          </w:p>
        </w:tc>
      </w:tr>
      <w:tr>
        <w:tc>
          <w:tcPr>
            <w:vAlign w:val="center"/>
          </w:tcPr>
          <w:p>
            <w:pPr>
              <w:pStyle w:val="Compact"/>
              <w:suppressAutoHyphens/>
              <w:jc w:val="center"/>
            </w:pPr>
            <w:r>
              <w:rPr>
                <w:sz w:val="18"/>
                <w:szCs w:val="18"/>
              </w:rPr>
              <w:t xml:space="preserve">(a)+(b) joint NLL (naive VaDE score)</w:t>
            </w:r>
          </w:p>
        </w:tc>
        <w:tc>
          <w:tcPr>
            <w:vAlign w:val="center"/>
          </w:tcPr>
          <w:p>
            <w:pPr>
              <w:pStyle w:val="Compact"/>
              <w:suppressAutoHyphens/>
              <w:jc w:val="center"/>
            </w:pPr>
            <w:r>
              <w:rPr>
                <w:sz w:val="18"/>
                <w:szCs w:val="18"/>
              </w:rPr>
              <w:t xml:space="preserve">0.494</w:t>
            </w:r>
          </w:p>
        </w:tc>
        <w:tc>
          <w:tcPr>
            <w:vAlign w:val="center"/>
          </w:tcPr>
          <w:p>
            <w:pPr>
              <w:pStyle w:val="Compact"/>
              <w:suppressAutoHyphens/>
              <w:jc w:val="center"/>
            </w:pPr>
            <w:r>
              <w:rPr>
                <w:sz w:val="18"/>
                <w:szCs w:val="18"/>
              </w:rPr>
              <w:t xml:space="preserve">0.689</w:t>
            </w:r>
          </w:p>
        </w:tc>
      </w:tr>
    </w:tbl>
    <w:p>
      <w:pPr>
        <w:pStyle w:val="MDPI31text"/>
        <w:ind w:left="2608"/>
      </w:pPr>
      <w:r>
        <w:t xml:space="preserve">The mechanism is that a flexible decoder</w:t>
      </w:r>
      <w:r>
        <w:t xml:space="preserve"> </w:t>
      </w:r>
      <w:r>
        <w:rPr>
          <w:i/>
          <w:iCs/>
        </w:rPr>
        <w:t xml:space="preserve">reconstructs the fault faithfully</w:t>
      </w:r>
      <w:r>
        <w:t xml:space="preserve">: a correlation-break</w:t>
      </w:r>
      <w:r>
        <w:t xml:space="preserve"> </w:t>
      </w:r>
      <w:r>
        <w:t xml:space="preserve">window has in-range marginals, so the decoder rebuilds it and the residual is near chance or reversed. Demoting</w:t>
      </w:r>
      <w:r>
        <w:t xml:space="preserve"> </w:t>
      </w:r>
      <w:r>
        <w:t xml:space="preserve">reconstruction from the default score is a universal difficult-subset improvement and also lifts the combined and</w:t>
      </w:r>
      <w:r>
        <w:t xml:space="preserve"> </w:t>
      </w:r>
      <w:r>
        <w:t xml:space="preserve">easy columns on HAI. The base scoring stack works entirely in the jointly learned latent; reconstruction re-enters</w:t>
      </w:r>
      <w:r>
        <w:t xml:space="preserve"> </w:t>
      </w:r>
      <w:r>
        <w:t xml:space="preserve">only through the optional, auto-gated residual head (§4.3 iv), which fires only where it provably</w:t>
      </w:r>
      <w:r>
        <w:t xml:space="preserve"> </w:t>
      </w:r>
      <w:r>
        <w:t xml:space="preserve">generalises to held-out normal (HAI and SWaT here, not WADI).</w:t>
      </w:r>
    </w:p>
    <w:p>
      <w:pPr>
        <w:pStyle w:val="MDPI22heading2"/>
        <w:ind w:left="2608"/>
      </w:pPr>
      <w:r>
        <w:t xml:space="preserve">4.3  The scoring stack</w:t>
      </w:r>
    </w:p>
    <w:p>
      <w:pPr>
        <w:pStyle w:val="MDPI32textnoindent"/>
        <w:ind w:left="2608"/>
      </w:pPr>
      <w:r>
        <w:t xml:space="preserve">Let</w:t>
      </w:r>
      <w:r>
        <w:t xml:space="preserve"> </w:t>
      </w:r>
      <m:oMath>
        <m:r>
          <m:t>z</m:t>
        </m:r>
        <m:r>
          <m:rPr>
            <m:sty m:val="p"/>
          </m:rPr>
          <m:t>=</m:t>
        </m:r>
        <m:r>
          <m:t>μ</m:t>
        </m:r>
        <m:r>
          <m:rPr>
            <m:sty m:val="p"/>
          </m:rPr>
          <m:t>(</m:t>
        </m:r>
        <m:r>
          <m:t>x</m:t>
        </m:r>
        <m:r>
          <m:rPr>
            <m:sty m:val="p"/>
          </m:rPr>
          <m:t>)</m:t>
        </m:r>
      </m:oMath>
      <w:r>
        <w:t xml:space="preserve"> </w:t>
      </w:r>
      <w:r>
        <w:t xml:space="preserve">be the encoder mean. The base score sums two latent heads, each</w:t>
      </w:r>
      <w:r>
        <w:t xml:space="preserve"> </w:t>
      </w:r>
      <w:r>
        <w:t xml:space="preserve">z-normalised against its train-normal mean and standard deviation, so the operating scale is set by normal, not</w:t>
      </w:r>
      <w:r>
        <w:t xml:space="preserve"> </w:t>
      </w:r>
      <w:r>
        <w:t xml:space="preserve">by the test batch.</w:t>
      </w:r>
    </w:p>
    <w:p>
      <w:pPr>
        <w:pStyle w:val="MDPI23heading3"/>
        <w:ind w:left="2608"/>
      </w:pPr>
      <w:r>
        <w:t xml:space="preserve">(i)–(ii) Latent mixture-density head (parametric KDE for non-Gaussian pockets)</w:t>
      </w:r>
    </w:p>
    <w:p>
      <w:pPr>
        <w:pStyle w:val="MDPI32textnoindent"/>
        <w:ind w:left="2608"/>
      </w:pPr>
      <w:r>
        <w:t xml:space="preserve">Because each regime has a non-uniform interior with thin fringes (A4), one Gaussian per regime is too coarse. We</w:t>
      </w:r>
      <w:r>
        <w:t xml:space="preserve"> </w:t>
      </w:r>
      <w:r>
        <w:t xml:space="preserve">fit a high-</w:t>
      </w:r>
      <w:r>
        <w:rPr>
          <w:i/>
          <w:iCs/>
        </w:rPr>
        <w:t xml:space="preserve">K</w:t>
      </w:r>
      <w:r>
        <w:t xml:space="preserve"> </w:t>
      </w:r>
      <w:r>
        <w:t xml:space="preserve">diagonal Gaussian mixture on the train-normal latent (</w:t>
      </w:r>
      <m:oMath>
        <m:r>
          <m:t>K</m:t>
        </m:r>
        <m:r>
          <m:rPr>
            <m:sty m:val="p"/>
          </m:rPr>
          <m:t>=</m:t>
        </m:r>
        <m:r>
          <m:t>80</m:t>
        </m:r>
      </m:oMath>
      <w:r>
        <w:t xml:space="preserve"> </w:t>
      </w:r>
      <w:r>
        <w:t xml:space="preserve">by default) as a parametric kernel-density estimate, and score a window by its density negative</w:t>
      </w:r>
      <w:r>
        <w:t xml:space="preserve"> </w:t>
      </w:r>
      <w:r>
        <w:t xml:space="preserve">log-likelihood:</w:t>
      </w:r>
    </w:p>
    <w:p>
      <w:pPr>
        <w:pStyle w:val="MDPI39equation"/>
        <w:ind w:left="2608"/>
      </w:pPr>
      <m:oMathPara>
        <m:oMathParaPr>
          <m:jc m:val="center"/>
        </m:oMathParaPr>
        <m:oMath>
          <m:sSub>
            <m:e>
              <m:r>
                <m:t>s</m:t>
              </m:r>
            </m:e>
            <m:sub>
              <m:r>
                <m:rPr>
                  <m:nor/>
                  <m:sty m:val="p"/>
                </m:rPr>
                <m:t>dens</m:t>
              </m:r>
            </m:sub>
          </m:sSub>
          <m:r>
            <m:rPr>
              <m:sty m:val="p"/>
            </m:rPr>
            <m:t>(</m:t>
          </m:r>
          <m:r>
            <m:t>x</m:t>
          </m:r>
          <m:r>
            <m:rPr>
              <m:sty m:val="p"/>
            </m:rPr>
            <m:t>)</m:t>
          </m:r>
          <m:r>
            <m:rPr>
              <m:sty m:val="p"/>
            </m:rPr>
            <m:t>=</m:t>
          </m:r>
          <m:r>
            <m:rPr>
              <m:sty m:val="p"/>
            </m:rPr>
            <m:t>−</m:t>
          </m:r>
          <m:r>
            <m:rPr>
              <m:sty m:val="p"/>
            </m:rPr>
            <m:t>log</m:t>
          </m:r>
          <m:nary>
            <m:naryPr>
              <m:chr m:val="∑"/>
              <m:limLoc m:val="undOvr"/>
              <m:subHide m:val="off"/>
              <m:supHide m:val="off"/>
            </m:naryPr>
            <m:sub>
              <m:r>
                <m:t>m</m:t>
              </m:r>
              <m:r>
                <m:rPr>
                  <m:sty m:val="p"/>
                </m:rPr>
                <m:t>=</m:t>
              </m:r>
              <m:r>
                <m:t>1</m:t>
              </m:r>
            </m:sub>
            <m:sup>
              <m:r>
                <m:t>80</m:t>
              </m:r>
            </m:sup>
            <m:e>
              <m:sSub>
                <m:e>
                  <m:r>
                    <m:t>w</m:t>
                  </m:r>
                </m:e>
                <m:sub>
                  <m:r>
                    <m:t>m</m:t>
                  </m:r>
                </m:sub>
              </m:sSub>
            </m:e>
          </m:nary>
          <m:r>
            <m:t> </m:t>
          </m:r>
          <m:r>
            <m:t>N</m:t>
          </m:r>
          <m:r>
            <m:rPr>
              <m:sty m:val="p"/>
            </m:rPr>
            <m:t>(</m:t>
          </m:r>
          <m:r>
            <m:t>z</m:t>
          </m:r>
          <m:r>
            <m:rPr>
              <m:sty m:val="p"/>
            </m:rPr>
            <m:t>∣</m:t>
          </m:r>
          <m:sSub>
            <m:e>
              <m:r>
                <m:t>a</m:t>
              </m:r>
            </m:e>
            <m:sub>
              <m:r>
                <m:t>m</m:t>
              </m:r>
            </m:sub>
          </m:sSub>
          <m:r>
            <m:rPr>
              <m:sty m:val="p"/>
            </m:rPr>
            <m:t>,</m:t>
          </m:r>
          <m:r>
            <m:rPr>
              <m:nor/>
              <m:sty m:val="p"/>
            </m:rPr>
            <m:t>diag</m:t>
          </m:r>
          <m:r>
            <m:t> </m:t>
          </m:r>
          <m:sSubSup>
            <m:e>
              <m:r>
                <m:t>b</m:t>
              </m:r>
            </m:e>
            <m:sub>
              <m:r>
                <m:t>m</m:t>
              </m:r>
            </m:sub>
            <m:sup>
              <m:r>
                <m:t>2</m:t>
              </m:r>
            </m:sup>
          </m:sSubSup>
          <m:r>
            <m:rPr>
              <m:sty m:val="p"/>
            </m:rPr>
            <m:t>)</m:t>
          </m:r>
          <m:r>
            <m:rPr>
              <m:sty m:val="p"/>
            </m:rPr>
            <m:t>.</m:t>
          </m:r>
        </m:oMath>
      </m:oMathPara>
    </w:p>
    <w:p>
      <w:pPr>
        <w:pStyle w:val="MDPI23heading3"/>
        <w:ind w:left="2608"/>
      </w:pPr>
      <w:r>
        <w:t xml:space="preserve">(iii) Nearest-component NLL (rare-regime-safe)</w:t>
      </w:r>
    </w:p>
    <w:p>
      <w:pPr>
        <w:pStyle w:val="MDPI32textnoindent"/>
        <w:ind w:left="2608"/>
      </w:pPr>
      <w:r>
        <w:t xml:space="preserve">Under heavy-tailed imbalance (A6) a valid point in a rare, low-</w:t>
      </w:r>
      <m:oMath>
        <m:r>
          <m:t>π</m:t>
        </m:r>
      </m:oMath>
      <w:r>
        <w:t xml:space="preserve"> </w:t>
      </w:r>
      <w:r>
        <w:t xml:space="preserve">regime must not be flagged</w:t>
      </w:r>
      <w:r>
        <w:t xml:space="preserve"> </w:t>
      </w:r>
      <w:r>
        <w:t xml:space="preserve">solely for being rare. We therefore use the</w:t>
      </w:r>
      <w:r>
        <w:t xml:space="preserve"> </w:t>
      </w:r>
      <w:r>
        <w:rPr>
          <w:i/>
          <w:iCs/>
        </w:rPr>
        <w:t xml:space="preserve">closest</w:t>
      </w:r>
      <w:r>
        <w:t xml:space="preserve"> </w:t>
      </w:r>
      <w:r>
        <w:t xml:space="preserve">component, not the π-weighted mixture:</w:t>
      </w:r>
    </w:p>
    <w:p>
      <w:pPr>
        <w:pStyle w:val="MDPI39equation"/>
        <w:ind w:left="2608"/>
      </w:pPr>
      <m:oMathPara>
        <m:oMathParaPr>
          <m:jc m:val="center"/>
        </m:oMathParaPr>
        <m:oMath>
          <m:sSub>
            <m:e>
              <m:r>
                <m:t>s</m:t>
              </m:r>
            </m:e>
            <m:sub>
              <m:r>
                <m:rPr>
                  <m:nor/>
                  <m:sty m:val="p"/>
                </m:rPr>
                <m:t>near</m:t>
              </m:r>
            </m:sub>
          </m:sSub>
          <m:r>
            <m:rPr>
              <m:sty m:val="p"/>
            </m:rPr>
            <m:t>(</m:t>
          </m:r>
          <m:r>
            <m:t>x</m:t>
          </m:r>
          <m:r>
            <m:rPr>
              <m:sty m:val="p"/>
            </m:rPr>
            <m:t>)</m:t>
          </m:r>
          <m:r>
            <m:rPr>
              <m:sty m:val="p"/>
            </m:rPr>
            <m:t>=</m:t>
          </m:r>
          <m:r>
            <m:rPr>
              <m:sty m:val="p"/>
            </m:rPr>
            <m:t>−</m:t>
          </m:r>
          <m:limLow>
            <m:e>
              <m:r>
                <m:rPr>
                  <m:sty m:val="p"/>
                </m:rPr>
                <m:t>max</m:t>
              </m:r>
            </m:e>
            <m:lim>
              <m:r>
                <m:t>c</m:t>
              </m:r>
            </m:lim>
          </m:limLow>
          <m:r>
            <m:rPr>
              <m:sty m:val="p"/>
            </m:rPr>
            <m:t>log</m:t>
          </m:r>
          <m:r>
            <m:t> </m:t>
          </m:r>
          <m:r>
            <m:t>N</m:t>
          </m:r>
          <m:r>
            <m:rPr>
              <m:sty m:val="p"/>
            </m:rPr>
            <m:t>(</m:t>
          </m:r>
          <m:r>
            <m:t>z</m:t>
          </m:r>
          <m:r>
            <m:rPr>
              <m:sty m:val="p"/>
            </m:rPr>
            <m:t>∣</m:t>
          </m:r>
          <m:sSub>
            <m:e>
              <m:r>
                <m:t>μ</m:t>
              </m:r>
            </m:e>
            <m:sub>
              <m:r>
                <m:t>c</m:t>
              </m:r>
            </m:sub>
          </m:sSub>
          <m:r>
            <m:rPr>
              <m:sty m:val="p"/>
            </m:rPr>
            <m:t>,</m:t>
          </m:r>
          <m:r>
            <m:rPr>
              <m:nor/>
              <m:sty m:val="p"/>
            </m:rPr>
            <m:t>diag</m:t>
          </m:r>
          <m:r>
            <m:t> </m:t>
          </m:r>
          <m:sSubSup>
            <m:e>
              <m:r>
                <m:t>σ</m:t>
              </m:r>
            </m:e>
            <m:sub>
              <m:r>
                <m:t>c</m:t>
              </m:r>
            </m:sub>
            <m:sup>
              <m:r>
                <m:t>2</m:t>
              </m:r>
            </m:sup>
          </m:sSubSup>
          <m:r>
            <m:rPr>
              <m:sty m:val="p"/>
            </m:rPr>
            <m:t>)</m:t>
          </m:r>
          <m:r>
            <m:rPr>
              <m:sty m:val="p"/>
            </m:rPr>
            <m:t>.</m:t>
          </m:r>
        </m:oMath>
      </m:oMathPara>
    </w:p>
    <w:p>
      <w:pPr>
        <w:pStyle w:val="MDPI32textnoindent"/>
        <w:ind w:left="2608"/>
      </w:pPr>
      <w:r>
        <w:t xml:space="preserve">Using the maximum over components rather than the Bayesian mixture sum keeps a rare-regime signal that the</w:t>
      </w:r>
      <w:r>
        <w:t xml:space="preserve"> </w:t>
      </w:r>
      <w:r>
        <w:t xml:space="preserve">mixture sum washes out (A6): the nearest-component distance retains a deviation confined to a single sparsely</w:t>
      </w:r>
      <w:r>
        <w:t xml:space="preserve"> </w:t>
      </w:r>
      <w:r>
        <w:t xml:space="preserve">populated regime, whereas the mixture sum averages it away. The base</w:t>
      </w:r>
      <w:r>
        <w:t xml:space="preserve"> </w:t>
      </w:r>
      <w:r>
        <w:t xml:space="preserve">score is the sum of the two z-normalised heads,</w:t>
      </w:r>
      <w:r>
        <w:t xml:space="preserve"> </w:t>
      </w:r>
      <m:oMath>
        <m:sSub>
          <m:e>
            <m:r>
              <m:t>s</m:t>
            </m:r>
          </m:e>
          <m:sub>
            <m:r>
              <m:t>0</m:t>
            </m:r>
          </m:sub>
        </m:sSub>
        <m:r>
          <m:rPr>
            <m:sty m:val="p"/>
          </m:rPr>
          <m:t>=</m:t>
        </m:r>
        <m:r>
          <m:rPr>
            <m:nor/>
            <m:sty m:val="p"/>
          </m:rPr>
          <m:t>z</m:t>
        </m:r>
        <m:r>
          <m:rPr>
            <m:sty m:val="p"/>
          </m:rPr>
          <m:t>(</m:t>
        </m:r>
        <m:sSub>
          <m:e>
            <m:r>
              <m:t>s</m:t>
            </m:r>
          </m:e>
          <m:sub>
            <m:r>
              <m:rPr>
                <m:nor/>
                <m:sty m:val="p"/>
              </m:rPr>
              <m:t>dens</m:t>
            </m:r>
          </m:sub>
        </m:sSub>
        <m:r>
          <m:rPr>
            <m:sty m:val="p"/>
          </m:rPr>
          <m:t>)</m:t>
        </m:r>
        <m:r>
          <m:rPr>
            <m:sty m:val="p"/>
          </m:rPr>
          <m:t>+</m:t>
        </m:r>
        <m:r>
          <m:rPr>
            <m:nor/>
            <m:sty m:val="p"/>
          </m:rPr>
          <m:t>z</m:t>
        </m:r>
        <m:r>
          <m:rPr>
            <m:sty m:val="p"/>
          </m:rPr>
          <m:t>(</m:t>
        </m:r>
        <m:sSub>
          <m:e>
            <m:r>
              <m:t>s</m:t>
            </m:r>
          </m:e>
          <m:sub>
            <m:r>
              <m:rPr>
                <m:nor/>
                <m:sty m:val="p"/>
              </m:rPr>
              <m:t>near</m:t>
            </m:r>
          </m:sub>
        </m:sSub>
        <m:r>
          <m:rPr>
            <m:sty m:val="p"/>
          </m:rPr>
          <m:t>)</m:t>
        </m:r>
      </m:oMath>
      <w:r>
        <w:t xml:space="preserve">.</w:t>
      </w:r>
    </w:p>
    <w:p>
      <w:pPr>
        <w:pStyle w:val="MDPI23heading3"/>
        <w:ind w:left="2608"/>
      </w:pPr>
      <w:r>
        <w:t xml:space="preserve">(iv) Optional responsibility-weighted whitened residual, auto-gated</w:t>
      </w:r>
    </w:p>
    <w:p>
      <w:pPr>
        <w:pStyle w:val="MDPI32textnoindent"/>
        <w:ind w:left="2608"/>
      </w:pPr>
      <w:r>
        <w:t xml:space="preserve">On some datasets the fault</w:t>
      </w:r>
      <w:r>
        <w:t xml:space="preserve"> </w:t>
      </w:r>
      <w:r>
        <w:rPr>
          <w:i/>
          <w:iCs/>
        </w:rPr>
        <w:t xml:space="preserve">does</w:t>
      </w:r>
      <w:r>
        <w:t xml:space="preserve"> </w:t>
      </w:r>
      <w:r>
        <w:t xml:space="preserve">surface in reconstruction. The optional residual head reduces the</w:t>
      </w:r>
      <w:r>
        <w:t xml:space="preserve"> </w:t>
      </w:r>
      <w:r>
        <w:t xml:space="preserve">per-channel residual</w:t>
      </w:r>
      <w:r>
        <w:t xml:space="preserve"> </w:t>
      </w:r>
      <m:oMath>
        <m:r>
          <m:t>r</m:t>
        </m:r>
      </m:oMath>
      <w:r>
        <w:t xml:space="preserve"> </w:t>
      </w:r>
      <w:r>
        <w:t xml:space="preserve">to</w:t>
      </w:r>
      <w:r>
        <w:t xml:space="preserve"> </w:t>
      </w:r>
      <m:oMath>
        <m:r>
          <m:t>30</m:t>
        </m:r>
      </m:oMath>
      <w:r>
        <w:t xml:space="preserve"> </w:t>
      </w:r>
      <w:r>
        <w:t xml:space="preserve">dimensions, fits a</w:t>
      </w:r>
      <w:r>
        <w:t xml:space="preserve"> </w:t>
      </w:r>
      <w:r>
        <w:t xml:space="preserve">Ledoit–Wolf-shrunk [</w:t>
      </w:r>
      <w:hyperlink w:anchor="r-lw">
        <w:r>
          <w:rPr>
            <w:rStyle w:val="Hyperlink"/>
          </w:rPr>
          <w:t xml:space="preserve">19</w:t>
        </w:r>
      </w:hyperlink>
      <w:r>
        <w:t xml:space="preserve">] precision per regime, and combines the per-regime whitened</w:t>
      </w:r>
      <w:r>
        <w:t xml:space="preserve"> </w:t>
      </w:r>
      <w:r>
        <w:t xml:space="preserve">energies by responsibility:</w:t>
      </w:r>
    </w:p>
    <w:p>
      <w:pPr>
        <w:pStyle w:val="MDPI39equation"/>
        <w:ind w:left="2608"/>
      </w:pPr>
      <m:oMathPara>
        <m:oMathParaPr>
          <m:jc m:val="center"/>
        </m:oMathParaPr>
        <m:oMath>
          <m:sSub>
            <m:e>
              <m:r>
                <m:t>s</m:t>
              </m:r>
            </m:e>
            <m:sub>
              <m:r>
                <m:rPr>
                  <m:nor/>
                  <m:sty m:val="p"/>
                </m:rPr>
                <m:t>resid</m:t>
              </m:r>
            </m:sub>
          </m:sSub>
          <m:r>
            <m:rPr>
              <m:sty m:val="p"/>
            </m:rPr>
            <m:t>(</m:t>
          </m:r>
          <m:r>
            <m:t>x</m:t>
          </m:r>
          <m:r>
            <m:rPr>
              <m:sty m:val="p"/>
            </m:rPr>
            <m:t>)</m:t>
          </m:r>
          <m:r>
            <m:rPr>
              <m:sty m:val="p"/>
            </m:rPr>
            <m:t>=</m:t>
          </m:r>
          <m:nary>
            <m:naryPr>
              <m:chr m:val="∑"/>
              <m:limLoc m:val="undOvr"/>
              <m:subHide m:val="off"/>
              <m:supHide m:val="off"/>
            </m:naryPr>
            <m:sub>
              <m:r>
                <m:t>k</m:t>
              </m:r>
              <m:r>
                <m:rPr>
                  <m:sty m:val="p"/>
                </m:rPr>
                <m:t>=</m:t>
              </m:r>
              <m:r>
                <m:t>1</m:t>
              </m:r>
            </m:sub>
            <m:sup>
              <m:r>
                <m:t>K</m:t>
              </m:r>
            </m:sup>
            <m:e>
              <m:sSub>
                <m:e>
                  <m:r>
                    <m:t>γ</m:t>
                  </m:r>
                </m:e>
                <m:sub>
                  <m:r>
                    <m:t>k</m:t>
                  </m:r>
                </m:sub>
              </m:sSub>
            </m:e>
          </m:nary>
          <m:r>
            <m:t> </m:t>
          </m:r>
          <m:sSubSup>
            <m:e>
              <m:r>
                <m:t>r</m:t>
              </m:r>
            </m:e>
            <m:sub>
              <m:r>
                <m:t>k</m:t>
              </m:r>
            </m:sub>
            <m:sup>
              <m:r>
                <m:rPr>
                  <m:sty m:val="p"/>
                </m:rPr>
                <m:t>⊤</m:t>
              </m:r>
            </m:sup>
          </m:sSubSup>
          <m:sSubSup>
            <m:e>
              <m:r>
                <m:rPr>
                  <m:sty m:val="p"/>
                </m:rPr>
                <m:t>Σ</m:t>
              </m:r>
            </m:e>
            <m:sub>
              <m:r>
                <m:t>k</m:t>
              </m:r>
            </m:sub>
            <m:sup>
              <m:r>
                <m:rPr>
                  <m:sty m:val="p"/>
                </m:rPr>
                <m:t>−</m:t>
              </m:r>
              <m:r>
                <m:t>1</m:t>
              </m:r>
            </m:sup>
          </m:sSubSup>
          <m:sSub>
            <m:e>
              <m:r>
                <m:t>r</m:t>
              </m:r>
            </m:e>
            <m:sub>
              <m:r>
                <m:t>k</m:t>
              </m:r>
            </m:sub>
          </m:sSub>
          <m:r>
            <m:rPr>
              <m:sty m:val="p"/>
            </m:rPr>
            <m:t>.</m:t>
          </m:r>
        </m:oMath>
      </m:oMathPara>
    </w:p>
    <w:p>
      <w:pPr>
        <w:pStyle w:val="MDPI32textnoindent"/>
        <w:ind w:left="2608"/>
      </w:pPr>
      <w:r>
        <w:t xml:space="preserve">The head is</w:t>
      </w:r>
      <w:r>
        <w:t xml:space="preserve"> </w:t>
      </w:r>
      <w:r>
        <w:rPr>
          <w:i/>
          <w:iCs/>
        </w:rPr>
        <w:t xml:space="preserve">auto-gated</w:t>
      </w:r>
      <w:r>
        <w:t xml:space="preserve"> </w:t>
      </w:r>
      <w:r>
        <w:t xml:space="preserve">by a held-out-normal generalisation test: per-regime precisions are fitted on</w:t>
      </w:r>
      <w:r>
        <w:t xml:space="preserve"> </w:t>
      </w:r>
      <w:r>
        <w:t xml:space="preserve">the first 80% of train-normal and scored on the last 20%; if held-out normal scores much higher (the residual</w:t>
      </w:r>
      <w:r>
        <w:t xml:space="preserve"> </w:t>
      </w:r>
      <w:r>
        <w:t xml:space="preserve">overfits / drifts), the ratio</w:t>
      </w:r>
      <w:r>
        <w:t xml:space="preserve"> </w:t>
      </w:r>
      <m:oMath>
        <m:sSub>
          <m:e>
            <m:r>
              <m:t>q</m:t>
            </m:r>
          </m:e>
          <m:sub>
            <m:r>
              <m:t>95</m:t>
            </m:r>
          </m:sub>
        </m:sSub>
        <m:r>
          <m:rPr>
            <m:sty m:val="p"/>
          </m:rPr>
          <m:t>(</m:t>
        </m:r>
        <m:r>
          <m:t>B</m:t>
        </m:r>
        <m:r>
          <m:rPr>
            <m:sty m:val="p"/>
          </m:rPr>
          <m:t>)</m:t>
        </m:r>
        <m:r>
          <m:rPr>
            <m:sty m:val="p"/>
          </m:rPr>
          <m:t>/</m:t>
        </m:r>
        <m:sSub>
          <m:e>
            <m:r>
              <m:t>q</m:t>
            </m:r>
          </m:e>
          <m:sub>
            <m:r>
              <m:t>95</m:t>
            </m:r>
          </m:sub>
        </m:sSub>
        <m:r>
          <m:rPr>
            <m:sty m:val="p"/>
          </m:rPr>
          <m:t>(</m:t>
        </m:r>
        <m:r>
          <m:t>A</m:t>
        </m:r>
        <m:r>
          <m:rPr>
            <m:sty m:val="p"/>
          </m:rPr>
          <m:t>)</m:t>
        </m:r>
      </m:oMath>
      <w:r>
        <w:t xml:space="preserve"> </w:t>
      </w:r>
      <w:r>
        <w:t xml:space="preserve">is large and the head is switched off. Empirically the ratio is 5.24 on</w:t>
      </w:r>
      <w:r>
        <w:t xml:space="preserve"> </w:t>
      </w:r>
      <w:r>
        <w:t xml:space="preserve">WADI (off) and 1.17 on HAI (on): the residual carries the fault on HAI but is dead on WADI, and the gate</w:t>
      </w:r>
      <w:r>
        <w:t xml:space="preserve"> </w:t>
      </w:r>
      <w:r>
        <w:t xml:space="preserve">recovers exactly this pattern from train-normal alone.</w:t>
      </w:r>
    </w:p>
    <w:p>
      <w:pPr>
        <w:pStyle w:val="MDPI23heading3"/>
        <w:ind w:left="2608"/>
      </w:pPr>
      <w:r>
        <w:t xml:space="preserve">(v) Optional basin-agreement rescue, auto-scaled</w:t>
      </w:r>
    </w:p>
    <w:p>
      <w:pPr>
        <w:pStyle w:val="MDPI32textnoindent"/>
        <w:ind w:left="2608"/>
      </w:pPr>
      <w:r>
        <w:t xml:space="preserve">Between-regime pockets (A3) are the dangerous false negative on datasets whose regimes overlap. We perturb the</w:t>
      </w:r>
      <w:r>
        <w:t xml:space="preserve"> </w:t>
      </w:r>
      <w:r>
        <w:t xml:space="preserve">latent with Gaussian noise</w:t>
      </w:r>
      <w:r>
        <w:t xml:space="preserve"> </w:t>
      </w:r>
      <m:oMath>
        <m:r>
          <m:t>R</m:t>
        </m:r>
      </m:oMath>
      <w:r>
        <w:t xml:space="preserve"> </w:t>
      </w:r>
      <w:r>
        <w:t xml:space="preserve">times and measure</w:t>
      </w:r>
      <w:r>
        <w:t xml:space="preserve"> </w:t>
      </w:r>
      <w:r>
        <w:rPr>
          <w:i/>
          <w:iCs/>
        </w:rPr>
        <w:t xml:space="preserve">agreement</w:t>
      </w:r>
      <w:r>
        <w:t xml:space="preserve">, the fraction of perturbed copies that keep the clean argmax regime. A</w:t>
      </w:r>
      <w:r>
        <w:t xml:space="preserve"> </w:t>
      </w:r>
      <w:r>
        <w:t xml:space="preserve">rare-but-valid point sits deep in one basin (high agreement, demote); a between-regime point flips regimes under</w:t>
      </w:r>
      <w:r>
        <w:t xml:space="preserve"> </w:t>
      </w:r>
      <w:r>
        <w:t xml:space="preserve">perturbation (low agreement, keep). The rescue subtracts a scaled, train-normal-calibrated agreement:</w:t>
      </w:r>
    </w:p>
    <w:p>
      <w:pPr>
        <w:pStyle w:val="MDPI39equation"/>
        <w:ind w:left="2608"/>
      </w:pPr>
      <m:oMathPara>
        <m:oMathParaPr>
          <m:jc m:val="center"/>
        </m:oMathParaPr>
        <m:oMath>
          <m:r>
            <m:t>s</m:t>
          </m:r>
          <m:r>
            <m:rPr>
              <m:sty m:val="p"/>
            </m:rPr>
            <m:t>(</m:t>
          </m:r>
          <m:r>
            <m:t>x</m:t>
          </m:r>
          <m:r>
            <m:rPr>
              <m:sty m:val="p"/>
            </m:rPr>
            <m:t>)</m:t>
          </m:r>
          <m:r>
            <m:rPr>
              <m:sty m:val="p"/>
            </m:rPr>
            <m:t>=</m:t>
          </m:r>
          <m:sSub>
            <m:e>
              <m:r>
                <m:t>s</m:t>
              </m:r>
            </m:e>
            <m:sub>
              <m:r>
                <m:t>0</m:t>
              </m:r>
            </m:sub>
          </m:sSub>
          <m:r>
            <m:rPr>
              <m:sty m:val="p"/>
            </m:rPr>
            <m:t>+</m:t>
          </m:r>
          <m:sSub>
            <m:e>
              <m:r>
                <m:t>s</m:t>
              </m:r>
            </m:e>
            <m:sub>
              <m:r>
                <m:rPr>
                  <m:nor/>
                  <m:sty m:val="p"/>
                </m:rPr>
                <m:t>resid</m:t>
              </m:r>
            </m:sub>
          </m:sSub>
          <m:r>
            <m:rPr>
              <m:sty m:val="p"/>
            </m:rPr>
            <m:t>−</m:t>
          </m:r>
          <m:r>
            <m:t>λ</m:t>
          </m:r>
          <m:r>
            <m:t> </m:t>
          </m:r>
          <m:r>
            <m:rPr>
              <m:nor/>
              <m:sty m:val="p"/>
            </m:rPr>
            <m:t>z</m:t>
          </m:r>
          <m:r>
            <m:rPr>
              <m:sty m:val="p"/>
            </m:rPr>
            <m:t>(</m:t>
          </m:r>
          <m:r>
            <m:rPr>
              <m:nor/>
              <m:sty m:val="p"/>
            </m:rPr>
            <m:t>agree</m:t>
          </m:r>
          <m:r>
            <m:rPr>
              <m:sty m:val="p"/>
            </m:rPr>
            <m:t>(</m:t>
          </m:r>
          <m:r>
            <m:t>x</m:t>
          </m:r>
          <m:r>
            <m:rPr>
              <m:sty m:val="p"/>
            </m:rPr>
            <m:t>)</m:t>
          </m:r>
          <m:r>
            <m:rPr>
              <m:sty m:val="p"/>
            </m:rPr>
            <m:t>)</m:t>
          </m:r>
          <m:r>
            <m:rPr>
              <m:sty m:val="p"/>
            </m:rPr>
            <m:t>,</m:t>
          </m:r>
          <m:r>
            <m:t> </m:t>
          </m:r>
          <m:r>
            <m:t>λ</m:t>
          </m:r>
          <m:r>
            <m:rPr>
              <m:sty m:val="p"/>
            </m:rPr>
            <m:t>=</m:t>
          </m:r>
          <m:sSub>
            <m:e>
              <m:r>
                <m:t>λ</m:t>
              </m:r>
            </m:e>
            <m:sub>
              <m:r>
                <m:t>0</m:t>
              </m:r>
            </m:sub>
          </m:sSub>
          <m:r>
            <m:rPr>
              <m:sty m:val="p"/>
            </m:rPr>
            <m:t>⋅</m:t>
          </m:r>
          <m:r>
            <m:rPr>
              <m:sty m:val="p"/>
            </m:rPr>
            <m:t>max</m:t>
          </m:r>
          <m:r>
            <m:rPr>
              <m:sty m:val="p"/>
            </m:rPr>
            <m:t>(</m:t>
          </m:r>
          <m:r>
            <m:t>0</m:t>
          </m:r>
          <m:r>
            <m:rPr>
              <m:sty m:val="p"/>
            </m:rPr>
            <m:t>,</m:t>
          </m:r>
          <m:r>
            <m:t>ρ</m:t>
          </m:r>
          <m:r>
            <m:rPr>
              <m:sty m:val="p"/>
            </m:rPr>
            <m:t>−</m:t>
          </m:r>
          <m:r>
            <m:t>δ</m:t>
          </m:r>
          <m:r>
            <m:rPr>
              <m:sty m:val="p"/>
            </m:rPr>
            <m:t>)</m:t>
          </m:r>
          <m:r>
            <m:rPr>
              <m:sty m:val="p"/>
            </m:rPr>
            <m:t>,</m:t>
          </m:r>
        </m:oMath>
      </m:oMathPara>
    </w:p>
    <w:p>
      <w:pPr>
        <w:pStyle w:val="MDPI32textnoindent"/>
        <w:ind w:left="2608"/>
      </w:pPr>
      <w:r>
        <w:t xml:space="preserve">where</w:t>
      </w:r>
      <w:r>
        <w:t xml:space="preserve"> </w:t>
      </w:r>
      <m:oMath>
        <m:r>
          <m:t>ρ</m:t>
        </m:r>
      </m:oMath>
      <w:r>
        <w:t xml:space="preserve"> </w:t>
      </w:r>
      <w:r>
        <w:t xml:space="preserve">is the fraction</w:t>
      </w:r>
      <w:r>
        <w:t xml:space="preserve"> </w:t>
      </w:r>
      <w:r>
        <w:t xml:space="preserve">of train-normal windows that are ambiguous (maximum responsibility below 0.5) and</w:t>
      </w:r>
      <w:r>
        <w:t xml:space="preserve"> </w:t>
      </w:r>
      <m:oMath>
        <m:r>
          <m:t>δ</m:t>
        </m:r>
      </m:oMath>
      <w:r>
        <w:t xml:space="preserve"> </w:t>
      </w:r>
      <w:r>
        <w:t xml:space="preserve">a dead-zone. On crisp-regime</w:t>
      </w:r>
      <w:r>
        <w:t xml:space="preserve"> </w:t>
      </w:r>
      <w:r>
        <w:t xml:space="preserve">data (WADI, HAI, SWaT)</w:t>
      </w:r>
      <w:r>
        <w:t xml:space="preserve"> </w:t>
      </w:r>
      <m:oMath>
        <m:r>
          <m:t>ρ</m:t>
        </m:r>
        <m:r>
          <m:rPr>
            <m:sty m:val="p"/>
          </m:rPr>
          <m:t>≈</m:t>
        </m:r>
        <m:r>
          <m:t>0.05</m:t>
        </m:r>
      </m:oMath>
      <w:r>
        <w:t xml:space="preserve"> </w:t>
      </w:r>
      <w:r>
        <w:t xml:space="preserve">gives</w:t>
      </w:r>
      <w:r>
        <w:t xml:space="preserve"> </w:t>
      </w:r>
      <m:oMath>
        <m:r>
          <m:t>λ</m:t>
        </m:r>
        <m:r>
          <m:rPr>
            <m:sty m:val="p"/>
          </m:rPr>
          <m:t>=</m:t>
        </m:r>
        <m:r>
          <m:t>0</m:t>
        </m:r>
      </m:oMath>
      <w:r>
        <w:t xml:space="preserve"> </w:t>
      </w:r>
      <w:r>
        <w:t xml:space="preserve">and the rescue is an exact no-op; the basin head is</w:t>
      </w:r>
      <w:r>
        <w:t xml:space="preserve"> </w:t>
      </w:r>
      <w:r>
        <w:t xml:space="preserve">a design provision for datasets with heavily overlapping regimes; it stays inactive on all three benchmarks here and</w:t>
      </w:r>
      <w:r>
        <w:t xml:space="preserve"> </w:t>
      </w:r>
      <w:r>
        <w:t xml:space="preserve">is therefore not part of the empirical contribution, with its validation on overlapping-regime data left to future</w:t>
      </w:r>
      <w:r>
        <w:t xml:space="preserve"> </w:t>
      </w:r>
      <w:r>
        <w:t xml:space="preserve">work. Thus the reported model configures its heads purely from training-normal statistics, with no test-set</w:t>
      </w:r>
      <w:r>
        <w:t xml:space="preserve"> </w:t>
      </w:r>
      <w:r>
        <w:t xml:space="preserve">tuning: the residual head fires on HAI and SWaT, and both optional heads stay off on WADI.</w:t>
      </w:r>
    </w:p>
    <w:p>
      <w:pPr>
        <w:pStyle w:val="MDPI31text"/>
        <w:ind w:left="2608"/>
      </w:pPr>
      <w:r>
        <w:rPr>
          <w:b/>
          <w:bCs/>
        </w:rPr>
        <w:t xml:space="preserve">Auto-gating summary.</w:t>
      </w:r>
      <w:r>
        <w:t xml:space="preserve"> </w:t>
      </w:r>
      <w:r>
        <w:t xml:space="preserve">Base heads (i–iii) run on every dataset. The</w:t>
      </w:r>
      <w:r>
        <w:t xml:space="preserve"> </w:t>
      </w:r>
      <w:r>
        <w:t xml:space="preserve">residual head (iv) fires when it generalises to held-out normal (HAI and SWaT: on; WADI: off). The basin head (v)</w:t>
      </w:r>
      <w:r>
        <w:t xml:space="preserve"> </w:t>
      </w:r>
      <w:r>
        <w:t xml:space="preserve">fires when train-normal regimes overlap; it is a near no-op on all three datasets here. All calibration uses</w:t>
      </w:r>
      <w:r>
        <w:t xml:space="preserve"> </w:t>
      </w:r>
      <w:r>
        <w:t xml:space="preserve">train-normal only.</w:t>
      </w:r>
    </w:p>
    <w:p>
      <w:pPr>
        <w:pStyle w:val="MDPI21heading1"/>
        <w:ind w:left="2608"/>
      </w:pPr>
      <w:r>
        <w:t xml:space="preserve">5  Experimental methodology</w:t>
      </w:r>
    </w:p>
    <w:p>
      <w:pPr>
        <w:pStyle w:val="MDPI22heading2"/>
        <w:ind w:left="2608"/>
      </w:pPr>
      <w:r>
        <w:t xml:space="preserve">5.1  Datasets</w:t>
      </w:r>
    </w:p>
    <w:p>
      <w:pPr>
        <w:pStyle w:val="MDPI32textnoindent"/>
        <w:ind w:left="2608"/>
      </w:pPr>
      <w:r>
        <w:t xml:space="preserve">We use three real CPS datasets and no synthetic data in the results tables.</w:t>
      </w:r>
    </w:p>
    <w:p>
      <w:pPr>
        <w:pStyle w:val="MDPI38bullet"/>
        <w:numPr>
          <w:ilvl w:val="0"/>
          <w:numId w:val="2"/>
        </w:numPr>
        <w:ind w:left="3328" w:hanging="360"/>
      </w:pPr>
      <w:r>
        <w:rPr>
          <w:b/>
          <w:bCs/>
        </w:rPr>
        <w:t xml:space="preserve">WADI</w:t>
      </w:r>
      <w:r>
        <w:t xml:space="preserve"> </w:t>
      </w:r>
      <w:r>
        <w:t xml:space="preserve">[</w:t>
      </w:r>
      <w:hyperlink w:anchor="r-wadi">
        <w:r>
          <w:rPr>
            <w:rStyle w:val="Hyperlink"/>
          </w:rPr>
          <w:t xml:space="preserve">31</w:t>
        </w:r>
      </w:hyperlink>
      <w:r>
        <w:t xml:space="preserve">], a water-distribution testbed, 123 sensor/actuator</w:t>
      </w:r>
      <w:r>
        <w:t xml:space="preserve"> </w:t>
      </w:r>
      <w:r>
        <w:t xml:space="preserve">channels. Roughly a quarter of channels are near-constant in normal operation; these are attack</w:t>
      </w:r>
      <w:r>
        <w:t xml:space="preserve"> </w:t>
      </w:r>
      <w:r>
        <w:rPr>
          <w:i/>
          <w:iCs/>
        </w:rPr>
        <w:t xml:space="preserve">carriers</w:t>
      </w:r>
      <w:r>
        <w:t xml:space="preserve">,</w:t>
      </w:r>
      <w:r>
        <w:t xml:space="preserve"> </w:t>
      </w:r>
      <w:r>
        <w:t xml:space="preserve">not noise, and are kept. A few channels carry physically impossible standardised values (a channel constant at</w:t>
      </w:r>
      <w:r>
        <w:t xml:space="preserve"> </w:t>
      </w:r>
      <w:r>
        <w:t xml:space="preserve">zero in the 14-day normal record, another recalibrated between files); standardised features are clipped to</w:t>
      </w:r>
      <w:r>
        <w:t xml:space="preserve"> </w:t>
      </w:r>
      <w:r>
        <w:t xml:space="preserve">±10σ to cap such sensor glitches. WADI is downsampled 10× on both streams, with the train and</w:t>
      </w:r>
      <w:r>
        <w:t xml:space="preserve"> </w:t>
      </w:r>
      <w:r>
        <w:t xml:space="preserve">test horizons matched.</w:t>
      </w:r>
    </w:p>
    <w:p>
      <w:pPr>
        <w:pStyle w:val="MDPI38bullet"/>
        <w:numPr>
          <w:ilvl w:val="0"/>
          <w:numId w:val="2"/>
        </w:numPr>
        <w:ind w:left="3328" w:hanging="360"/>
      </w:pPr>
      <w:r>
        <w:rPr>
          <w:b/>
          <w:bCs/>
        </w:rPr>
        <w:t xml:space="preserve">HAI</w:t>
      </w:r>
      <w:r>
        <w:t xml:space="preserve"> </w:t>
      </w:r>
      <w:r>
        <w:t xml:space="preserve">[</w:t>
      </w:r>
      <w:hyperlink w:anchor="r-hai">
        <w:r>
          <w:rPr>
            <w:rStyle w:val="Hyperlink"/>
          </w:rPr>
          <w:t xml:space="preserve">33</w:t>
        </w:r>
      </w:hyperlink>
      <w:r>
        <w:t xml:space="preserve">], a hardware-in-the-loop industrial control system</w:t>
      </w:r>
      <w:r>
        <w:t xml:space="preserve"> </w:t>
      </w:r>
      <w:r>
        <w:t xml:space="preserve">testbed (HAI 20.07), 59 channels, a multi-process plant. No clipping (its large excursions are real attack</w:t>
      </w:r>
      <w:r>
        <w:t xml:space="preserve"> </w:t>
      </w:r>
      <w:r>
        <w:t xml:space="preserve">signal).</w:t>
      </w:r>
    </w:p>
    <w:p>
      <w:pPr>
        <w:pStyle w:val="MDPI38bullet"/>
        <w:numPr>
          <w:ilvl w:val="0"/>
          <w:numId w:val="2"/>
        </w:numPr>
        <w:ind w:left="3328" w:hanging="360"/>
      </w:pPr>
      <w:r>
        <w:rPr>
          <w:b/>
          <w:bCs/>
        </w:rPr>
        <w:t xml:space="preserve">SWaT</w:t>
      </w:r>
      <w:r>
        <w:t xml:space="preserve"> </w:t>
      </w:r>
      <w:r>
        <w:t xml:space="preserve">[</w:t>
      </w:r>
      <w:hyperlink w:anchor="r-swat">
        <w:r>
          <w:rPr>
            <w:rStyle w:val="Hyperlink"/>
          </w:rPr>
          <w:t xml:space="preserve">32</w:t>
        </w:r>
      </w:hyperlink>
      <w:r>
        <w:t xml:space="preserve">], the Secure Water Treatment testbed from iTrust, a</w:t>
      </w:r>
      <w:r>
        <w:t xml:space="preserve"> </w:t>
      </w:r>
      <w:r>
        <w:t xml:space="preserve">51-channel six-stage water-treatment plant with real executed attacks. No clipping. SWaT is downsampled 10×</w:t>
      </w:r>
      <w:r>
        <w:t xml:space="preserve"> </w:t>
      </w:r>
      <w:r>
        <w:t xml:space="preserve">on both streams, with the train and test horizons matched.</w:t>
      </w:r>
    </w:p>
    <w:p>
      <w:pPr>
        <w:pStyle w:val="MDPI22heading2"/>
        <w:ind w:left="2608"/>
      </w:pPr>
      <w:r>
        <w:t xml:space="preserve">5.2  Windows and features</w:t>
      </w:r>
    </w:p>
    <w:p>
      <w:pPr>
        <w:pStyle w:val="MDPI32textnoindent"/>
        <w:ind w:left="2608"/>
      </w:pPr>
      <w:r>
        <w:t xml:space="preserve">Each raw channel is standardised to zero mean and unit variance using train-normal statistics only (A8). We</w:t>
      </w:r>
      <w:r>
        <w:t xml:space="preserve"> </w:t>
      </w:r>
      <w:r>
        <w:t xml:space="preserve">then slide a fixed window of length</w:t>
      </w:r>
      <w:r>
        <w:t xml:space="preserve"> </w:t>
      </w:r>
      <m:oMath>
        <m:r>
          <m:t>W</m:t>
        </m:r>
        <m:r>
          <m:rPr>
            <m:sty m:val="p"/>
          </m:rPr>
          <m:t>=</m:t>
        </m:r>
        <m:r>
          <m:t>60</m:t>
        </m:r>
      </m:oMath>
      <w:r>
        <w:t xml:space="preserve"> </w:t>
      </w:r>
      <w:r>
        <w:t xml:space="preserve">with stride 30 across the standardised stream. Each window is summarised by</w:t>
      </w:r>
      <w:r>
        <w:t xml:space="preserve"> </w:t>
      </w:r>
      <w:r>
        <w:t xml:space="preserve">six per-channel statistics (mean (level), standard deviation (variability), minimum, maximum, first-to-last</w:t>
      </w:r>
      <w:r>
        <w:t xml:space="preserve"> </w:t>
      </w:r>
      <w:r>
        <w:t xml:space="preserve">difference (net trend) and range) concatenated into one flat feature vector, so a</w:t>
      </w:r>
      <w:r>
        <w:t xml:space="preserve"> </w:t>
      </w:r>
      <m:oMath>
        <m:r>
          <m:t>C</m:t>
        </m:r>
      </m:oMath>
      <w:r>
        <w:t xml:space="preserve">-channel window becomes a</w:t>
      </w:r>
      <w:r>
        <w:t xml:space="preserve"> </w:t>
      </w:r>
      <m:oMath>
        <m:r>
          <m:t>6</m:t>
        </m:r>
        <m:r>
          <m:t>C</m:t>
        </m:r>
      </m:oMath>
      <w:r>
        <w:t xml:space="preserve">-dimensional</w:t>
      </w:r>
      <w:r>
        <w:t xml:space="preserve"> </w:t>
      </w:r>
      <w:r>
        <w:t xml:space="preserve">input. A window is labelled anomalous if more than 5% of its timesteps are attack timesteps. Model inputs are</w:t>
      </w:r>
      <w:r>
        <w:t xml:space="preserve"> </w:t>
      </w:r>
      <w:r>
        <w:t xml:space="preserve">additionally per-feature standardised on train-normal before the encoder. The window size and stride are unified</w:t>
      </w:r>
      <w:r>
        <w:t xml:space="preserve"> </w:t>
      </w:r>
      <w:r>
        <w:t xml:space="preserve">across all three datasets. The reported model uses these static per-channel features; explicit multiscale</w:t>
      </w:r>
      <w:r>
        <w:t xml:space="preserve"> </w:t>
      </w:r>
      <w:r>
        <w:t xml:space="preserve">temporal features (slope, velocity, spectral band power) motivated by A9 are left to future work (§7).</w:t>
      </w:r>
    </w:p>
    <w:p>
      <w:pPr>
        <w:pStyle w:val="MDPI22heading2"/>
        <w:ind w:left="2608"/>
      </w:pPr>
      <w:r>
        <w:t xml:space="preserve">5.3  Difficulty stratification</w:t>
      </w:r>
    </w:p>
    <w:p>
      <w:pPr>
        <w:pStyle w:val="MDPI32textnoindent"/>
        <w:ind w:left="2608"/>
      </w:pPr>
      <w:r>
        <w:t xml:space="preserve">A trivial detector scores each window by the maximum absolute standardised per-channel window mean,</w:t>
      </w:r>
      <w:r>
        <w:t xml:space="preserve"> </w:t>
      </w:r>
      <m:oMath>
        <m:limLow>
          <m:e>
            <m:r>
              <m:rPr>
                <m:sty m:val="p"/>
              </m:rPr>
              <m:t>max</m:t>
            </m:r>
          </m:e>
          <m:lim>
            <m:r>
              <m:t>c</m:t>
            </m:r>
            <m:r>
              <m:t>h</m:t>
            </m:r>
          </m:lim>
        </m:limLow>
        <m:r>
          <m:rPr>
            <m:sty m:val="p"/>
          </m:rPr>
          <m:t>∣</m:t>
        </m:r>
        <m:r>
          <m:t>z</m:t>
        </m:r>
        <m:r>
          <m:rPr>
            <m:sty m:val="p"/>
          </m:rPr>
          <m:t>∣</m:t>
        </m:r>
      </m:oMath>
      <w:r>
        <w:t xml:space="preserve">, the simplest “is any channel out of its normal</w:t>
      </w:r>
      <w:r>
        <w:t xml:space="preserve"> </w:t>
      </w:r>
      <w:r>
        <w:t xml:space="preserve">range” rule. An anomaly window is labelled</w:t>
      </w:r>
      <w:r>
        <w:t xml:space="preserve"> </w:t>
      </w:r>
      <w:r>
        <w:rPr>
          <w:b/>
          <w:bCs/>
        </w:rPr>
        <w:t xml:space="preserve">easy</w:t>
      </w:r>
      <w:r>
        <w:t xml:space="preserve"> </w:t>
      </w:r>
      <w:r>
        <w:t xml:space="preserve">if this trivial score exceeds the 99th</w:t>
      </w:r>
      <w:r>
        <w:t xml:space="preserve"> </w:t>
      </w:r>
      <w:r>
        <w:t xml:space="preserve">percentile of train-normal, and</w:t>
      </w:r>
      <w:r>
        <w:t xml:space="preserve"> </w:t>
      </w:r>
      <w:r>
        <w:rPr>
          <w:b/>
          <w:bCs/>
        </w:rPr>
        <w:t xml:space="preserve">difficult</w:t>
      </w:r>
      <w:r>
        <w:t xml:space="preserve"> </w:t>
      </w:r>
      <w:r>
        <w:t xml:space="preserve">otherwise. Difficult windows are those the max-mean</w:t>
      </w:r>
      <w:r>
        <w:t xml:space="preserve"> </w:t>
      </w:r>
      <w:r>
        <w:t xml:space="preserve">range rule does not separate; §6 confirms the HAI advantage persists under a stronger split that also removes</w:t>
      </w:r>
      <w:r>
        <w:t xml:space="preserve"> </w:t>
      </w:r>
      <w:r>
        <w:t xml:space="preserve">windows flagged by any of the six per-channel statistics, so difficulty is not defined by a single hand-picked</w:t>
      </w:r>
      <w:r>
        <w:t xml:space="preserve"> </w:t>
      </w:r>
      <w:r>
        <w:t xml:space="preserve">statistic. We report all methods on three subsets:</w:t>
      </w:r>
      <w:r>
        <w:t xml:space="preserve"> </w:t>
      </w:r>
      <w:r>
        <w:rPr>
          <w:b/>
          <w:bCs/>
        </w:rPr>
        <w:t xml:space="preserve">Easy</w:t>
      </w:r>
      <w:r>
        <w:t xml:space="preserve">,</w:t>
      </w:r>
      <w:r>
        <w:t xml:space="preserve"> </w:t>
      </w:r>
      <w:r>
        <w:rPr>
          <w:b/>
          <w:bCs/>
        </w:rPr>
        <w:t xml:space="preserve">Difficult</w:t>
      </w:r>
      <w:r>
        <w:t xml:space="preserve">, and</w:t>
      </w:r>
      <w:r>
        <w:t xml:space="preserve"> </w:t>
      </w:r>
      <w:r>
        <w:rPr>
          <w:b/>
          <w:bCs/>
        </w:rPr>
        <w:t xml:space="preserve">All</w:t>
      </w:r>
      <w:r>
        <w:t xml:space="preserve">. The difficult column is the</w:t>
      </w:r>
      <w:r>
        <w:t xml:space="preserve"> </w:t>
      </w:r>
      <w:r>
        <w:t xml:space="preserve">discriminative one.</w:t>
      </w:r>
    </w:p>
    <w:p>
      <w:pPr>
        <w:pStyle w:val="MDPI22heading2"/>
        <w:ind w:left="2608"/>
      </w:pPr>
      <w:r>
        <w:t xml:space="preserve">5.4  Comparable metrics</w:t>
      </w:r>
    </w:p>
    <w:p>
      <w:pPr>
        <w:pStyle w:val="MDPI32textnoindent"/>
        <w:ind w:left="2608"/>
      </w:pPr>
      <w:r>
        <w:t xml:space="preserve">We report two raw, point-wise metrics and are explicit about their comparability across subsets.</w:t>
      </w:r>
    </w:p>
    <w:p>
      <w:pPr>
        <w:pStyle w:val="MDPI38bullet"/>
        <w:numPr>
          <w:ilvl w:val="0"/>
          <w:numId w:val="2"/>
        </w:numPr>
        <w:ind w:left="3328" w:hanging="360"/>
      </w:pPr>
      <w:r>
        <w:rPr>
          <w:b/>
          <w:bCs/>
        </w:rPr>
        <w:t xml:space="preserve">AUROC</w:t>
      </w:r>
      <w:r>
        <w:t xml:space="preserve"> </w:t>
      </w:r>
      <w:r>
        <w:t xml:space="preserve">is prevalence-independent, hence directly comparable across Easy/Difficult/All, and</w:t>
      </w:r>
      <w:r>
        <w:t xml:space="preserve"> </w:t>
      </w:r>
      <w:r>
        <w:t xml:space="preserve">requires no threshold. It is our primary cross-subset metric, reported as a five-seed mean for the learned</w:t>
      </w:r>
      <w:r>
        <w:t xml:space="preserve"> </w:t>
      </w:r>
      <w:r>
        <w:t xml:space="preserve">detectors.</w:t>
      </w:r>
    </w:p>
    <w:p>
      <w:pPr>
        <w:pStyle w:val="MDPI38bullet"/>
        <w:numPr>
          <w:ilvl w:val="0"/>
          <w:numId w:val="2"/>
        </w:numPr>
        <w:ind w:left="3328" w:hanging="360"/>
      </w:pPr>
      <w:r>
        <w:rPr>
          <w:b/>
          <w:bCs/>
        </w:rPr>
        <w:t xml:space="preserve">F1</w:t>
      </w:r>
      <w:r>
        <w:t xml:space="preserve"> </w:t>
      </w:r>
      <w:r>
        <w:t xml:space="preserve">is the best raw point-wise F1 over score thresholds (an oracle, field-standard threshold,</w:t>
      </w:r>
      <w:r>
        <w:t xml:space="preserve"> </w:t>
      </w:r>
      <w:r>
        <w:t xml:space="preserve">disclosed plainly). Because the subsets differ in positive count it is not directly comparable across them and</w:t>
      </w:r>
      <w:r>
        <w:t xml:space="preserve"> </w:t>
      </w:r>
      <w:r>
        <w:t xml:space="preserve">serves as a secondary, within-subset figure.</w:t>
      </w:r>
    </w:p>
    <w:p>
      <w:pPr>
        <w:pStyle w:val="MDPI32textnoindent"/>
        <w:ind w:left="2608"/>
      </w:pPr>
      <w:r>
        <w:t xml:space="preserve">All model fitting and all calibration (density head, nearest-component reference, residual precisions and</w:t>
      </w:r>
      <w:r>
        <w:t xml:space="preserve"> </w:t>
      </w:r>
      <w:r>
        <w:t xml:space="preserve">gate, basin scale and reference, and every z-normalisation) use train-normal data only. Test data never enters</w:t>
      </w:r>
      <w:r>
        <w:t xml:space="preserve"> </w:t>
      </w:r>
      <w:r>
        <w:t xml:space="preserve">training or calibration. AUROC is leak-free; only the F1 threshold uses the test-swept oracle, which we</w:t>
      </w:r>
      <w:r>
        <w:t xml:space="preserve"> </w:t>
      </w:r>
      <w:r>
        <w:t xml:space="preserve">flag.</w:t>
      </w:r>
    </w:p>
    <w:p>
      <w:pPr>
        <w:pStyle w:val="MDPI22heading2"/>
        <w:ind w:left="2608"/>
      </w:pPr>
      <w:r>
        <w:t xml:space="preserve">5.5  Baselines and SOTA re-computation</w:t>
      </w:r>
    </w:p>
    <w:p>
      <w:pPr>
        <w:pStyle w:val="MDPI32textnoindent"/>
        <w:ind w:left="2608"/>
      </w:pPr>
      <w:r>
        <w:t xml:space="preserve">Classical baselines are Isolation Forest [</w:t>
      </w:r>
      <w:hyperlink w:anchor="r-if">
        <w:r>
          <w:rPr>
            <w:rStyle w:val="Hyperlink"/>
          </w:rPr>
          <w:t xml:space="preserve">20</w:t>
        </w:r>
      </w:hyperlink>
      <w:r>
        <w:t xml:space="preserve">] and a deep autoencoder, both on the same</w:t>
      </w:r>
      <w:r>
        <w:t xml:space="preserve"> </w:t>
      </w:r>
      <w:r>
        <w:t xml:space="preserve">window features, together with a linear cross-channel baseline (LinRes): a leave-one-channel-out linear regression</w:t>
      </w:r>
      <w:r>
        <w:t xml:space="preserve"> </w:t>
      </w:r>
      <w:r>
        <w:t xml:space="preserve">that predicts each channel's window summary from the others, with discrete actuator channels one-hot encoded,</w:t>
      </w:r>
      <w:r>
        <w:t xml:space="preserve"> </w:t>
      </w:r>
      <w:r>
        <w:t xml:space="preserve">scored by its residual. For modern SOTA we re-run USAD [</w:t>
      </w:r>
      <w:hyperlink w:anchor="r-usad">
        <w:r>
          <w:rPr>
            <w:rStyle w:val="Hyperlink"/>
          </w:rPr>
          <w:t xml:space="preserve">22</w:t>
        </w:r>
      </w:hyperlink>
      <w:r>
        <w:t xml:space="preserve">] and TranAD</w:t>
      </w:r>
      <w:r>
        <w:t xml:space="preserve"> </w:t>
      </w:r>
      <w:r>
        <w:t xml:space="preserve">[</w:t>
      </w:r>
      <w:hyperlink w:anchor="r-tranad">
        <w:r>
          <w:rPr>
            <w:rStyle w:val="Hyperlink"/>
          </w:rPr>
          <w:t xml:space="preserve">23</w:t>
        </w:r>
      </w:hyperlink>
      <w:r>
        <w:t xml:space="preserve">] through the TranAD evaluation harness over five seeds and score them with the</w:t>
      </w:r>
      <w:r>
        <w:t xml:space="preserve"> </w:t>
      </w:r>
      <w:r>
        <w:rPr>
          <w:i/>
          <w:iCs/>
        </w:rPr>
        <w:t xml:space="preserve">same raw point-wise metrics</w:t>
      </w:r>
      <w:r>
        <w:t xml:space="preserve">, aggregating their per-timestep scores onto our window grid (with an</w:t>
      </w:r>
      <w:r>
        <w:t xml:space="preserve"> </w:t>
      </w:r>
      <w:r>
        <w:t xml:space="preserve">integer-ratio correction for HAI's downsampling). We also re-run the graph-based GDN [</w:t>
      </w:r>
      <w:hyperlink w:anchor="r-gdn">
        <w:r>
          <w:rPr>
            <w:rStyle w:val="Hyperlink"/>
          </w:rPr>
          <w:t xml:space="preserve">24</w:t>
        </w:r>
      </w:hyperlink>
      <w:r>
        <w:t xml:space="preserve">]</w:t>
      </w:r>
      <w:r>
        <w:t xml:space="preserve"> </w:t>
      </w:r>
      <w:r>
        <w:t xml:space="preserve">under the identical protocol; its per-window graph training completed within our compute budget only on SWaT,</w:t>
      </w:r>
      <w:r>
        <w:t xml:space="preserve"> </w:t>
      </w:r>
      <w:r>
        <w:t xml:space="preserve">where it matches the other deep detectors (difficult-subset AUROC 0.871, below ours).</w:t>
      </w:r>
      <w:r>
        <w:t xml:space="preserve"> </w:t>
      </w:r>
      <w:r>
        <w:t xml:space="preserve">We do</w:t>
      </w:r>
      <w:r>
        <w:t xml:space="preserve"> </w:t>
      </w:r>
      <w:r>
        <w:rPr>
          <w:i/>
          <w:iCs/>
        </w:rPr>
        <w:t xml:space="preserve">not</w:t>
      </w:r>
      <w:r>
        <w:t xml:space="preserve"> </w:t>
      </w:r>
      <w:r>
        <w:t xml:space="preserve">apply point adjustment to any method. This is deliberate: point adjustment inflates F1 so</w:t>
      </w:r>
      <w:r>
        <w:t xml:space="preserve"> </w:t>
      </w:r>
      <w:r>
        <w:t xml:space="preserve">severely that a random score outscores every deep model (§2), so a fair comparison must use raw metrics for</w:t>
      </w:r>
      <w:r>
        <w:t xml:space="preserve"> </w:t>
      </w:r>
      <w:r>
        <w:t xml:space="preserve">all methods, including the published SOTA. We also report a pedagogical</w:t>
      </w:r>
      <w:r>
        <w:t xml:space="preserve"> </w:t>
      </w:r>
      <w:r>
        <w:rPr>
          <w:i/>
          <w:iCs/>
        </w:rPr>
        <w:t xml:space="preserve">trivial</w:t>
      </w:r>
      <w:r>
        <w:t xml:space="preserve"> </w:t>
      </w:r>
      <w:r>
        <w:t xml:space="preserve">baseline, the</w:t>
      </w:r>
      <w:r>
        <w:t xml:space="preserve"> </w:t>
      </w:r>
      <w:r>
        <w:t xml:space="preserve">maximum absolute standardised per-channel window mean, the same score that defines the difficulty split (§5.3),</w:t>
      </w:r>
      <w:r>
        <w:t xml:space="preserve"> </w:t>
      </w:r>
      <w:r>
        <w:t xml:space="preserve">whose behaviour by construction is strong on Easy and near chance on Difficult.</w:t>
      </w:r>
    </w:p>
    <w:p>
      <w:pPr>
        <w:pStyle w:val="MDPI21heading1"/>
        <w:ind w:left="2608"/>
      </w:pPr>
      <w:r>
        <w:t xml:space="preserve">6  Results</w:t>
      </w:r>
    </w:p>
    <w:p>
      <w:pPr>
        <w:pStyle w:val="MDPI32textnoindent"/>
        <w:ind w:left="2608"/>
      </w:pPr>
      <w:r>
        <w:t xml:space="preserve">Table 3 reports AUROC and best raw point-wise F1 for every method on the three datasets and the three</w:t>
      </w:r>
      <w:r>
        <w:t xml:space="preserve"> </w:t>
      </w:r>
      <w:r>
        <w:t xml:space="preserve">subsets. The main model is</w:t>
      </w:r>
      <w:r>
        <w:t xml:space="preserve"> </w:t>
      </w:r>
      <w:r>
        <w:rPr>
          <w:b/>
          <w:bCs/>
        </w:rPr>
        <w:t xml:space="preserve">VaDE‑hard+resid(auto)</w:t>
      </w:r>
      <w:r>
        <w:t xml:space="preserve">. Bold marks the best AUROC within a</w:t>
      </w:r>
      <w:r>
        <w:t xml:space="preserve"> </w:t>
      </w:r>
      <w:r>
        <w:t xml:space="preserve">column across all methods; AUROC for the learned detectors is reported as mean±standard deviation over</w:t>
      </w:r>
      <w:r>
        <w:t xml:space="preserve"> </w:t>
      </w:r>
      <w:r>
        <w:t xml:space="preserve">five seeds.</w:t>
      </w:r>
    </w:p>
    <w:p>
      <w:pPr>
        <w:pStyle w:val="MDPI41tablecaption"/>
        <w:ind w:left="2608"/>
      </w:pPr>
      <w:r>
        <w:rPr>
          <w:b/>
          <w:bCs/>
        </w:rPr>
        <w:t xml:space="preserve">Table 3.</w:t>
      </w:r>
      <w:r>
        <w:t xml:space="preserve"> </w:t>
      </w:r>
      <w:r>
        <w:t xml:space="preserve">Per-dataset, per-subset results [AUROC, F1] on three real CPS attack</w:t>
      </w:r>
      <w:r>
        <w:t xml:space="preserve"> </w:t>
      </w:r>
      <w:r>
        <w:t xml:space="preserve">benchmarks. AUROC is leak-free; F1 is the best raw point-wise F1 over thresholds. Higher is better. Learned</w:t>
      </w:r>
      <w:r>
        <w:t xml:space="preserve"> </w:t>
      </w:r>
      <w:r>
        <w:t xml:space="preserve">detectors (Isolation Forest, AutoEncoder, USAD, TranAD, and the VaDE family) report AUROC as</w:t>
      </w:r>
      <w:r>
        <w:t xml:space="preserve"> </w:t>
      </w:r>
      <w:r>
        <w:t xml:space="preserve">mean±standard deviation over five seeds; GDN, whose per-window graph training completed only on SWaT within</w:t>
      </w:r>
      <w:r>
        <w:t xml:space="preserve"> </w:t>
      </w:r>
      <w:r>
        <w:t xml:space="preserve">our compute budget, is reported single-run on SWaT. Bold = best AUROC in that dataset×subset column (ties</w:t>
      </w:r>
      <w:r>
        <w:t xml:space="preserve"> </w:t>
      </w:r>
      <w:r>
        <w:t xml:space="preserve">bolded jointly). “Ours” = the VaDE-hard+resid(auto) headline model. The</w:t>
      </w:r>
      <w:r>
        <w:t xml:space="preserve"> </w:t>
      </w:r>
      <w:r>
        <w:rPr>
          <w:i/>
          <w:iCs/>
        </w:rPr>
        <w:t xml:space="preserve">trivial max|z|</w:t>
      </w:r>
      <w:r>
        <w:t xml:space="preserve"> </w:t>
      </w:r>
      <w:r>
        <w:t xml:space="preserve">row is the univariate range rule that</w:t>
      </w:r>
      <w:r>
        <w:t xml:space="preserve"> </w:t>
      </w:r>
      <w:r>
        <w:t xml:space="preserve">defines the difficulty split (§5.3): strong on Easy and near chance on Difficult, which is what makes the</w:t>
      </w:r>
      <w:r>
        <w:t xml:space="preserve"> </w:t>
      </w:r>
      <w:r>
        <w:t xml:space="preserve">split meaningful.</w:t>
      </w:r>
      <w:r>
        <w:t xml:space="preserve"> </w:t>
      </w:r>
      <w:r>
        <w:rPr>
          <w:i/>
          <w:iCs/>
        </w:rPr>
        <w:t xml:space="preserve">LinRes</w:t>
      </w:r>
      <w:r>
        <w:t xml:space="preserve"> </w:t>
      </w:r>
      <w:r>
        <w:t xml:space="preserve">is a leave-one-channel-out linear cross-channel predictor, a simple</w:t>
      </w:r>
      <w:r>
        <w:t xml:space="preserve"> </w:t>
      </w:r>
      <w:r>
        <w:t xml:space="preserve">correlation baseline.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571"/>
        <w:gridCol w:w="859"/>
        <w:gridCol w:w="1191"/>
        <w:gridCol w:w="617"/>
        <w:gridCol w:w="1191"/>
        <w:gridCol w:w="617"/>
        <w:gridCol w:w="1191"/>
        <w:gridCol w:w="621"/>
      </w:tblGrid>
      <w:tr>
        <w:trPr>
          <w:tblHeader w:val="on"/>
        </w:trPr>
        <w:tc>
          <w:tcPr>
            <w:vMerge w:val="restart"/>
            <w:vAlign w:val="center"/>
          </w:tcPr>
          <w:p>
            <w:pPr>
              <w:pStyle w:val="Compact"/>
              <w:suppressAutoHyphens/>
              <w:jc w:val="center"/>
            </w:pPr>
            <w:r>
              <w:rPr>
                <w:b/>
                <w:sz w:val="18"/>
                <w:szCs w:val="18"/>
              </w:rPr>
              <w:t xml:space="preserve">Method</w:t>
            </w:r>
          </w:p>
        </w:tc>
        <w:tc>
          <w:tcPr>
            <w:vMerge w:val="restart"/>
            <w:vAlign w:val="center"/>
          </w:tcPr>
          <w:p>
            <w:pPr>
              <w:pStyle w:val="Compact"/>
              <w:suppressAutoHyphens/>
              <w:jc w:val="center"/>
            </w:pPr>
            <w:r>
              <w:rPr>
                <w:b/>
                <w:sz w:val="18"/>
                <w:szCs w:val="18"/>
              </w:rPr>
              <w:t xml:space="preserve">Group</w:t>
            </w:r>
          </w:p>
        </w:tc>
        <w:tc>
          <w:tcPr>
            <w:gridSpan w:val="2"/>
            <w:vAlign w:val="center"/>
          </w:tcPr>
          <w:p>
            <w:pPr>
              <w:pStyle w:val="Compact"/>
              <w:suppressAutoHyphens/>
              <w:jc w:val="center"/>
            </w:pPr>
            <w:r>
              <w:rPr>
                <w:b/>
                <w:sz w:val="18"/>
                <w:szCs w:val="18"/>
              </w:rPr>
              <w:t xml:space="preserve">All</w:t>
            </w:r>
          </w:p>
        </w:tc>
        <w:tc>
          <w:tcPr>
            <w:gridSpan w:val="2"/>
            <w:vAlign w:val="center"/>
          </w:tcPr>
          <w:p>
            <w:pPr>
              <w:pStyle w:val="Compact"/>
              <w:suppressAutoHyphens/>
              <w:jc w:val="center"/>
            </w:pPr>
            <w:r>
              <w:rPr>
                <w:b/>
                <w:sz w:val="18"/>
                <w:szCs w:val="18"/>
              </w:rPr>
              <w:t xml:space="preserve">Easy</w:t>
            </w:r>
          </w:p>
        </w:tc>
        <w:tc>
          <w:tcPr>
            <w:gridSpan w:val="2"/>
            <w:vAlign w:val="center"/>
          </w:tcPr>
          <w:p>
            <w:pPr>
              <w:pStyle w:val="Compact"/>
              <w:suppressAutoHyphens/>
              <w:jc w:val="center"/>
            </w:pPr>
            <w:r>
              <w:rPr>
                <w:b/>
                <w:sz w:val="18"/>
                <w:szCs w:val="18"/>
              </w:rPr>
              <w:t xml:space="preserve">Difficult</w:t>
            </w:r>
          </w:p>
        </w:tc>
      </w:tr>
      <w:tr>
        <w:trPr>
          <w:tblHeader w:val="on"/>
        </w:trPr>
        <w:tc>
          <w:tcPr>
            <w:gridSpan w:val="1"/>
            <w:vMerge w:val="continue"/>
            <w:tcBorders>
              <w:bottom w:val="single" w:sz="8" w:space="0" w:color="auto"/>
            </w:tcBorders>
            <w:vAlign w:val="center"/>
          </w:tcPr>
          <w:p>
            <w:pPr>
              <w:suppressAutoHyphens/>
              <w:jc w:val="center"/>
            </w:pPr>
          </w:p>
        </w:tc>
        <w:tc>
          <w:tcPr>
            <w:gridSpan w:val="1"/>
            <w:vMerge w:val="continue"/>
            <w:tcBorders>
              <w:bottom w:val="single" w:sz="8" w:space="0" w:color="auto"/>
            </w:tcBorders>
            <w:vAlign w:val="center"/>
          </w:tcPr>
          <w:p>
            <w:pPr>
              <w:suppressAutoHyphens/>
              <w:jc w:val="center"/>
            </w:pPr>
          </w:p>
        </w:tc>
        <w:tc>
          <w:tcPr>
            <w:tcBorders>
              <w:bottom w:val="single" w:sz="8" w:space="0" w:color="auto"/>
            </w:tcBorders>
            <w:vAlign w:val="center"/>
          </w:tcPr>
          <w:p>
            <w:pPr>
              <w:pStyle w:val="Compact"/>
              <w:suppressAutoHyphens/>
              <w:jc w:val="center"/>
            </w:pPr>
            <w:r>
              <w:rPr>
                <w:b/>
                <w:sz w:val="18"/>
                <w:szCs w:val="18"/>
              </w:rPr>
              <w:t xml:space="preserve">AUROC</w:t>
            </w:r>
          </w:p>
        </w:tc>
        <w:tc>
          <w:tcPr>
            <w:tcBorders>
              <w:bottom w:val="single" w:sz="8" w:space="0" w:color="auto"/>
            </w:tcBorders>
            <w:vAlign w:val="center"/>
          </w:tcPr>
          <w:p>
            <w:pPr>
              <w:pStyle w:val="Compact"/>
              <w:suppressAutoHyphens/>
              <w:jc w:val="center"/>
            </w:pPr>
            <w:r>
              <w:rPr>
                <w:b/>
                <w:sz w:val="18"/>
                <w:szCs w:val="18"/>
              </w:rPr>
              <w:t xml:space="preserve">F1</w:t>
            </w:r>
          </w:p>
        </w:tc>
        <w:tc>
          <w:tcPr>
            <w:tcBorders>
              <w:bottom w:val="single" w:sz="8" w:space="0" w:color="auto"/>
            </w:tcBorders>
            <w:vAlign w:val="center"/>
          </w:tcPr>
          <w:p>
            <w:pPr>
              <w:pStyle w:val="Compact"/>
              <w:suppressAutoHyphens/>
              <w:jc w:val="center"/>
            </w:pPr>
            <w:r>
              <w:rPr>
                <w:b/>
                <w:sz w:val="18"/>
                <w:szCs w:val="18"/>
              </w:rPr>
              <w:t xml:space="preserve">AUROC</w:t>
            </w:r>
          </w:p>
        </w:tc>
        <w:tc>
          <w:tcPr>
            <w:tcBorders>
              <w:bottom w:val="single" w:sz="8" w:space="0" w:color="auto"/>
            </w:tcBorders>
            <w:vAlign w:val="center"/>
          </w:tcPr>
          <w:p>
            <w:pPr>
              <w:pStyle w:val="Compact"/>
              <w:suppressAutoHyphens/>
              <w:jc w:val="center"/>
            </w:pPr>
            <w:r>
              <w:rPr>
                <w:b/>
                <w:sz w:val="18"/>
                <w:szCs w:val="18"/>
              </w:rPr>
              <w:t xml:space="preserve">F1</w:t>
            </w:r>
          </w:p>
        </w:tc>
        <w:tc>
          <w:tcPr>
            <w:tcBorders>
              <w:bottom w:val="single" w:sz="8" w:space="0" w:color="auto"/>
            </w:tcBorders>
            <w:vAlign w:val="center"/>
          </w:tcPr>
          <w:p>
            <w:pPr>
              <w:pStyle w:val="Compact"/>
              <w:suppressAutoHyphens/>
              <w:jc w:val="center"/>
            </w:pPr>
            <w:r>
              <w:rPr>
                <w:b/>
                <w:sz w:val="18"/>
                <w:szCs w:val="18"/>
              </w:rPr>
              <w:t xml:space="preserve">AUROC</w:t>
            </w:r>
          </w:p>
        </w:tc>
        <w:tc>
          <w:tcPr>
            <w:tcBorders>
              <w:bottom w:val="single" w:sz="8" w:space="0" w:color="auto"/>
            </w:tcBorders>
            <w:vAlign w:val="center"/>
          </w:tcPr>
          <w:p>
            <w:pPr>
              <w:pStyle w:val="Compact"/>
              <w:suppressAutoHyphens/>
              <w:jc w:val="center"/>
            </w:pPr>
            <w:r>
              <w:rPr>
                <w:b/>
                <w:sz w:val="18"/>
                <w:szCs w:val="18"/>
              </w:rPr>
              <w:t xml:space="preserve">F1</w:t>
            </w:r>
          </w:p>
        </w:tc>
      </w:tr>
      <w:tr>
        <w:tc>
          <w:tcPr>
            <w:gridSpan w:val="8"/>
            <w:vAlign w:val="center"/>
          </w:tcPr>
          <w:p>
            <w:pPr>
              <w:pStyle w:val="Compact"/>
              <w:suppressAutoHyphens/>
              <w:jc w:val="center"/>
            </w:pPr>
            <w:r>
              <w:rPr>
                <w:b/>
                <w:bCs/>
                <w:sz w:val="18"/>
                <w:szCs w:val="18"/>
              </w:rPr>
              <w:t xml:space="preserve">WADI</w:t>
            </w:r>
            <w:r>
              <w:rPr>
                <w:sz w:val="18"/>
                <w:szCs w:val="18"/>
              </w:rPr>
              <w:t xml:space="preserve"> </w:t>
            </w:r>
            <w:r>
              <w:rPr>
                <w:sz w:val="18"/>
                <w:szCs w:val="18"/>
              </w:rPr>
              <w:t xml:space="preserve"> </w:t>
            </w:r>
            <w:r>
              <w:rPr>
                <w:sz w:val="18"/>
                <w:szCs w:val="18"/>
              </w:rPr>
              <w:t xml:space="preserve">(anom 56 = 37 easy + 19 difficult)</w:t>
            </w:r>
          </w:p>
        </w:tc>
      </w:tr>
      <w:tr>
        <w:tc>
          <w:tcPr>
            <w:vAlign w:val="center"/>
          </w:tcPr>
          <w:p>
            <w:pPr>
              <w:pStyle w:val="Compact"/>
              <w:suppressAutoHyphens/>
              <w:jc w:val="center"/>
            </w:pPr>
            <w:r>
              <w:rPr>
                <w:sz w:val="18"/>
                <w:szCs w:val="18"/>
              </w:rPr>
              <w:t xml:space="preserve">trivial max|z|</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0.558</w:t>
            </w:r>
          </w:p>
        </w:tc>
        <w:tc>
          <w:tcPr>
            <w:vAlign w:val="center"/>
          </w:tcPr>
          <w:p>
            <w:pPr>
              <w:pStyle w:val="Compact"/>
              <w:suppressAutoHyphens/>
              <w:jc w:val="center"/>
            </w:pPr>
            <w:r>
              <w:rPr>
                <w:sz w:val="18"/>
                <w:szCs w:val="18"/>
              </w:rPr>
              <w:t xml:space="preserve">0.000</w:t>
            </w:r>
          </w:p>
        </w:tc>
        <w:tc>
          <w:tcPr>
            <w:vAlign w:val="center"/>
          </w:tcPr>
          <w:p>
            <w:pPr>
              <w:pStyle w:val="Compact"/>
              <w:suppressAutoHyphens/>
              <w:jc w:val="center"/>
            </w:pPr>
            <w:r>
              <w:rPr>
                <w:sz w:val="18"/>
                <w:szCs w:val="18"/>
              </w:rPr>
              <w:t xml:space="preserve">0.687</w:t>
            </w:r>
          </w:p>
        </w:tc>
        <w:tc>
          <w:tcPr>
            <w:vAlign w:val="center"/>
          </w:tcPr>
          <w:p>
            <w:pPr>
              <w:pStyle w:val="Compact"/>
              <w:suppressAutoHyphens/>
              <w:jc w:val="center"/>
            </w:pPr>
            <w:r>
              <w:rPr>
                <w:sz w:val="18"/>
                <w:szCs w:val="18"/>
              </w:rPr>
              <w:t xml:space="preserve">0.000</w:t>
            </w:r>
          </w:p>
        </w:tc>
        <w:tc>
          <w:tcPr>
            <w:vAlign w:val="center"/>
          </w:tcPr>
          <w:p>
            <w:pPr>
              <w:pStyle w:val="Compact"/>
              <w:suppressAutoHyphens/>
              <w:jc w:val="center"/>
            </w:pPr>
            <w:r>
              <w:rPr>
                <w:sz w:val="18"/>
                <w:szCs w:val="18"/>
              </w:rPr>
              <w:t xml:space="preserve">0.307</w:t>
            </w:r>
          </w:p>
        </w:tc>
        <w:tc>
          <w:tcPr>
            <w:vAlign w:val="center"/>
          </w:tcPr>
          <w:p>
            <w:pPr>
              <w:pStyle w:val="Compact"/>
              <w:suppressAutoHyphens/>
              <w:jc w:val="center"/>
            </w:pPr>
            <w:r>
              <w:rPr>
                <w:sz w:val="18"/>
                <w:szCs w:val="18"/>
              </w:rPr>
              <w:t xml:space="preserve">0.000</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0.726±0.007</w:t>
            </w:r>
          </w:p>
        </w:tc>
        <w:tc>
          <w:tcPr>
            <w:vAlign w:val="center"/>
          </w:tcPr>
          <w:p>
            <w:pPr>
              <w:pStyle w:val="Compact"/>
              <w:suppressAutoHyphens/>
              <w:jc w:val="center"/>
            </w:pPr>
            <w:r>
              <w:rPr>
                <w:sz w:val="18"/>
                <w:szCs w:val="18"/>
              </w:rPr>
              <w:t xml:space="preserve">0.375</w:t>
            </w:r>
          </w:p>
        </w:tc>
        <w:tc>
          <w:tcPr>
            <w:vAlign w:val="center"/>
          </w:tcPr>
          <w:p>
            <w:pPr>
              <w:pStyle w:val="Compact"/>
              <w:suppressAutoHyphens/>
              <w:jc w:val="center"/>
            </w:pPr>
            <w:r>
              <w:rPr>
                <w:sz w:val="18"/>
                <w:szCs w:val="18"/>
              </w:rPr>
              <w:t xml:space="preserve">0.751±0.010</w:t>
            </w:r>
          </w:p>
        </w:tc>
        <w:tc>
          <w:tcPr>
            <w:vAlign w:val="center"/>
          </w:tcPr>
          <w:p>
            <w:pPr>
              <w:pStyle w:val="Compact"/>
              <w:suppressAutoHyphens/>
              <w:jc w:val="center"/>
            </w:pPr>
            <w:r>
              <w:rPr>
                <w:sz w:val="18"/>
                <w:szCs w:val="18"/>
              </w:rPr>
              <w:t xml:space="preserve">0.373</w:t>
            </w:r>
          </w:p>
        </w:tc>
        <w:tc>
          <w:tcPr>
            <w:vAlign w:val="center"/>
          </w:tcPr>
          <w:p>
            <w:pPr>
              <w:pStyle w:val="Compact"/>
              <w:suppressAutoHyphens/>
              <w:jc w:val="center"/>
            </w:pPr>
            <w:r>
              <w:rPr>
                <w:sz w:val="18"/>
                <w:szCs w:val="18"/>
              </w:rPr>
              <w:t xml:space="preserve">0.677±0.011</w:t>
            </w:r>
          </w:p>
        </w:tc>
        <w:tc>
          <w:tcPr>
            <w:vAlign w:val="center"/>
          </w:tcPr>
          <w:p>
            <w:pPr>
              <w:pStyle w:val="Compact"/>
              <w:suppressAutoHyphens/>
              <w:jc w:val="center"/>
            </w:pPr>
            <w:r>
              <w:rPr>
                <w:sz w:val="18"/>
                <w:szCs w:val="18"/>
              </w:rPr>
              <w:t xml:space="preserve">0.149</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0.743±0.001</w:t>
            </w:r>
          </w:p>
        </w:tc>
        <w:tc>
          <w:tcPr>
            <w:vAlign w:val="center"/>
          </w:tcPr>
          <w:p>
            <w:pPr>
              <w:pStyle w:val="Compact"/>
              <w:suppressAutoHyphens/>
              <w:jc w:val="center"/>
            </w:pPr>
            <w:r>
              <w:rPr>
                <w:sz w:val="18"/>
                <w:szCs w:val="18"/>
              </w:rPr>
              <w:t xml:space="preserve">0.604</w:t>
            </w:r>
          </w:p>
        </w:tc>
        <w:tc>
          <w:tcPr>
            <w:vAlign w:val="center"/>
          </w:tcPr>
          <w:p>
            <w:pPr>
              <w:pStyle w:val="Compact"/>
              <w:suppressAutoHyphens/>
              <w:jc w:val="center"/>
            </w:pPr>
            <w:r>
              <w:rPr>
                <w:sz w:val="18"/>
                <w:szCs w:val="18"/>
              </w:rPr>
              <w:t xml:space="preserve">0.907±0.002</w:t>
            </w:r>
          </w:p>
        </w:tc>
        <w:tc>
          <w:tcPr>
            <w:vAlign w:val="center"/>
          </w:tcPr>
          <w:p>
            <w:pPr>
              <w:pStyle w:val="Compact"/>
              <w:suppressAutoHyphens/>
              <w:jc w:val="center"/>
            </w:pPr>
            <w:r>
              <w:rPr>
                <w:sz w:val="18"/>
                <w:szCs w:val="18"/>
              </w:rPr>
              <w:t xml:space="preserve">0.724</w:t>
            </w:r>
          </w:p>
        </w:tc>
        <w:tc>
          <w:tcPr>
            <w:vAlign w:val="center"/>
          </w:tcPr>
          <w:p>
            <w:pPr>
              <w:pStyle w:val="Compact"/>
              <w:suppressAutoHyphens/>
              <w:jc w:val="center"/>
            </w:pPr>
            <w:r>
              <w:rPr>
                <w:sz w:val="18"/>
                <w:szCs w:val="18"/>
              </w:rPr>
              <w:t xml:space="preserve">0.425±0.005</w:t>
            </w:r>
          </w:p>
        </w:tc>
        <w:tc>
          <w:tcPr>
            <w:vAlign w:val="center"/>
          </w:tcPr>
          <w:p>
            <w:pPr>
              <w:pStyle w:val="Compact"/>
              <w:suppressAutoHyphens/>
              <w:jc w:val="center"/>
            </w:pPr>
            <w:r>
              <w:rPr>
                <w:sz w:val="18"/>
                <w:szCs w:val="18"/>
              </w:rPr>
              <w:t xml:space="preserve">0.218</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0.595</w:t>
            </w:r>
          </w:p>
        </w:tc>
        <w:tc>
          <w:tcPr>
            <w:vAlign w:val="center"/>
          </w:tcPr>
          <w:p>
            <w:pPr>
              <w:pStyle w:val="Compact"/>
              <w:suppressAutoHyphens/>
              <w:jc w:val="center"/>
            </w:pPr>
            <w:r>
              <w:rPr>
                <w:sz w:val="18"/>
                <w:szCs w:val="18"/>
              </w:rPr>
              <w:t xml:space="preserve">0.215</w:t>
            </w:r>
          </w:p>
        </w:tc>
        <w:tc>
          <w:tcPr>
            <w:vAlign w:val="center"/>
          </w:tcPr>
          <w:p>
            <w:pPr>
              <w:pStyle w:val="Compact"/>
              <w:suppressAutoHyphens/>
              <w:jc w:val="center"/>
            </w:pPr>
            <w:r>
              <w:rPr>
                <w:sz w:val="18"/>
                <w:szCs w:val="18"/>
              </w:rPr>
              <w:t xml:space="preserve">0.699</w:t>
            </w:r>
          </w:p>
        </w:tc>
        <w:tc>
          <w:tcPr>
            <w:vAlign w:val="center"/>
          </w:tcPr>
          <w:p>
            <w:pPr>
              <w:pStyle w:val="Compact"/>
              <w:suppressAutoHyphens/>
              <w:jc w:val="center"/>
            </w:pPr>
            <w:r>
              <w:rPr>
                <w:sz w:val="18"/>
                <w:szCs w:val="18"/>
              </w:rPr>
              <w:t xml:space="preserve">0.214</w:t>
            </w:r>
          </w:p>
        </w:tc>
        <w:tc>
          <w:tcPr>
            <w:vAlign w:val="center"/>
          </w:tcPr>
          <w:p>
            <w:pPr>
              <w:pStyle w:val="Compact"/>
              <w:suppressAutoHyphens/>
              <w:jc w:val="center"/>
            </w:pPr>
            <w:r>
              <w:rPr>
                <w:sz w:val="18"/>
                <w:szCs w:val="18"/>
              </w:rPr>
              <w:t xml:space="preserve">0.392</w:t>
            </w:r>
          </w:p>
        </w:tc>
        <w:tc>
          <w:tcPr>
            <w:vAlign w:val="center"/>
          </w:tcPr>
          <w:p>
            <w:pPr>
              <w:pStyle w:val="Compact"/>
              <w:suppressAutoHyphens/>
              <w:jc w:val="center"/>
            </w:pPr>
            <w:r>
              <w:rPr>
                <w:sz w:val="18"/>
                <w:szCs w:val="18"/>
              </w:rPr>
              <w:t xml:space="preserve">0.174</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0.700±0.001</w:t>
            </w:r>
          </w:p>
        </w:tc>
        <w:tc>
          <w:tcPr>
            <w:vAlign w:val="center"/>
          </w:tcPr>
          <w:p>
            <w:pPr>
              <w:pStyle w:val="Compact"/>
              <w:suppressAutoHyphens/>
              <w:jc w:val="center"/>
            </w:pPr>
            <w:r>
              <w:rPr>
                <w:sz w:val="18"/>
                <w:szCs w:val="18"/>
              </w:rPr>
              <w:t xml:space="preserve">0.512</w:t>
            </w:r>
          </w:p>
        </w:tc>
        <w:tc>
          <w:tcPr>
            <w:vAlign w:val="center"/>
          </w:tcPr>
          <w:p>
            <w:pPr>
              <w:pStyle w:val="Compact"/>
              <w:suppressAutoHyphens/>
              <w:jc w:val="center"/>
            </w:pPr>
            <w:r>
              <w:rPr>
                <w:sz w:val="18"/>
                <w:szCs w:val="18"/>
              </w:rPr>
              <w:t xml:space="preserve">0.903±0.002</w:t>
            </w:r>
          </w:p>
        </w:tc>
        <w:tc>
          <w:tcPr>
            <w:vAlign w:val="center"/>
          </w:tcPr>
          <w:p>
            <w:pPr>
              <w:pStyle w:val="Compact"/>
              <w:suppressAutoHyphens/>
              <w:jc w:val="center"/>
            </w:pPr>
            <w:r>
              <w:rPr>
                <w:sz w:val="18"/>
                <w:szCs w:val="18"/>
              </w:rPr>
              <w:t xml:space="preserve">0.655</w:t>
            </w:r>
          </w:p>
        </w:tc>
        <w:tc>
          <w:tcPr>
            <w:vAlign w:val="center"/>
          </w:tcPr>
          <w:p>
            <w:pPr>
              <w:pStyle w:val="Compact"/>
              <w:suppressAutoHyphens/>
              <w:jc w:val="center"/>
            </w:pPr>
            <w:r>
              <w:rPr>
                <w:sz w:val="18"/>
                <w:szCs w:val="18"/>
              </w:rPr>
              <w:t xml:space="preserve">0.305±0.004</w:t>
            </w:r>
          </w:p>
        </w:tc>
        <w:tc>
          <w:tcPr>
            <w:vAlign w:val="center"/>
          </w:tcPr>
          <w:p>
            <w:pPr>
              <w:pStyle w:val="Compact"/>
              <w:suppressAutoHyphens/>
              <w:jc w:val="center"/>
            </w:pPr>
            <w:r>
              <w:rPr>
                <w:sz w:val="18"/>
                <w:szCs w:val="18"/>
              </w:rPr>
              <w:t xml:space="preserve">0.030</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0.717±0.003</w:t>
            </w:r>
          </w:p>
        </w:tc>
        <w:tc>
          <w:tcPr>
            <w:vAlign w:val="center"/>
          </w:tcPr>
          <w:p>
            <w:pPr>
              <w:pStyle w:val="Compact"/>
              <w:suppressAutoHyphens/>
              <w:jc w:val="center"/>
            </w:pPr>
            <w:r>
              <w:rPr>
                <w:sz w:val="18"/>
                <w:szCs w:val="18"/>
              </w:rPr>
              <w:t xml:space="preserve">0.571</w:t>
            </w:r>
          </w:p>
        </w:tc>
        <w:tc>
          <w:tcPr>
            <w:vAlign w:val="center"/>
          </w:tcPr>
          <w:p>
            <w:pPr>
              <w:pStyle w:val="Compact"/>
              <w:suppressAutoHyphens/>
              <w:jc w:val="center"/>
            </w:pPr>
            <w:r>
              <w:rPr>
                <w:sz w:val="18"/>
                <w:szCs w:val="18"/>
              </w:rPr>
              <w:t xml:space="preserve">0.918±0.002</w:t>
            </w:r>
          </w:p>
        </w:tc>
        <w:tc>
          <w:tcPr>
            <w:vAlign w:val="center"/>
          </w:tcPr>
          <w:p>
            <w:pPr>
              <w:pStyle w:val="Compact"/>
              <w:suppressAutoHyphens/>
              <w:jc w:val="center"/>
            </w:pPr>
            <w:r>
              <w:rPr>
                <w:sz w:val="18"/>
                <w:szCs w:val="18"/>
              </w:rPr>
              <w:t xml:space="preserve">0.708</w:t>
            </w:r>
          </w:p>
        </w:tc>
        <w:tc>
          <w:tcPr>
            <w:vAlign w:val="center"/>
          </w:tcPr>
          <w:p>
            <w:pPr>
              <w:pStyle w:val="Compact"/>
              <w:suppressAutoHyphens/>
              <w:jc w:val="center"/>
            </w:pPr>
            <w:r>
              <w:rPr>
                <w:sz w:val="18"/>
                <w:szCs w:val="18"/>
              </w:rPr>
              <w:t xml:space="preserve">0.325±0.004</w:t>
            </w:r>
          </w:p>
        </w:tc>
        <w:tc>
          <w:tcPr>
            <w:vAlign w:val="center"/>
          </w:tcPr>
          <w:p>
            <w:pPr>
              <w:pStyle w:val="Compact"/>
              <w:suppressAutoHyphens/>
              <w:jc w:val="center"/>
            </w:pPr>
            <w:r>
              <w:rPr>
                <w:sz w:val="18"/>
                <w:szCs w:val="18"/>
              </w:rPr>
              <w:t xml:space="preserve">0.025</w:t>
            </w:r>
          </w:p>
        </w:tc>
      </w:tr>
      <w:tr>
        <w:tc>
          <w:tcPr>
            <w:vAlign w:val="center"/>
          </w:tcPr>
          <w:p>
            <w:pPr>
              <w:pStyle w:val="Compact"/>
              <w:suppressAutoHyphens/>
              <w:jc w:val="center"/>
            </w:pPr>
            <w:r>
              <w:rPr>
                <w:b/>
                <w:bCs/>
                <w:sz w:val="18"/>
                <w:szCs w:val="18"/>
              </w:rPr>
              <w:t xml:space="preserve">VaDE-hard+resid(auto)</w:t>
            </w:r>
          </w:p>
        </w:tc>
        <w:tc>
          <w:tcPr>
            <w:vAlign w:val="center"/>
          </w:tcPr>
          <w:p>
            <w:pPr>
              <w:pStyle w:val="Compact"/>
              <w:suppressAutoHyphens/>
              <w:jc w:val="center"/>
            </w:pPr>
            <w:r>
              <w:rPr>
                <w:sz w:val="18"/>
                <w:szCs w:val="18"/>
              </w:rPr>
              <w:t xml:space="preserve">Ours</w:t>
            </w:r>
          </w:p>
        </w:tc>
        <w:tc>
          <w:tcPr>
            <w:vAlign w:val="center"/>
          </w:tcPr>
          <w:p>
            <w:pPr>
              <w:pStyle w:val="Compact"/>
              <w:suppressAutoHyphens/>
              <w:jc w:val="center"/>
            </w:pPr>
            <w:r>
              <w:rPr>
                <w:sz w:val="18"/>
                <w:szCs w:val="18"/>
              </w:rPr>
              <w:t xml:space="preserve">0.792±0.012</w:t>
            </w:r>
          </w:p>
        </w:tc>
        <w:tc>
          <w:tcPr>
            <w:vAlign w:val="center"/>
          </w:tcPr>
          <w:p>
            <w:pPr>
              <w:pStyle w:val="Compact"/>
              <w:suppressAutoHyphens/>
              <w:jc w:val="center"/>
            </w:pPr>
            <w:r>
              <w:rPr>
                <w:sz w:val="18"/>
                <w:szCs w:val="18"/>
              </w:rPr>
              <w:t xml:space="preserve">0.563</w:t>
            </w:r>
          </w:p>
        </w:tc>
        <w:tc>
          <w:tcPr>
            <w:vAlign w:val="center"/>
          </w:tcPr>
          <w:p>
            <w:pPr>
              <w:pStyle w:val="Compact"/>
              <w:suppressAutoHyphens/>
              <w:jc w:val="center"/>
            </w:pPr>
            <w:r>
              <w:rPr>
                <w:sz w:val="18"/>
                <w:szCs w:val="18"/>
              </w:rPr>
              <w:t xml:space="preserve">0.845±0.007</w:t>
            </w:r>
          </w:p>
        </w:tc>
        <w:tc>
          <w:tcPr>
            <w:vAlign w:val="center"/>
          </w:tcPr>
          <w:p>
            <w:pPr>
              <w:pStyle w:val="Compact"/>
              <w:suppressAutoHyphens/>
              <w:jc w:val="center"/>
            </w:pPr>
            <w:r>
              <w:rPr>
                <w:sz w:val="18"/>
                <w:szCs w:val="18"/>
              </w:rPr>
              <w:t xml:space="preserve">0.678</w:t>
            </w:r>
          </w:p>
        </w:tc>
        <w:tc>
          <w:tcPr>
            <w:vAlign w:val="center"/>
          </w:tcPr>
          <w:p>
            <w:pPr>
              <w:pStyle w:val="Compact"/>
              <w:suppressAutoHyphens/>
              <w:jc w:val="center"/>
            </w:pPr>
            <w:r>
              <w:rPr>
                <w:sz w:val="18"/>
                <w:szCs w:val="18"/>
              </w:rPr>
              <w:t xml:space="preserve">0.690±0.027</w:t>
            </w:r>
          </w:p>
        </w:tc>
        <w:tc>
          <w:tcPr>
            <w:vAlign w:val="center"/>
          </w:tcPr>
          <w:p>
            <w:pPr>
              <w:pStyle w:val="Compact"/>
              <w:suppressAutoHyphens/>
              <w:jc w:val="center"/>
            </w:pPr>
            <w:r>
              <w:rPr>
                <w:sz w:val="18"/>
                <w:szCs w:val="18"/>
              </w:rPr>
              <w:t xml:space="preserve">0.216</w:t>
            </w:r>
          </w:p>
        </w:tc>
      </w:tr>
      <w:tr>
        <w:tc>
          <w:tcPr>
            <w:gridSpan w:val="8"/>
            <w:vAlign w:val="center"/>
          </w:tcPr>
          <w:p>
            <w:pPr>
              <w:pStyle w:val="Compact"/>
              <w:suppressAutoHyphens/>
              <w:jc w:val="center"/>
            </w:pPr>
            <w:r>
              <w:rPr>
                <w:b/>
                <w:bCs/>
                <w:sz w:val="18"/>
                <w:szCs w:val="18"/>
              </w:rPr>
              <w:t xml:space="preserve">HAI</w:t>
            </w:r>
            <w:r>
              <w:rPr>
                <w:sz w:val="18"/>
                <w:szCs w:val="18"/>
              </w:rPr>
              <w:t xml:space="preserve"> </w:t>
            </w:r>
            <w:r>
              <w:rPr>
                <w:sz w:val="18"/>
                <w:szCs w:val="18"/>
              </w:rPr>
              <w:t xml:space="preserve"> </w:t>
            </w:r>
            <w:r>
              <w:rPr>
                <w:sz w:val="18"/>
                <w:szCs w:val="18"/>
              </w:rPr>
              <w:t xml:space="preserve">(anom 652 = 485 easy + 167 difficult)</w:t>
            </w:r>
          </w:p>
        </w:tc>
      </w:tr>
      <w:tr>
        <w:tc>
          <w:tcPr>
            <w:vAlign w:val="center"/>
          </w:tcPr>
          <w:p>
            <w:pPr>
              <w:pStyle w:val="Compact"/>
              <w:suppressAutoHyphens/>
              <w:jc w:val="center"/>
            </w:pPr>
            <w:r>
              <w:rPr>
                <w:sz w:val="18"/>
                <w:szCs w:val="18"/>
              </w:rPr>
              <w:t xml:space="preserve">trivial max|z|</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0.806</w:t>
            </w:r>
          </w:p>
        </w:tc>
        <w:tc>
          <w:tcPr>
            <w:vAlign w:val="center"/>
          </w:tcPr>
          <w:p>
            <w:pPr>
              <w:pStyle w:val="Compact"/>
              <w:suppressAutoHyphens/>
              <w:jc w:val="center"/>
            </w:pPr>
            <w:r>
              <w:rPr>
                <w:sz w:val="18"/>
                <w:szCs w:val="18"/>
              </w:rPr>
              <w:t xml:space="preserve">0.666</w:t>
            </w:r>
          </w:p>
        </w:tc>
        <w:tc>
          <w:tcPr>
            <w:vAlign w:val="center"/>
          </w:tcPr>
          <w:p>
            <w:pPr>
              <w:pStyle w:val="Compact"/>
              <w:suppressAutoHyphens/>
              <w:jc w:val="center"/>
            </w:pPr>
            <w:r>
              <w:rPr>
                <w:sz w:val="18"/>
                <w:szCs w:val="18"/>
              </w:rPr>
              <w:t xml:space="preserve">0.966</w:t>
            </w:r>
          </w:p>
        </w:tc>
        <w:tc>
          <w:tcPr>
            <w:vAlign w:val="center"/>
          </w:tcPr>
          <w:p>
            <w:pPr>
              <w:pStyle w:val="Compact"/>
              <w:suppressAutoHyphens/>
              <w:jc w:val="center"/>
            </w:pPr>
            <w:r>
              <w:rPr>
                <w:sz w:val="18"/>
                <w:szCs w:val="18"/>
              </w:rPr>
              <w:t xml:space="preserve">0.800</w:t>
            </w:r>
          </w:p>
        </w:tc>
        <w:tc>
          <w:tcPr>
            <w:vAlign w:val="center"/>
          </w:tcPr>
          <w:p>
            <w:pPr>
              <w:pStyle w:val="Compact"/>
              <w:suppressAutoHyphens/>
              <w:jc w:val="center"/>
            </w:pPr>
            <w:r>
              <w:rPr>
                <w:sz w:val="18"/>
                <w:szCs w:val="18"/>
              </w:rPr>
              <w:t xml:space="preserve">0.340</w:t>
            </w:r>
          </w:p>
        </w:tc>
        <w:tc>
          <w:tcPr>
            <w:vAlign w:val="center"/>
          </w:tcPr>
          <w:p>
            <w:pPr>
              <w:pStyle w:val="Compact"/>
              <w:suppressAutoHyphens/>
              <w:jc w:val="center"/>
            </w:pPr>
            <w:r>
              <w:rPr>
                <w:sz w:val="18"/>
                <w:szCs w:val="18"/>
              </w:rPr>
              <w:t xml:space="preserve">0.011</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0.844±0.011</w:t>
            </w:r>
          </w:p>
        </w:tc>
        <w:tc>
          <w:tcPr>
            <w:vAlign w:val="center"/>
          </w:tcPr>
          <w:p>
            <w:pPr>
              <w:pStyle w:val="Compact"/>
              <w:suppressAutoHyphens/>
              <w:jc w:val="center"/>
            </w:pPr>
            <w:r>
              <w:rPr>
                <w:sz w:val="18"/>
                <w:szCs w:val="18"/>
              </w:rPr>
              <w:t xml:space="preserve">0.418</w:t>
            </w:r>
          </w:p>
        </w:tc>
        <w:tc>
          <w:tcPr>
            <w:vAlign w:val="center"/>
          </w:tcPr>
          <w:p>
            <w:pPr>
              <w:pStyle w:val="Compact"/>
              <w:suppressAutoHyphens/>
              <w:jc w:val="center"/>
            </w:pPr>
            <w:r>
              <w:rPr>
                <w:sz w:val="18"/>
                <w:szCs w:val="18"/>
              </w:rPr>
              <w:t xml:space="preserve">0.919±0.016</w:t>
            </w:r>
          </w:p>
        </w:tc>
        <w:tc>
          <w:tcPr>
            <w:vAlign w:val="center"/>
          </w:tcPr>
          <w:p>
            <w:pPr>
              <w:pStyle w:val="Compact"/>
              <w:suppressAutoHyphens/>
              <w:jc w:val="center"/>
            </w:pPr>
            <w:r>
              <w:rPr>
                <w:sz w:val="18"/>
                <w:szCs w:val="18"/>
              </w:rPr>
              <w:t xml:space="preserve">0.469</w:t>
            </w:r>
          </w:p>
        </w:tc>
        <w:tc>
          <w:tcPr>
            <w:vAlign w:val="center"/>
          </w:tcPr>
          <w:p>
            <w:pPr>
              <w:pStyle w:val="Compact"/>
              <w:suppressAutoHyphens/>
              <w:jc w:val="center"/>
            </w:pPr>
            <w:r>
              <w:rPr>
                <w:sz w:val="18"/>
                <w:szCs w:val="18"/>
              </w:rPr>
              <w:t xml:space="preserve">0.627±0.005</w:t>
            </w:r>
          </w:p>
        </w:tc>
        <w:tc>
          <w:tcPr>
            <w:vAlign w:val="center"/>
          </w:tcPr>
          <w:p>
            <w:pPr>
              <w:pStyle w:val="Compact"/>
              <w:suppressAutoHyphens/>
              <w:jc w:val="center"/>
            </w:pPr>
            <w:r>
              <w:rPr>
                <w:sz w:val="18"/>
                <w:szCs w:val="18"/>
              </w:rPr>
              <w:t xml:space="preserve">0.055</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0.923±0.001</w:t>
            </w:r>
          </w:p>
        </w:tc>
        <w:tc>
          <w:tcPr>
            <w:vAlign w:val="center"/>
          </w:tcPr>
          <w:p>
            <w:pPr>
              <w:pStyle w:val="Compact"/>
              <w:suppressAutoHyphens/>
              <w:jc w:val="center"/>
            </w:pPr>
            <w:r>
              <w:rPr>
                <w:sz w:val="18"/>
                <w:szCs w:val="18"/>
              </w:rPr>
              <w:t xml:space="preserve">0.744</w:t>
            </w:r>
          </w:p>
        </w:tc>
        <w:tc>
          <w:tcPr>
            <w:vAlign w:val="center"/>
          </w:tcPr>
          <w:p>
            <w:pPr>
              <w:pStyle w:val="Compact"/>
              <w:suppressAutoHyphens/>
              <w:jc w:val="center"/>
            </w:pPr>
            <w:r>
              <w:rPr>
                <w:sz w:val="18"/>
                <w:szCs w:val="18"/>
              </w:rPr>
              <w:t xml:space="preserve">0.980±0.000</w:t>
            </w:r>
          </w:p>
        </w:tc>
        <w:tc>
          <w:tcPr>
            <w:vAlign w:val="center"/>
          </w:tcPr>
          <w:p>
            <w:pPr>
              <w:pStyle w:val="Compact"/>
              <w:suppressAutoHyphens/>
              <w:jc w:val="center"/>
            </w:pPr>
            <w:r>
              <w:rPr>
                <w:sz w:val="18"/>
                <w:szCs w:val="18"/>
              </w:rPr>
              <w:t xml:space="preserve">0.789</w:t>
            </w:r>
          </w:p>
        </w:tc>
        <w:tc>
          <w:tcPr>
            <w:vAlign w:val="center"/>
          </w:tcPr>
          <w:p>
            <w:pPr>
              <w:pStyle w:val="Compact"/>
              <w:suppressAutoHyphens/>
              <w:jc w:val="center"/>
            </w:pPr>
            <w:r>
              <w:rPr>
                <w:sz w:val="18"/>
                <w:szCs w:val="18"/>
              </w:rPr>
              <w:t xml:space="preserve">0.757±0.003</w:t>
            </w:r>
          </w:p>
        </w:tc>
        <w:tc>
          <w:tcPr>
            <w:vAlign w:val="center"/>
          </w:tcPr>
          <w:p>
            <w:pPr>
              <w:pStyle w:val="Compact"/>
              <w:suppressAutoHyphens/>
              <w:jc w:val="center"/>
            </w:pPr>
            <w:r>
              <w:rPr>
                <w:sz w:val="18"/>
                <w:szCs w:val="18"/>
              </w:rPr>
              <w:t xml:space="preserve">0.343</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0.779</w:t>
            </w:r>
          </w:p>
        </w:tc>
        <w:tc>
          <w:tcPr>
            <w:vAlign w:val="center"/>
          </w:tcPr>
          <w:p>
            <w:pPr>
              <w:pStyle w:val="Compact"/>
              <w:suppressAutoHyphens/>
              <w:jc w:val="center"/>
            </w:pPr>
            <w:r>
              <w:rPr>
                <w:sz w:val="18"/>
                <w:szCs w:val="18"/>
              </w:rPr>
              <w:t xml:space="preserve">0.483</w:t>
            </w:r>
          </w:p>
        </w:tc>
        <w:tc>
          <w:tcPr>
            <w:vAlign w:val="center"/>
          </w:tcPr>
          <w:p>
            <w:pPr>
              <w:pStyle w:val="Compact"/>
              <w:suppressAutoHyphens/>
              <w:jc w:val="center"/>
            </w:pPr>
            <w:r>
              <w:rPr>
                <w:sz w:val="18"/>
                <w:szCs w:val="18"/>
              </w:rPr>
              <w:t xml:space="preserve">0.846</w:t>
            </w:r>
          </w:p>
        </w:tc>
        <w:tc>
          <w:tcPr>
            <w:vAlign w:val="center"/>
          </w:tcPr>
          <w:p>
            <w:pPr>
              <w:pStyle w:val="Compact"/>
              <w:suppressAutoHyphens/>
              <w:jc w:val="center"/>
            </w:pPr>
            <w:r>
              <w:rPr>
                <w:sz w:val="18"/>
                <w:szCs w:val="18"/>
              </w:rPr>
              <w:t xml:space="preserve">0.581</w:t>
            </w:r>
          </w:p>
        </w:tc>
        <w:tc>
          <w:tcPr>
            <w:vAlign w:val="center"/>
          </w:tcPr>
          <w:p>
            <w:pPr>
              <w:pStyle w:val="Compact"/>
              <w:suppressAutoHyphens/>
              <w:jc w:val="center"/>
            </w:pPr>
            <w:r>
              <w:rPr>
                <w:sz w:val="18"/>
                <w:szCs w:val="18"/>
              </w:rPr>
              <w:t xml:space="preserve">0.586</w:t>
            </w:r>
          </w:p>
        </w:tc>
        <w:tc>
          <w:tcPr>
            <w:vAlign w:val="center"/>
          </w:tcPr>
          <w:p>
            <w:pPr>
              <w:pStyle w:val="Compact"/>
              <w:suppressAutoHyphens/>
              <w:jc w:val="center"/>
            </w:pPr>
            <w:r>
              <w:rPr>
                <w:sz w:val="18"/>
                <w:szCs w:val="18"/>
              </w:rPr>
              <w:t xml:space="preserve">0.121</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0.843±0.005</w:t>
            </w:r>
          </w:p>
        </w:tc>
        <w:tc>
          <w:tcPr>
            <w:vAlign w:val="center"/>
          </w:tcPr>
          <w:p>
            <w:pPr>
              <w:pStyle w:val="Compact"/>
              <w:suppressAutoHyphens/>
              <w:jc w:val="center"/>
            </w:pPr>
            <w:r>
              <w:rPr>
                <w:sz w:val="18"/>
                <w:szCs w:val="18"/>
              </w:rPr>
              <w:t xml:space="preserve">0.699</w:t>
            </w:r>
          </w:p>
        </w:tc>
        <w:tc>
          <w:tcPr>
            <w:vAlign w:val="center"/>
          </w:tcPr>
          <w:p>
            <w:pPr>
              <w:pStyle w:val="Compact"/>
              <w:suppressAutoHyphens/>
              <w:jc w:val="center"/>
            </w:pPr>
            <w:r>
              <w:rPr>
                <w:sz w:val="18"/>
                <w:szCs w:val="18"/>
              </w:rPr>
              <w:t xml:space="preserve">0.969±0.001</w:t>
            </w:r>
          </w:p>
        </w:tc>
        <w:tc>
          <w:tcPr>
            <w:vAlign w:val="center"/>
          </w:tcPr>
          <w:p>
            <w:pPr>
              <w:pStyle w:val="Compact"/>
              <w:suppressAutoHyphens/>
              <w:jc w:val="center"/>
            </w:pPr>
            <w:r>
              <w:rPr>
                <w:sz w:val="18"/>
                <w:szCs w:val="18"/>
              </w:rPr>
              <w:t xml:space="preserve">0.833</w:t>
            </w:r>
          </w:p>
        </w:tc>
        <w:tc>
          <w:tcPr>
            <w:vAlign w:val="center"/>
          </w:tcPr>
          <w:p>
            <w:pPr>
              <w:pStyle w:val="Compact"/>
              <w:suppressAutoHyphens/>
              <w:jc w:val="center"/>
            </w:pPr>
            <w:r>
              <w:rPr>
                <w:sz w:val="18"/>
                <w:szCs w:val="18"/>
              </w:rPr>
              <w:t xml:space="preserve">0.477±0.018</w:t>
            </w:r>
          </w:p>
        </w:tc>
        <w:tc>
          <w:tcPr>
            <w:vAlign w:val="center"/>
          </w:tcPr>
          <w:p>
            <w:pPr>
              <w:pStyle w:val="Compact"/>
              <w:suppressAutoHyphens/>
              <w:jc w:val="center"/>
            </w:pPr>
            <w:r>
              <w:rPr>
                <w:sz w:val="18"/>
                <w:szCs w:val="18"/>
              </w:rPr>
              <w:t xml:space="preserve">0.022</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0.834±0.002</w:t>
            </w:r>
          </w:p>
        </w:tc>
        <w:tc>
          <w:tcPr>
            <w:vAlign w:val="center"/>
          </w:tcPr>
          <w:p>
            <w:pPr>
              <w:pStyle w:val="Compact"/>
              <w:suppressAutoHyphens/>
              <w:jc w:val="center"/>
            </w:pPr>
            <w:r>
              <w:rPr>
                <w:sz w:val="18"/>
                <w:szCs w:val="18"/>
              </w:rPr>
              <w:t xml:space="preserve">0.693</w:t>
            </w:r>
          </w:p>
        </w:tc>
        <w:tc>
          <w:tcPr>
            <w:vAlign w:val="center"/>
          </w:tcPr>
          <w:p>
            <w:pPr>
              <w:pStyle w:val="Compact"/>
              <w:suppressAutoHyphens/>
              <w:jc w:val="center"/>
            </w:pPr>
            <w:r>
              <w:rPr>
                <w:sz w:val="18"/>
                <w:szCs w:val="18"/>
              </w:rPr>
              <w:t xml:space="preserve">0.968±0.000</w:t>
            </w:r>
          </w:p>
        </w:tc>
        <w:tc>
          <w:tcPr>
            <w:vAlign w:val="center"/>
          </w:tcPr>
          <w:p>
            <w:pPr>
              <w:pStyle w:val="Compact"/>
              <w:suppressAutoHyphens/>
              <w:jc w:val="center"/>
            </w:pPr>
            <w:r>
              <w:rPr>
                <w:sz w:val="18"/>
                <w:szCs w:val="18"/>
              </w:rPr>
              <w:t xml:space="preserve">0.824</w:t>
            </w:r>
          </w:p>
        </w:tc>
        <w:tc>
          <w:tcPr>
            <w:vAlign w:val="center"/>
          </w:tcPr>
          <w:p>
            <w:pPr>
              <w:pStyle w:val="Compact"/>
              <w:suppressAutoHyphens/>
              <w:jc w:val="center"/>
            </w:pPr>
            <w:r>
              <w:rPr>
                <w:sz w:val="18"/>
                <w:szCs w:val="18"/>
              </w:rPr>
              <w:t xml:space="preserve">0.444±0.010</w:t>
            </w:r>
          </w:p>
        </w:tc>
        <w:tc>
          <w:tcPr>
            <w:vAlign w:val="center"/>
          </w:tcPr>
          <w:p>
            <w:pPr>
              <w:pStyle w:val="Compact"/>
              <w:suppressAutoHyphens/>
              <w:jc w:val="center"/>
            </w:pPr>
            <w:r>
              <w:rPr>
                <w:sz w:val="18"/>
                <w:szCs w:val="18"/>
              </w:rPr>
              <w:t xml:space="preserve">0.019</w:t>
            </w:r>
          </w:p>
        </w:tc>
      </w:tr>
      <w:tr>
        <w:tc>
          <w:tcPr>
            <w:vAlign w:val="center"/>
          </w:tcPr>
          <w:p>
            <w:pPr>
              <w:pStyle w:val="Compact"/>
              <w:suppressAutoHyphens/>
              <w:jc w:val="center"/>
            </w:pPr>
            <w:r>
              <w:rPr>
                <w:b/>
                <w:bCs/>
                <w:sz w:val="18"/>
                <w:szCs w:val="18"/>
              </w:rPr>
              <w:t xml:space="preserve">VaDE-hard+resid(auto)</w:t>
            </w:r>
          </w:p>
        </w:tc>
        <w:tc>
          <w:tcPr>
            <w:vAlign w:val="center"/>
          </w:tcPr>
          <w:p>
            <w:pPr>
              <w:pStyle w:val="Compact"/>
              <w:suppressAutoHyphens/>
              <w:jc w:val="center"/>
            </w:pPr>
            <w:r>
              <w:rPr>
                <w:sz w:val="18"/>
                <w:szCs w:val="18"/>
              </w:rPr>
              <w:t xml:space="preserve">Ours</w:t>
            </w:r>
          </w:p>
        </w:tc>
        <w:tc>
          <w:tcPr>
            <w:vAlign w:val="center"/>
          </w:tcPr>
          <w:p>
            <w:pPr>
              <w:pStyle w:val="Compact"/>
              <w:suppressAutoHyphens/>
              <w:jc w:val="center"/>
            </w:pPr>
            <w:r>
              <w:rPr>
                <w:sz w:val="18"/>
                <w:szCs w:val="18"/>
              </w:rPr>
              <w:t xml:space="preserve">0.933±0.007</w:t>
            </w:r>
          </w:p>
        </w:tc>
        <w:tc>
          <w:tcPr>
            <w:vAlign w:val="center"/>
          </w:tcPr>
          <w:p>
            <w:pPr>
              <w:pStyle w:val="Compact"/>
              <w:suppressAutoHyphens/>
              <w:jc w:val="center"/>
            </w:pPr>
            <w:r>
              <w:rPr>
                <w:sz w:val="18"/>
                <w:szCs w:val="18"/>
              </w:rPr>
              <w:t xml:space="preserve">0.712</w:t>
            </w:r>
          </w:p>
        </w:tc>
        <w:tc>
          <w:tcPr>
            <w:vAlign w:val="center"/>
          </w:tcPr>
          <w:p>
            <w:pPr>
              <w:pStyle w:val="Compact"/>
              <w:suppressAutoHyphens/>
              <w:jc w:val="center"/>
            </w:pPr>
            <w:r>
              <w:rPr>
                <w:sz w:val="18"/>
                <w:szCs w:val="18"/>
              </w:rPr>
              <w:t xml:space="preserve">0.975±0.004</w:t>
            </w:r>
          </w:p>
        </w:tc>
        <w:tc>
          <w:tcPr>
            <w:vAlign w:val="center"/>
          </w:tcPr>
          <w:p>
            <w:pPr>
              <w:pStyle w:val="Compact"/>
              <w:suppressAutoHyphens/>
              <w:jc w:val="center"/>
            </w:pPr>
            <w:r>
              <w:rPr>
                <w:sz w:val="18"/>
                <w:szCs w:val="18"/>
              </w:rPr>
              <w:t xml:space="preserve">0.773</w:t>
            </w:r>
          </w:p>
        </w:tc>
        <w:tc>
          <w:tcPr>
            <w:vAlign w:val="center"/>
          </w:tcPr>
          <w:p>
            <w:pPr>
              <w:pStyle w:val="Compact"/>
              <w:suppressAutoHyphens/>
              <w:jc w:val="center"/>
            </w:pPr>
            <w:r>
              <w:rPr>
                <w:sz w:val="18"/>
                <w:szCs w:val="18"/>
              </w:rPr>
              <w:t xml:space="preserve">0.811±0.016</w:t>
            </w:r>
          </w:p>
        </w:tc>
        <w:tc>
          <w:tcPr>
            <w:vAlign w:val="center"/>
          </w:tcPr>
          <w:p>
            <w:pPr>
              <w:pStyle w:val="Compact"/>
              <w:suppressAutoHyphens/>
              <w:jc w:val="center"/>
            </w:pPr>
            <w:r>
              <w:rPr>
                <w:sz w:val="18"/>
                <w:szCs w:val="18"/>
              </w:rPr>
              <w:t xml:space="preserve">0.356</w:t>
            </w:r>
          </w:p>
        </w:tc>
      </w:tr>
      <w:tr>
        <w:tc>
          <w:tcPr>
            <w:gridSpan w:val="8"/>
            <w:vAlign w:val="center"/>
          </w:tcPr>
          <w:p>
            <w:pPr>
              <w:pStyle w:val="Compact"/>
              <w:suppressAutoHyphens/>
              <w:jc w:val="center"/>
            </w:pPr>
            <w:r>
              <w:rPr>
                <w:b/>
                <w:bCs/>
                <w:sz w:val="18"/>
                <w:szCs w:val="18"/>
              </w:rPr>
              <w:t xml:space="preserve">SWaT</w:t>
            </w:r>
            <w:r>
              <w:rPr>
                <w:sz w:val="18"/>
                <w:szCs w:val="18"/>
              </w:rPr>
              <w:t xml:space="preserve"> </w:t>
            </w:r>
            <w:r>
              <w:rPr>
                <w:sz w:val="18"/>
                <w:szCs w:val="18"/>
              </w:rPr>
              <w:t xml:space="preserve"> </w:t>
            </w:r>
            <w:r>
              <w:rPr>
                <w:sz w:val="18"/>
                <w:szCs w:val="18"/>
              </w:rPr>
              <w:t xml:space="preserve">(anom 182 = 144 easy + 38 difficult)</w:t>
            </w:r>
          </w:p>
        </w:tc>
      </w:tr>
      <w:tr>
        <w:tc>
          <w:tcPr>
            <w:vAlign w:val="center"/>
          </w:tcPr>
          <w:p>
            <w:pPr>
              <w:pStyle w:val="Compact"/>
              <w:suppressAutoHyphens/>
              <w:jc w:val="center"/>
            </w:pPr>
            <w:r>
              <w:rPr>
                <w:sz w:val="18"/>
                <w:szCs w:val="18"/>
              </w:rPr>
              <w:t xml:space="preserve">trivial max|z|</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0.988</w:t>
            </w:r>
          </w:p>
        </w:tc>
        <w:tc>
          <w:tcPr>
            <w:vAlign w:val="center"/>
          </w:tcPr>
          <w:p>
            <w:pPr>
              <w:pStyle w:val="Compact"/>
              <w:suppressAutoHyphens/>
              <w:jc w:val="center"/>
            </w:pPr>
            <w:r>
              <w:rPr>
                <w:sz w:val="18"/>
                <w:szCs w:val="18"/>
              </w:rPr>
              <w:t xml:space="preserve">0.972</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0.943</w:t>
            </w:r>
          </w:p>
        </w:tc>
        <w:tc>
          <w:tcPr>
            <w:vAlign w:val="center"/>
          </w:tcPr>
          <w:p>
            <w:pPr>
              <w:pStyle w:val="Compact"/>
              <w:suppressAutoHyphens/>
              <w:jc w:val="center"/>
            </w:pPr>
            <w:r>
              <w:rPr>
                <w:sz w:val="18"/>
                <w:szCs w:val="18"/>
              </w:rPr>
              <w:t xml:space="preserve">0.848</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0.959±0.003</w:t>
            </w:r>
          </w:p>
        </w:tc>
        <w:tc>
          <w:tcPr>
            <w:vAlign w:val="center"/>
          </w:tcPr>
          <w:p>
            <w:pPr>
              <w:pStyle w:val="Compact"/>
              <w:suppressAutoHyphens/>
              <w:jc w:val="center"/>
            </w:pPr>
            <w:r>
              <w:rPr>
                <w:sz w:val="18"/>
                <w:szCs w:val="18"/>
              </w:rPr>
              <w:t xml:space="preserve">0.910</w:t>
            </w:r>
          </w:p>
        </w:tc>
        <w:tc>
          <w:tcPr>
            <w:vAlign w:val="center"/>
          </w:tcPr>
          <w:p>
            <w:pPr>
              <w:pStyle w:val="Compact"/>
              <w:suppressAutoHyphens/>
              <w:jc w:val="center"/>
            </w:pPr>
            <w:r>
              <w:rPr>
                <w:sz w:val="18"/>
                <w:szCs w:val="18"/>
              </w:rPr>
              <w:t xml:space="preserve">0.987±0.002</w:t>
            </w:r>
          </w:p>
        </w:tc>
        <w:tc>
          <w:tcPr>
            <w:vAlign w:val="center"/>
          </w:tcPr>
          <w:p>
            <w:pPr>
              <w:pStyle w:val="Compact"/>
              <w:suppressAutoHyphens/>
              <w:jc w:val="center"/>
            </w:pPr>
            <w:r>
              <w:rPr>
                <w:sz w:val="18"/>
                <w:szCs w:val="18"/>
              </w:rPr>
              <w:t xml:space="preserve">0.961</w:t>
            </w:r>
          </w:p>
        </w:tc>
        <w:tc>
          <w:tcPr>
            <w:vAlign w:val="center"/>
          </w:tcPr>
          <w:p>
            <w:pPr>
              <w:pStyle w:val="Compact"/>
              <w:suppressAutoHyphens/>
              <w:jc w:val="center"/>
            </w:pPr>
            <w:r>
              <w:rPr>
                <w:sz w:val="18"/>
                <w:szCs w:val="18"/>
              </w:rPr>
              <w:t xml:space="preserve">0.853±0.011</w:t>
            </w:r>
          </w:p>
        </w:tc>
        <w:tc>
          <w:tcPr>
            <w:vAlign w:val="center"/>
          </w:tcPr>
          <w:p>
            <w:pPr>
              <w:pStyle w:val="Compact"/>
              <w:suppressAutoHyphens/>
              <w:jc w:val="center"/>
            </w:pPr>
            <w:r>
              <w:rPr>
                <w:sz w:val="18"/>
                <w:szCs w:val="18"/>
              </w:rPr>
              <w:t xml:space="preserve">0.661</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0.987±0.001</w:t>
            </w:r>
          </w:p>
        </w:tc>
        <w:tc>
          <w:tcPr>
            <w:vAlign w:val="center"/>
          </w:tcPr>
          <w:p>
            <w:pPr>
              <w:pStyle w:val="Compact"/>
              <w:suppressAutoHyphens/>
              <w:jc w:val="center"/>
            </w:pPr>
            <w:r>
              <w:rPr>
                <w:sz w:val="18"/>
                <w:szCs w:val="18"/>
              </w:rPr>
              <w:t xml:space="preserve">0.933</w:t>
            </w:r>
          </w:p>
        </w:tc>
        <w:tc>
          <w:tcPr>
            <w:vAlign w:val="center"/>
          </w:tcPr>
          <w:p>
            <w:pPr>
              <w:pStyle w:val="Compact"/>
              <w:suppressAutoHyphens/>
              <w:jc w:val="center"/>
            </w:pPr>
            <w:r>
              <w:rPr>
                <w:sz w:val="18"/>
                <w:szCs w:val="18"/>
              </w:rPr>
              <w:t xml:space="preserve">1.000±0.000</w:t>
            </w:r>
          </w:p>
        </w:tc>
        <w:tc>
          <w:tcPr>
            <w:vAlign w:val="center"/>
          </w:tcPr>
          <w:p>
            <w:pPr>
              <w:pStyle w:val="Compact"/>
              <w:suppressAutoHyphens/>
              <w:jc w:val="center"/>
            </w:pPr>
            <w:r>
              <w:rPr>
                <w:sz w:val="18"/>
                <w:szCs w:val="18"/>
              </w:rPr>
              <w:t xml:space="preserve">0.989</w:t>
            </w:r>
          </w:p>
        </w:tc>
        <w:tc>
          <w:tcPr>
            <w:vAlign w:val="center"/>
          </w:tcPr>
          <w:p>
            <w:pPr>
              <w:pStyle w:val="Compact"/>
              <w:suppressAutoHyphens/>
              <w:jc w:val="center"/>
            </w:pPr>
            <w:r>
              <w:rPr>
                <w:sz w:val="18"/>
                <w:szCs w:val="18"/>
              </w:rPr>
              <w:t xml:space="preserve">0.939±0.006</w:t>
            </w:r>
          </w:p>
        </w:tc>
        <w:tc>
          <w:tcPr>
            <w:vAlign w:val="center"/>
          </w:tcPr>
          <w:p>
            <w:pPr>
              <w:pStyle w:val="Compact"/>
              <w:suppressAutoHyphens/>
              <w:jc w:val="center"/>
            </w:pPr>
            <w:r>
              <w:rPr>
                <w:sz w:val="18"/>
                <w:szCs w:val="18"/>
              </w:rPr>
              <w:t xml:space="preserve">0.613</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0.991</w:t>
            </w:r>
          </w:p>
        </w:tc>
        <w:tc>
          <w:tcPr>
            <w:vAlign w:val="center"/>
          </w:tcPr>
          <w:p>
            <w:pPr>
              <w:pStyle w:val="Compact"/>
              <w:suppressAutoHyphens/>
              <w:jc w:val="center"/>
            </w:pPr>
            <w:r>
              <w:rPr>
                <w:sz w:val="18"/>
                <w:szCs w:val="18"/>
              </w:rPr>
              <w:t xml:space="preserve">0.948</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0.990</w:t>
            </w:r>
          </w:p>
        </w:tc>
        <w:tc>
          <w:tcPr>
            <w:vAlign w:val="center"/>
          </w:tcPr>
          <w:p>
            <w:pPr>
              <w:pStyle w:val="Compact"/>
              <w:suppressAutoHyphens/>
              <w:jc w:val="center"/>
            </w:pPr>
            <w:r>
              <w:rPr>
                <w:sz w:val="18"/>
                <w:szCs w:val="18"/>
              </w:rPr>
              <w:t xml:space="preserve">0.959</w:t>
            </w:r>
          </w:p>
        </w:tc>
        <w:tc>
          <w:tcPr>
            <w:vAlign w:val="center"/>
          </w:tcPr>
          <w:p>
            <w:pPr>
              <w:pStyle w:val="Compact"/>
              <w:suppressAutoHyphens/>
              <w:jc w:val="center"/>
            </w:pPr>
            <w:r>
              <w:rPr>
                <w:sz w:val="18"/>
                <w:szCs w:val="18"/>
              </w:rPr>
              <w:t xml:space="preserve">0.698</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0.972±0.001</w:t>
            </w:r>
          </w:p>
        </w:tc>
        <w:tc>
          <w:tcPr>
            <w:vAlign w:val="center"/>
          </w:tcPr>
          <w:p>
            <w:pPr>
              <w:pStyle w:val="Compact"/>
              <w:suppressAutoHyphens/>
              <w:jc w:val="center"/>
            </w:pPr>
            <w:r>
              <w:rPr>
                <w:sz w:val="18"/>
                <w:szCs w:val="18"/>
              </w:rPr>
              <w:t xml:space="preserve">0.948</w:t>
            </w:r>
          </w:p>
        </w:tc>
        <w:tc>
          <w:tcPr>
            <w:vAlign w:val="center"/>
          </w:tcPr>
          <w:p>
            <w:pPr>
              <w:pStyle w:val="Compact"/>
              <w:suppressAutoHyphens/>
              <w:jc w:val="center"/>
            </w:pPr>
            <w:r>
              <w:rPr>
                <w:sz w:val="18"/>
                <w:szCs w:val="18"/>
              </w:rPr>
              <w:t xml:space="preserve">1.000±0.000</w:t>
            </w:r>
          </w:p>
        </w:tc>
        <w:tc>
          <w:tcPr>
            <w:vAlign w:val="center"/>
          </w:tcPr>
          <w:p>
            <w:pPr>
              <w:pStyle w:val="Compact"/>
              <w:suppressAutoHyphens/>
              <w:jc w:val="center"/>
            </w:pPr>
            <w:r>
              <w:rPr>
                <w:sz w:val="18"/>
                <w:szCs w:val="18"/>
              </w:rPr>
              <w:t xml:space="preserve">0.989</w:t>
            </w:r>
          </w:p>
        </w:tc>
        <w:tc>
          <w:tcPr>
            <w:vAlign w:val="center"/>
          </w:tcPr>
          <w:p>
            <w:pPr>
              <w:pStyle w:val="Compact"/>
              <w:suppressAutoHyphens/>
              <w:jc w:val="center"/>
            </w:pPr>
            <w:r>
              <w:rPr>
                <w:sz w:val="18"/>
                <w:szCs w:val="18"/>
              </w:rPr>
              <w:t xml:space="preserve">0.867±0.005</w:t>
            </w:r>
          </w:p>
        </w:tc>
        <w:tc>
          <w:tcPr>
            <w:vAlign w:val="center"/>
          </w:tcPr>
          <w:p>
            <w:pPr>
              <w:pStyle w:val="Compact"/>
              <w:suppressAutoHyphens/>
              <w:jc w:val="center"/>
            </w:pPr>
            <w:r>
              <w:rPr>
                <w:sz w:val="18"/>
                <w:szCs w:val="18"/>
              </w:rPr>
              <w:t xml:space="preserve">0.705</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0.972±0.000</w:t>
            </w:r>
          </w:p>
        </w:tc>
        <w:tc>
          <w:tcPr>
            <w:vAlign w:val="center"/>
          </w:tcPr>
          <w:p>
            <w:pPr>
              <w:pStyle w:val="Compact"/>
              <w:suppressAutoHyphens/>
              <w:jc w:val="center"/>
            </w:pPr>
            <w:r>
              <w:rPr>
                <w:sz w:val="18"/>
                <w:szCs w:val="18"/>
              </w:rPr>
              <w:t xml:space="preserve">0.952</w:t>
            </w:r>
          </w:p>
        </w:tc>
        <w:tc>
          <w:tcPr>
            <w:vAlign w:val="center"/>
          </w:tcPr>
          <w:p>
            <w:pPr>
              <w:pStyle w:val="Compact"/>
              <w:suppressAutoHyphens/>
              <w:jc w:val="center"/>
            </w:pPr>
            <w:r>
              <w:rPr>
                <w:sz w:val="18"/>
                <w:szCs w:val="18"/>
              </w:rPr>
              <w:t xml:space="preserve">1.000±0.000</w:t>
            </w:r>
          </w:p>
        </w:tc>
        <w:tc>
          <w:tcPr>
            <w:vAlign w:val="center"/>
          </w:tcPr>
          <w:p>
            <w:pPr>
              <w:pStyle w:val="Compact"/>
              <w:suppressAutoHyphens/>
              <w:jc w:val="center"/>
            </w:pPr>
            <w:r>
              <w:rPr>
                <w:sz w:val="18"/>
                <w:szCs w:val="18"/>
              </w:rPr>
              <w:t xml:space="preserve">0.990</w:t>
            </w:r>
          </w:p>
        </w:tc>
        <w:tc>
          <w:tcPr>
            <w:vAlign w:val="center"/>
          </w:tcPr>
          <w:p>
            <w:pPr>
              <w:pStyle w:val="Compact"/>
              <w:suppressAutoHyphens/>
              <w:jc w:val="center"/>
            </w:pPr>
            <w:r>
              <w:rPr>
                <w:sz w:val="18"/>
                <w:szCs w:val="18"/>
              </w:rPr>
              <w:t xml:space="preserve">0.867±0.001</w:t>
            </w:r>
          </w:p>
        </w:tc>
        <w:tc>
          <w:tcPr>
            <w:vAlign w:val="center"/>
          </w:tcPr>
          <w:p>
            <w:pPr>
              <w:pStyle w:val="Compact"/>
              <w:suppressAutoHyphens/>
              <w:jc w:val="center"/>
            </w:pPr>
            <w:r>
              <w:rPr>
                <w:sz w:val="18"/>
                <w:szCs w:val="18"/>
              </w:rPr>
              <w:t xml:space="preserve">0.726</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0.973</w:t>
            </w:r>
          </w:p>
        </w:tc>
        <w:tc>
          <w:tcPr>
            <w:vAlign w:val="center"/>
          </w:tcPr>
          <w:p>
            <w:pPr>
              <w:pStyle w:val="Compact"/>
              <w:suppressAutoHyphens/>
              <w:jc w:val="center"/>
            </w:pPr>
            <w:r>
              <w:rPr>
                <w:sz w:val="18"/>
                <w:szCs w:val="18"/>
              </w:rPr>
              <w:t xml:space="preserve">0.946</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0.990</w:t>
            </w:r>
          </w:p>
        </w:tc>
        <w:tc>
          <w:tcPr>
            <w:vAlign w:val="center"/>
          </w:tcPr>
          <w:p>
            <w:pPr>
              <w:pStyle w:val="Compact"/>
              <w:suppressAutoHyphens/>
              <w:jc w:val="center"/>
            </w:pPr>
            <w:r>
              <w:rPr>
                <w:sz w:val="18"/>
                <w:szCs w:val="18"/>
              </w:rPr>
              <w:t xml:space="preserve">0.871</w:t>
            </w:r>
          </w:p>
        </w:tc>
        <w:tc>
          <w:tcPr>
            <w:vAlign w:val="center"/>
          </w:tcPr>
          <w:p>
            <w:pPr>
              <w:pStyle w:val="Compact"/>
              <w:suppressAutoHyphens/>
              <w:jc w:val="center"/>
            </w:pPr>
            <w:r>
              <w:rPr>
                <w:sz w:val="18"/>
                <w:szCs w:val="18"/>
              </w:rPr>
              <w:t xml:space="preserve">0.698</w:t>
            </w:r>
          </w:p>
        </w:tc>
      </w:tr>
      <w:tr>
        <w:tc>
          <w:tcPr>
            <w:vAlign w:val="center"/>
          </w:tcPr>
          <w:p>
            <w:pPr>
              <w:pStyle w:val="Compact"/>
              <w:suppressAutoHyphens/>
              <w:jc w:val="center"/>
            </w:pPr>
            <w:r>
              <w:rPr>
                <w:b/>
                <w:bCs/>
                <w:sz w:val="18"/>
                <w:szCs w:val="18"/>
              </w:rPr>
              <w:t xml:space="preserve">VaDE-hard+resid(auto)</w:t>
            </w:r>
          </w:p>
        </w:tc>
        <w:tc>
          <w:tcPr>
            <w:vAlign w:val="center"/>
          </w:tcPr>
          <w:p>
            <w:pPr>
              <w:pStyle w:val="Compact"/>
              <w:suppressAutoHyphens/>
              <w:jc w:val="center"/>
            </w:pPr>
            <w:r>
              <w:rPr>
                <w:sz w:val="18"/>
                <w:szCs w:val="18"/>
              </w:rPr>
              <w:t xml:space="preserve">Ours</w:t>
            </w:r>
          </w:p>
        </w:tc>
        <w:tc>
          <w:tcPr>
            <w:vAlign w:val="center"/>
          </w:tcPr>
          <w:p>
            <w:pPr>
              <w:pStyle w:val="Compact"/>
              <w:suppressAutoHyphens/>
              <w:jc w:val="center"/>
            </w:pPr>
            <w:r>
              <w:rPr>
                <w:sz w:val="18"/>
                <w:szCs w:val="18"/>
              </w:rPr>
              <w:t xml:space="preserve">0.991±0.002</w:t>
            </w:r>
          </w:p>
        </w:tc>
        <w:tc>
          <w:tcPr>
            <w:vAlign w:val="center"/>
          </w:tcPr>
          <w:p>
            <w:pPr>
              <w:pStyle w:val="Compact"/>
              <w:suppressAutoHyphens/>
              <w:jc w:val="center"/>
            </w:pPr>
            <w:r>
              <w:rPr>
                <w:sz w:val="18"/>
                <w:szCs w:val="18"/>
              </w:rPr>
              <w:t xml:space="preserve">0.947</w:t>
            </w:r>
          </w:p>
        </w:tc>
        <w:tc>
          <w:tcPr>
            <w:vAlign w:val="center"/>
          </w:tcPr>
          <w:p>
            <w:pPr>
              <w:pStyle w:val="Compact"/>
              <w:suppressAutoHyphens/>
              <w:jc w:val="center"/>
            </w:pPr>
            <w:r>
              <w:rPr>
                <w:sz w:val="18"/>
                <w:szCs w:val="18"/>
              </w:rPr>
              <w:t xml:space="preserve">0.999±0.002</w:t>
            </w:r>
          </w:p>
        </w:tc>
        <w:tc>
          <w:tcPr>
            <w:vAlign w:val="center"/>
          </w:tcPr>
          <w:p>
            <w:pPr>
              <w:pStyle w:val="Compact"/>
              <w:suppressAutoHyphens/>
              <w:jc w:val="center"/>
            </w:pPr>
            <w:r>
              <w:rPr>
                <w:sz w:val="18"/>
                <w:szCs w:val="18"/>
              </w:rPr>
              <w:t xml:space="preserve">0.976</w:t>
            </w:r>
          </w:p>
        </w:tc>
        <w:tc>
          <w:tcPr>
            <w:vAlign w:val="center"/>
          </w:tcPr>
          <w:p>
            <w:pPr>
              <w:pStyle w:val="Compact"/>
              <w:suppressAutoHyphens/>
              <w:jc w:val="center"/>
            </w:pPr>
            <w:r>
              <w:rPr>
                <w:sz w:val="18"/>
                <w:szCs w:val="18"/>
              </w:rPr>
              <w:t xml:space="preserve">0.960±0.006</w:t>
            </w:r>
          </w:p>
        </w:tc>
        <w:tc>
          <w:tcPr>
            <w:vAlign w:val="center"/>
          </w:tcPr>
          <w:p>
            <w:pPr>
              <w:pStyle w:val="Compact"/>
              <w:suppressAutoHyphens/>
              <w:jc w:val="center"/>
            </w:pPr>
            <w:r>
              <w:rPr>
                <w:sz w:val="18"/>
                <w:szCs w:val="18"/>
              </w:rPr>
              <w:t xml:space="preserve">0.752</w:t>
            </w:r>
          </w:p>
        </w:tc>
      </w:tr>
    </w:tbl>
    <w:p>
      <w:pPr>
        <w:pStyle w:val="MDPI31text"/>
        <w:ind w:left="2608"/>
      </w:pPr>
      <w:r>
        <w:rPr>
          <w:b/>
          <w:bCs/>
        </w:rPr>
        <w:t xml:space="preserve">Overall detection.</w:t>
      </w:r>
      <w:r>
        <w:t xml:space="preserve"> </w:t>
      </w:r>
      <w:r>
        <w:t xml:space="preserve">The headline model attains the best All-subset AUROC of any method on</w:t>
      </w:r>
      <w:r>
        <w:t xml:space="preserve"> </w:t>
      </w:r>
      <w:r>
        <w:t xml:space="preserve">every dataset: WADI 0.792, HAI 0.933 and SWaT 0.991. On WADI and HAI it clears every baseline and both deep</w:t>
      </w:r>
      <w:r>
        <w:t xml:space="preserve"> </w:t>
      </w:r>
      <w:r>
        <w:t xml:space="preserve">detectors by a clear margin; on SWaT it matches the strongest baseline, where all methods are near the ceiling.</w:t>
      </w:r>
      <w:r>
        <w:t xml:space="preserve"> </w:t>
      </w:r>
      <w:r>
        <w:t xml:space="preserve">The detector thus leads the combined column on all three datasets.</w:t>
      </w:r>
    </w:p>
    <w:p>
      <w:pPr>
        <w:pStyle w:val="MDPI31text"/>
        <w:ind w:left="2608"/>
      </w:pPr>
      <w:r>
        <w:rPr>
          <w:b/>
          <w:bCs/>
        </w:rPr>
        <w:t xml:space="preserve">Difficult, joint-structure faults.</w:t>
      </w:r>
      <w:r>
        <w:t xml:space="preserve"> </w:t>
      </w:r>
      <w:r>
        <w:t xml:space="preserve">This is where the design earns its keep (Figure 1). The clearest</w:t>
      </w:r>
      <w:r>
        <w:t xml:space="preserve"> </w:t>
      </w:r>
      <w:r>
        <w:t xml:space="preserve">demonstration is HAI: the model reaches 0.811 on the difficult subset (167 difficult windows spanning 26 distinct</w:t>
      </w:r>
      <w:r>
        <w:t xml:space="preserve"> </w:t>
      </w:r>
      <w:r>
        <w:t xml:space="preserve">attack episodes), well above the AutoEncoder (0.757) and far above the deep detectors USAD (0.477) and TranAD</w:t>
      </w:r>
      <w:r>
        <w:t xml:space="preserve"> </w:t>
      </w:r>
      <w:r>
        <w:t xml:space="preserve">(0.444), which sit near chance. This margin over the AutoEncoder is statistically significant: an episode-block</w:t>
      </w:r>
      <w:r>
        <w:t xml:space="preserve"> </w:t>
      </w:r>
      <w:r>
        <w:t xml:space="preserve">bootstrap of the paired difference (resampling attack episodes and normal windows, averaged over the five seeds)</w:t>
      </w:r>
      <w:r>
        <w:t xml:space="preserve"> </w:t>
      </w:r>
      <w:r>
        <w:t xml:space="preserve">gives +0.054 with a 95% confidence interval of [0.015, 0.089] and an estimated P(difference ≤ 0) of</w:t>
      </w:r>
      <w:r>
        <w:t xml:space="preserve"> </w:t>
      </w:r>
      <w:r>
        <w:t xml:space="preserve">0.002. On WADI the model reaches 0.690, statistically indistinguishable from Isolation Forest (0.677; paired 95%</w:t>
      </w:r>
      <w:r>
        <w:t xml:space="preserve"> </w:t>
      </w:r>
      <w:r>
        <w:t xml:space="preserve">CI [−0.083, 0.106], P ≈ 0.36), so WADI-difficult is a tie at the top of the column rather than</w:t>
      </w:r>
      <w:r>
        <w:t xml:space="preserve"> </w:t>
      </w:r>
      <w:r>
        <w:t xml:space="preserve">a win, while the deep detectors collapse to 0.30–0.33. On SWaT the difficult subset is only mildly difficult:</w:t>
      </w:r>
      <w:r>
        <w:t xml:space="preserve"> </w:t>
      </w:r>
      <w:r>
        <w:t xml:space="preserve">the trivial rule already scores 0.943 there, so every method is strong (ours 0.960, the linear baseline 0.959, a</w:t>
      </w:r>
      <w:r>
        <w:t xml:space="preserve"> </w:t>
      </w:r>
      <w:r>
        <w:t xml:space="preserve">tie), and its 38 difficult windows come from a single attack episode, so SWaT-difficult is a ceiling case rather</w:t>
      </w:r>
      <w:r>
        <w:t xml:space="preserve"> </w:t>
      </w:r>
      <w:r>
        <w:t xml:space="preserve">than a discriminative test of joint-structure detection. The advantage over the deep detectors is largest exactly where</w:t>
      </w:r>
      <w:r>
        <w:t xml:space="preserve"> </w:t>
      </w:r>
      <w:r>
        <w:t xml:space="preserve">the difficult anomalies are reconstructable yet improbable, which reconstruction error cannot separate from</w:t>
      </w:r>
      <w:r>
        <w:t xml:space="preserve"> </w:t>
      </w:r>
      <w:r>
        <w:t xml:space="preserve">normal (WADI, HAI), and vanishes on SWaT, whose difficult anomalies are large multivariate deviations that</w:t>
      </w:r>
      <w:r>
        <w:t xml:space="preserve"> </w:t>
      </w:r>
      <w:r>
        <w:t xml:space="preserve">every method detects.</w:t>
      </w:r>
    </w:p>
    <w:p>
      <w:pPr>
        <w:pStyle w:val="MDPI31text"/>
        <w:ind w:left="2608"/>
      </w:pPr>
      <w:r>
        <w:rPr>
          <w:b/>
          <w:bCs/>
        </w:rPr>
        <w:t xml:space="preserve">Trivially separable anomalies.</w:t>
      </w:r>
      <w:r>
        <w:t xml:space="preserve"> </w:t>
      </w:r>
      <w:r>
        <w:t xml:space="preserve">On the easy subset every method is strong and the ranking is</w:t>
      </w:r>
      <w:r>
        <w:t xml:space="preserve"> </w:t>
      </w:r>
      <w:r>
        <w:t xml:space="preserve">uninformative, by construction: the easy subset is exactly the anomalies a univariate range rule already flags,</w:t>
      </w:r>
      <w:r>
        <w:t xml:space="preserve"> </w:t>
      </w:r>
      <w:r>
        <w:t xml:space="preserve">and the trivial rule itself tops the easy column on SWaT (1.000).</w:t>
      </w:r>
    </w:p>
    <w:p>
      <w:pPr>
        <w:pStyle w:val="MDPI31text"/>
        <w:ind w:left="2608"/>
      </w:pPr>
      <w:r>
        <w:rPr>
          <w:b/>
          <w:bCs/>
        </w:rPr>
        <w:t xml:space="preserve">Validity of the difficulty split.</w:t>
      </w:r>
      <w:r>
        <w:t xml:space="preserve"> </w:t>
      </w:r>
      <w:r>
        <w:t xml:space="preserve">The trivial max|z| rule is strong on Easy by construction</w:t>
      </w:r>
      <w:r>
        <w:t xml:space="preserve"> </w:t>
      </w:r>
      <w:r>
        <w:t xml:space="preserve">(SWaT 1.000, HAI 0.966, WADI 0.687) and drops to near chance on the difficult subset of the two benchmarks that</w:t>
      </w:r>
      <w:r>
        <w:t xml:space="preserve"> </w:t>
      </w:r>
      <w:r>
        <w:t xml:space="preserve">carry genuine joint-structure faults (WADI 0.307, HAI 0.340): the difficult subset is precisely the anomalies</w:t>
      </w:r>
      <w:r>
        <w:t xml:space="preserve"> </w:t>
      </w:r>
      <w:r>
        <w:t xml:space="preserve">this univariate range rule cannot see, so a method that scores well there is detecting joint structure the rule</w:t>
      </w:r>
      <w:r>
        <w:t xml:space="preserve"> </w:t>
      </w:r>
      <w:r>
        <w:t xml:space="preserve">misses. On SWaT the rule stays strong on the difficult subset (0.943), which is why SWaT is a strong overall</w:t>
      </w:r>
      <w:r>
        <w:t xml:space="preserve"> </w:t>
      </w:r>
      <w:r>
        <w:t xml:space="preserve">benchmark but not a discriminative test of joint-structure detection.</w:t>
      </w:r>
    </w:p>
    <w:p>
      <w:pPr>
        <w:pStyle w:val="MDPI31text"/>
        <w:ind w:left="2608"/>
      </w:pPr>
      <w:r>
        <w:rPr>
          <w:b/>
          <w:bCs/>
        </w:rPr>
        <w:t xml:space="preserve">Robustness to a stronger difficulty definition.</w:t>
      </w:r>
      <w:r>
        <w:t xml:space="preserve"> </w:t>
      </w:r>
      <w:r>
        <w:t xml:space="preserve">The canonical split flags a window easy only</w:t>
      </w:r>
      <w:r>
        <w:t xml:space="preserve"> </w:t>
      </w:r>
      <w:r>
        <w:t xml:space="preserve">when the maximum absolute standardised per-channel</w:t>
      </w:r>
      <w:r>
        <w:t xml:space="preserve"> </w:t>
      </w:r>
      <w:r>
        <w:rPr>
          <w:i/>
          <w:iCs/>
        </w:rPr>
        <w:t xml:space="preserve">mean</w:t>
      </w:r>
      <w:r>
        <w:t xml:space="preserve"> </w:t>
      </w:r>
      <w:r>
        <w:t xml:space="preserve">exceeds its 99th train-normal percentile, so a</w:t>
      </w:r>
      <w:r>
        <w:t xml:space="preserve"> </w:t>
      </w:r>
      <w:r>
        <w:t xml:space="preserve">window could in principle be “difficult” yet be separable by a different univariate statistic. We</w:t>
      </w:r>
      <w:r>
        <w:t xml:space="preserve"> </w:t>
      </w:r>
      <w:r>
        <w:t xml:space="preserve">therefore repeat the analysis with a stronger split that labels a window easy if the maximum over</w:t>
      </w:r>
      <w:r>
        <w:t xml:space="preserve"> </w:t>
      </w:r>
      <w:r>
        <w:rPr>
          <w:i/>
          <w:iCs/>
        </w:rPr>
        <w:t xml:space="preserve">all six</w:t>
      </w:r>
      <w:r>
        <w:t xml:space="preserve"> </w:t>
      </w:r>
      <w:r>
        <w:t xml:space="preserve">standardised per-channel statistics (mean, standard deviation, minimum, maximum, first-to-last difference, and</w:t>
      </w:r>
      <w:r>
        <w:t xml:space="preserve"> </w:t>
      </w:r>
      <w:r>
        <w:t xml:space="preserve">range) exceeds its 99th train-normal percentile, removing any window a single univariate statistic separates. On</w:t>
      </w:r>
      <w:r>
        <w:t xml:space="preserve"> </w:t>
      </w:r>
      <w:r>
        <w:t xml:space="preserve">the resulting HAI difficult subset (110 windows) the detector still leads every baseline (0.675, versus 0.622 for</w:t>
      </w:r>
      <w:r>
        <w:t xml:space="preserve"> </w:t>
      </w:r>
      <w:r>
        <w:t xml:space="preserve">the linear cross-channel baseline, 0.604 for the AutoEncoder, and 0.528 for Isolation Forest), so its HAI</w:t>
      </w:r>
      <w:r>
        <w:t xml:space="preserve"> </w:t>
      </w:r>
      <w:r>
        <w:t xml:space="preserve">advantage is not an artefact of the particular statistic that defines difficulty. WADI remains a tie (Isolation</w:t>
      </w:r>
      <w:r>
        <w:t xml:space="preserve"> </w:t>
      </w:r>
      <w:r>
        <w:t xml:space="preserve">Forest 0.710, ours 0.697) and SWaT remains a ceiling case (trivial rule 0.929), consistent with the canonical</w:t>
      </w:r>
      <w:r>
        <w:t xml:space="preserve"> </w:t>
      </w:r>
      <w:r>
        <w:t xml:space="preserve">split.</w:t>
      </w:r>
    </w:p>
    <w:p>
      <w:pPr>
        <w:pStyle w:val="MDPI31text"/>
        <w:ind w:left="2608"/>
      </w:pPr>
      <w:r>
        <w:rPr>
          <w:b/>
          <w:bCs/>
        </w:rPr>
        <w:t xml:space="preserve">The double-hard subset.</w:t>
      </w:r>
      <w:r>
        <w:t xml:space="preserve"> </w:t>
      </w:r>
      <w:r>
        <w:t xml:space="preserve">As a secondary robustness stress test we intersect the failures of the</w:t>
      </w:r>
      <w:r>
        <w:t xml:space="preserve"> </w:t>
      </w:r>
      <w:r>
        <w:t xml:space="preserve">two simplest baseline families. A window is</w:t>
      </w:r>
      <w:r>
        <w:t xml:space="preserve"> </w:t>
      </w:r>
      <w:r>
        <w:rPr>
          <w:i/>
          <w:iCs/>
        </w:rPr>
        <w:t xml:space="preserve">double-hard</w:t>
      </w:r>
      <w:r>
        <w:t xml:space="preserve"> </w:t>
      </w:r>
      <w:r>
        <w:t xml:space="preserve">if it is an anomaly separated by</w:t>
      </w:r>
      <w:r>
        <w:t xml:space="preserve"> </w:t>
      </w:r>
      <w:r>
        <w:rPr>
          <w:i/>
          <w:iCs/>
        </w:rPr>
        <w:t xml:space="preserve">neither</w:t>
      </w:r>
      <w:r>
        <w:t xml:space="preserve"> </w:t>
      </w:r>
      <w:r>
        <w:t xml:space="preserve">the univariate max|z| rule</w:t>
      </w:r>
      <w:r>
        <w:t xml:space="preserve"> </w:t>
      </w:r>
      <w:r>
        <w:rPr>
          <w:i/>
          <w:iCs/>
        </w:rPr>
        <w:t xml:space="preserve">nor</w:t>
      </w:r>
      <w:r>
        <w:t xml:space="preserve"> </w:t>
      </w:r>
      <w:r>
        <w:t xml:space="preserve">the one-hot linear cross-channel predictor (LinRes), with both</w:t>
      </w:r>
      <w:r>
        <w:t xml:space="preserve"> </w:t>
      </w:r>
      <w:r>
        <w:t xml:space="preserve">99th-percentile thresholds fixed on train-normal only and the detector under test playing no role in constructing</w:t>
      </w:r>
      <w:r>
        <w:t xml:space="preserve"> </w:t>
      </w:r>
      <w:r>
        <w:t xml:space="preserve">the subset. This subset is not an unbiased benchmark against the two detectors that define it, which fail on it by</w:t>
      </w:r>
      <w:r>
        <w:t xml:space="preserve"> </w:t>
      </w:r>
      <w:r>
        <w:t xml:space="preserve">construction; it isolates the anomalies that remain once both marginal and simple linear cross-channel structure</w:t>
      </w:r>
      <w:r>
        <w:t xml:space="preserve"> </w:t>
      </w:r>
      <w:r>
        <w:t xml:space="preserve">is removed. Table 4 reports its per-method AUROC. The detector attains the highest mean AUROC on all three</w:t>
      </w:r>
      <w:r>
        <w:t xml:space="preserve"> </w:t>
      </w:r>
      <w:r>
        <w:t xml:space="preserve">datasets (WADI 0.601, HAI 0.806, SWaT 0.921). Statistical superiority is established only on HAI, where 19 attack</w:t>
      </w:r>
      <w:r>
        <w:t xml:space="preserve"> </w:t>
      </w:r>
      <w:r>
        <w:t xml:space="preserve">episodes support an episode-block bootstrap: the paired difference over the AutoEncoder is +0.076 (95% CI</w:t>
      </w:r>
      <w:r>
        <w:t xml:space="preserve"> </w:t>
      </w:r>
      <w:r>
        <w:t xml:space="preserve">[0.038, 0.119]). The WADI subset rests on five episodes and is a numerical lead over Isolation Forest (0.601 vs</w:t>
      </w:r>
      <w:r>
        <w:t xml:space="preserve"> </w:t>
      </w:r>
      <w:r>
        <w:t xml:space="preserve">0.599), not a significant difference; the 18 SWaT windows come from a single attack episode, so no episode-level</w:t>
      </w:r>
      <w:r>
        <w:t xml:space="preserve"> </w:t>
      </w:r>
      <w:r>
        <w:t xml:space="preserve">generalisation is claimed there. The subset genuinely removes ceiling signal rather than selecting an easier</w:t>
      </w:r>
      <w:r>
        <w:t xml:space="preserve"> </w:t>
      </w:r>
      <w:r>
        <w:t xml:space="preserve">favourable slice: on SWaT the trivial-rule AUROC falls from 0.943 on the difficult subset to 0.880 here, and the</w:t>
      </w:r>
      <w:r>
        <w:t xml:space="preserve"> </w:t>
      </w:r>
      <w:r>
        <w:t xml:space="preserve">AutoEncoder collapses on WADI (0.336).</w:t>
      </w:r>
    </w:p>
    <w:p>
      <w:pPr>
        <w:pStyle w:val="MDPI41tablecaption"/>
        <w:ind w:left="2608"/>
      </w:pPr>
      <w:r>
        <w:rPr>
          <w:b/>
          <w:bCs/>
        </w:rPr>
        <w:t xml:space="preserve">Table 4.</w:t>
      </w:r>
      <w:r>
        <w:t xml:space="preserve"> </w:t>
      </w:r>
      <w:r>
        <w:t xml:space="preserve">Double-hard subset AUROC (five-seed mean±standard deviation for the</w:t>
      </w:r>
      <w:r>
        <w:t xml:space="preserve"> </w:t>
      </w:r>
      <w:r>
        <w:t xml:space="preserve">learned detectors). The double-hard subset keeps only anomaly windows separated by neither the univariate max|z|</w:t>
      </w:r>
      <w:r>
        <w:t xml:space="preserve"> </w:t>
      </w:r>
      <w:r>
        <w:t xml:space="preserve">rule nor the linear cross-channel predictor, both thresholded on train-normal at the 99th percentile; it is a</w:t>
      </w:r>
      <w:r>
        <w:t xml:space="preserve"> </w:t>
      </w:r>
      <w:r>
        <w:t xml:space="preserve">baseline-independent stress test, not an unbiased comparison against those two filters. Windows / distinct attack</w:t>
      </w:r>
      <w:r>
        <w:t xml:space="preserve"> </w:t>
      </w:r>
      <w:r>
        <w:t xml:space="preserve">episodes: WADI 11 / 5, HAI 84 / 19, SWaT 18 / 1. The detector has the highest mean</w:t>
      </w:r>
      <w:r>
        <w:t xml:space="preserve"> </w:t>
      </w:r>
      <w:r>
        <w:t xml:space="preserve">AUROC on all three datasets; the difference is statistically supported only on HAI (episode-block bootstrap), a</w:t>
      </w:r>
      <w:r>
        <w:t xml:space="preserve"> </w:t>
      </w:r>
      <w:r>
        <w:t xml:space="preserve">numerical lead on WADI (five episodes), and a single-episode result on SWaT.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517"/>
        <w:gridCol w:w="1780"/>
        <w:gridCol w:w="1780"/>
        <w:gridCol w:w="1781"/>
      </w:tblGrid>
      <w:tr>
        <w:trPr>
          <w:tblHeader w:val="on"/>
        </w:trPr>
        <w:tc>
          <w:tcPr>
            <w:tcBorders>
              <w:bottom w:val="single" w:sz="8" w:space="0" w:color="auto"/>
            </w:tcBorders>
            <w:vAlign w:val="center"/>
          </w:tcPr>
          <w:p>
            <w:pPr>
              <w:pStyle w:val="Compact"/>
              <w:suppressAutoHyphens/>
              <w:jc w:val="center"/>
            </w:pPr>
            <w:r>
              <w:rPr>
                <w:b/>
                <w:sz w:val="18"/>
                <w:szCs w:val="18"/>
              </w:rPr>
              <w:t xml:space="preserve">Method</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rPr>
              <w:t xml:space="preserve">trivial max|z|</w:t>
            </w:r>
          </w:p>
        </w:tc>
        <w:tc>
          <w:tcPr>
            <w:vAlign w:val="center"/>
          </w:tcPr>
          <w:p>
            <w:pPr>
              <w:pStyle w:val="Compact"/>
              <w:suppressAutoHyphens/>
              <w:jc w:val="center"/>
            </w:pPr>
            <w:r>
              <w:rPr>
                <w:sz w:val="18"/>
                <w:szCs w:val="18"/>
              </w:rPr>
              <w:t xml:space="preserve">0.283</w:t>
            </w:r>
          </w:p>
        </w:tc>
        <w:tc>
          <w:tcPr>
            <w:vAlign w:val="center"/>
          </w:tcPr>
          <w:p>
            <w:pPr>
              <w:pStyle w:val="Compact"/>
              <w:suppressAutoHyphens/>
              <w:jc w:val="center"/>
            </w:pPr>
            <w:r>
              <w:rPr>
                <w:sz w:val="18"/>
                <w:szCs w:val="18"/>
              </w:rPr>
              <w:t xml:space="preserve">0.349</w:t>
            </w:r>
          </w:p>
        </w:tc>
        <w:tc>
          <w:tcPr>
            <w:vAlign w:val="center"/>
          </w:tcPr>
          <w:p>
            <w:pPr>
              <w:pStyle w:val="Compact"/>
              <w:suppressAutoHyphens/>
              <w:jc w:val="center"/>
            </w:pPr>
            <w:r>
              <w:rPr>
                <w:sz w:val="18"/>
                <w:szCs w:val="18"/>
              </w:rPr>
              <w:t xml:space="preserve">0.880</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0.599±0.013</w:t>
            </w:r>
          </w:p>
        </w:tc>
        <w:tc>
          <w:tcPr>
            <w:vAlign w:val="center"/>
          </w:tcPr>
          <w:p>
            <w:pPr>
              <w:pStyle w:val="Compact"/>
              <w:suppressAutoHyphens/>
              <w:jc w:val="center"/>
            </w:pPr>
            <w:r>
              <w:rPr>
                <w:sz w:val="18"/>
                <w:szCs w:val="18"/>
              </w:rPr>
              <w:t xml:space="preserve">0.635±0.012</w:t>
            </w:r>
          </w:p>
        </w:tc>
        <w:tc>
          <w:tcPr>
            <w:vAlign w:val="center"/>
          </w:tcPr>
          <w:p>
            <w:pPr>
              <w:pStyle w:val="Compact"/>
              <w:suppressAutoHyphens/>
              <w:jc w:val="center"/>
            </w:pPr>
            <w:r>
              <w:rPr>
                <w:sz w:val="18"/>
                <w:szCs w:val="18"/>
              </w:rPr>
              <w:t xml:space="preserve">0.789±0.011</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0.336±0.007</w:t>
            </w:r>
          </w:p>
        </w:tc>
        <w:tc>
          <w:tcPr>
            <w:vAlign w:val="center"/>
          </w:tcPr>
          <w:p>
            <w:pPr>
              <w:pStyle w:val="Compact"/>
              <w:suppressAutoHyphens/>
              <w:jc w:val="center"/>
            </w:pPr>
            <w:r>
              <w:rPr>
                <w:sz w:val="18"/>
                <w:szCs w:val="18"/>
              </w:rPr>
              <w:t xml:space="preserve">0.730±0.003</w:t>
            </w:r>
          </w:p>
        </w:tc>
        <w:tc>
          <w:tcPr>
            <w:vAlign w:val="center"/>
          </w:tcPr>
          <w:p>
            <w:pPr>
              <w:pStyle w:val="Compact"/>
              <w:suppressAutoHyphens/>
              <w:jc w:val="center"/>
            </w:pPr>
            <w:r>
              <w:rPr>
                <w:sz w:val="18"/>
                <w:szCs w:val="18"/>
              </w:rPr>
              <w:t xml:space="preserve">0.890±0.010</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0.251</w:t>
            </w:r>
          </w:p>
        </w:tc>
        <w:tc>
          <w:tcPr>
            <w:vAlign w:val="center"/>
          </w:tcPr>
          <w:p>
            <w:pPr>
              <w:pStyle w:val="Compact"/>
              <w:suppressAutoHyphens/>
              <w:jc w:val="center"/>
            </w:pPr>
            <w:r>
              <w:rPr>
                <w:sz w:val="18"/>
                <w:szCs w:val="18"/>
              </w:rPr>
              <w:t xml:space="preserve">0.465</w:t>
            </w:r>
          </w:p>
        </w:tc>
        <w:tc>
          <w:tcPr>
            <w:vAlign w:val="center"/>
          </w:tcPr>
          <w:p>
            <w:pPr>
              <w:pStyle w:val="Compact"/>
              <w:suppressAutoHyphens/>
              <w:jc w:val="center"/>
            </w:pPr>
            <w:r>
              <w:rPr>
                <w:sz w:val="18"/>
                <w:szCs w:val="18"/>
              </w:rPr>
              <w:t xml:space="preserve">0.914</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0.257</w:t>
            </w:r>
          </w:p>
        </w:tc>
        <w:tc>
          <w:tcPr>
            <w:vAlign w:val="center"/>
          </w:tcPr>
          <w:p>
            <w:pPr>
              <w:pStyle w:val="Compact"/>
              <w:suppressAutoHyphens/>
              <w:jc w:val="center"/>
            </w:pPr>
            <w:r>
              <w:rPr>
                <w:sz w:val="18"/>
                <w:szCs w:val="18"/>
              </w:rPr>
              <w:t xml:space="preserve">0.471</w:t>
            </w:r>
          </w:p>
        </w:tc>
        <w:tc>
          <w:tcPr>
            <w:vAlign w:val="center"/>
          </w:tcPr>
          <w:p>
            <w:pPr>
              <w:pStyle w:val="Compact"/>
              <w:suppressAutoHyphens/>
              <w:jc w:val="center"/>
            </w:pPr>
            <w:r>
              <w:rPr>
                <w:sz w:val="18"/>
                <w:szCs w:val="18"/>
              </w:rPr>
              <w:t xml:space="preserve">0.785</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0.276</w:t>
            </w:r>
          </w:p>
        </w:tc>
        <w:tc>
          <w:tcPr>
            <w:vAlign w:val="center"/>
          </w:tcPr>
          <w:p>
            <w:pPr>
              <w:pStyle w:val="Compact"/>
              <w:suppressAutoHyphens/>
              <w:jc w:val="center"/>
            </w:pPr>
            <w:r>
              <w:rPr>
                <w:sz w:val="18"/>
                <w:szCs w:val="18"/>
              </w:rPr>
              <w:t xml:space="preserve">0.418</w:t>
            </w:r>
          </w:p>
        </w:tc>
        <w:tc>
          <w:tcPr>
            <w:vAlign w:val="center"/>
          </w:tcPr>
          <w:p>
            <w:pPr>
              <w:pStyle w:val="Compact"/>
              <w:suppressAutoHyphens/>
              <w:jc w:val="center"/>
            </w:pPr>
            <w:r>
              <w:rPr>
                <w:sz w:val="18"/>
                <w:szCs w:val="18"/>
              </w:rPr>
              <w:t xml:space="preserve">0.779</w:t>
            </w:r>
          </w:p>
        </w:tc>
      </w:tr>
      <w:tr>
        <w:tc>
          <w:tcPr>
            <w:vAlign w:val="center"/>
          </w:tcPr>
          <w:p>
            <w:pPr>
              <w:pStyle w:val="Compact"/>
              <w:suppressAutoHyphens/>
              <w:jc w:val="center"/>
            </w:pPr>
            <w:r>
              <w:rPr>
                <w:b/>
                <w:bCs/>
                <w:sz w:val="18"/>
                <w:szCs w:val="18"/>
              </w:rPr>
              <w:t xml:space="preserve">VaDE-hard+resid (ours)</w:t>
            </w:r>
          </w:p>
        </w:tc>
        <w:tc>
          <w:tcPr>
            <w:vAlign w:val="center"/>
          </w:tcPr>
          <w:p>
            <w:pPr>
              <w:pStyle w:val="Compact"/>
              <w:suppressAutoHyphens/>
              <w:jc w:val="center"/>
            </w:pPr>
            <w:r>
              <w:rPr>
                <w:sz w:val="18"/>
                <w:szCs w:val="18"/>
              </w:rPr>
              <w:t xml:space="preserve">0.601±0.027</w:t>
            </w:r>
          </w:p>
        </w:tc>
        <w:tc>
          <w:tcPr>
            <w:vAlign w:val="center"/>
          </w:tcPr>
          <w:p>
            <w:pPr>
              <w:pStyle w:val="Compact"/>
              <w:suppressAutoHyphens/>
              <w:jc w:val="center"/>
            </w:pPr>
            <w:r>
              <w:rPr>
                <w:sz w:val="18"/>
                <w:szCs w:val="18"/>
              </w:rPr>
              <w:t xml:space="preserve">0.806±0.019</w:t>
            </w:r>
          </w:p>
        </w:tc>
        <w:tc>
          <w:tcPr>
            <w:vAlign w:val="center"/>
          </w:tcPr>
          <w:p>
            <w:pPr>
              <w:pStyle w:val="Compact"/>
              <w:suppressAutoHyphens/>
              <w:jc w:val="center"/>
            </w:pPr>
            <w:r>
              <w:rPr>
                <w:sz w:val="18"/>
                <w:szCs w:val="18"/>
              </w:rPr>
              <w:t xml:space="preserve">0.921±0.012</w:t>
            </w:r>
          </w:p>
        </w:tc>
      </w:tr>
    </w:tbl>
    <w:p>
      <w:pPr>
        <w:pStyle w:val="MDPI31text"/>
        <w:ind w:left="2608"/>
      </w:pPr>
      <w:r>
        <w:rPr>
          <w:b/>
          <w:bCs/>
        </w:rPr>
        <w:t xml:space="preserve">Deep SOTA under raw metrics.</w:t>
      </w:r>
      <w:r>
        <w:t xml:space="preserve"> </w:t>
      </w:r>
      <w:r>
        <w:t xml:space="preserve">Re-computed with raw point-wise metrics, the deep detectors USAD</w:t>
      </w:r>
      <w:r>
        <w:t xml:space="preserve"> </w:t>
      </w:r>
      <w:r>
        <w:t xml:space="preserve">and TranAD collapse on the difficult subset of the two joint-structure benchmarks: over five seeds they fall to</w:t>
      </w:r>
      <w:r>
        <w:t xml:space="preserve"> </w:t>
      </w:r>
      <w:r>
        <w:t xml:space="preserve">0.477 and 0.444 on HAI and to 0.305 and 0.325 on WADI, near or below chance and far below our 0.690–0.811,</w:t>
      </w:r>
      <w:r>
        <w:t xml:space="preserve"> </w:t>
      </w:r>
      <w:r>
        <w:t xml:space="preserve">even while they remain strong on Easy (0.90–0.97). This is the concrete face of the “illusion of success”:</w:t>
      </w:r>
      <w:r>
        <w:t xml:space="preserve"> </w:t>
      </w:r>
      <w:r>
        <w:t xml:space="preserve">models that look strong under point-adjusted F1 have little difficult-fault signal once the metric is raw.</w:t>
      </w:r>
    </w:p>
    <w:p xmlns:a="http://schemas.openxmlformats.org/drawingml/2006/main" xmlns:pic="http://schemas.openxmlformats.org/drawingml/2006/picture">
      <w:pPr>
        <w:pStyle w:val="MDPI52figure"/>
        <w:ind w:left="2608"/>
        <w:jc w:val="center"/>
      </w:pPr>
      <w:r>
        <w:drawing>
          <wp:inline>
            <wp:extent cx="4989830" cy="2080135"/>
            <wp:effectExtent b="0" l="0" r="0" t="0"/>
            <wp:docPr descr="figure" title="" id="32" name="Picture"/>
            <a:graphic>
              <a:graphicData uri="http://schemas.openxmlformats.org/drawingml/2006/picture">
                <pic:pic>
                  <pic:nvPicPr>
                    <pic:cNvPr descr="_inlinesvg_0.png" id="33" name="Picture"/>
                    <pic:cNvPicPr>
                      <a:picLocks noChangeArrowheads="1" noChangeAspect="1"/>
                    </pic:cNvPicPr>
                  </pic:nvPicPr>
                  <pic:blipFill>
                    <a:blip r:embed="rId8"/>
                    <a:stretch>
                      <a:fillRect/>
                    </a:stretch>
                  </pic:blipFill>
                  <pic:spPr bwMode="auto">
                    <a:xfrm>
                      <a:off x="0" y="0"/>
                      <a:ext cx="4989830" cy="2080135"/>
                    </a:xfrm>
                    <a:prstGeom prst="rect">
                      <a:avLst/>
                    </a:prstGeom>
                    <a:noFill/>
                    <a:ln w="9525">
                      <a:noFill/>
                      <a:headEnd/>
                      <a:tailEnd/>
                    </a:ln>
                  </pic:spPr>
                </pic:pic>
              </a:graphicData>
            </a:graphic>
          </wp:inline>
        </w:drawing>
      </w:r>
    </w:p>
    <w:p>
      <w:pPr>
        <w:pStyle w:val="MDPI51figurecaption"/>
        <w:ind w:left="2608"/>
      </w:pPr>
      <w:r>
        <w:rPr>
          <w:b/>
          <w:bCs/>
        </w:rPr>
        <w:t xml:space="preserve">Figure 1.</w:t>
      </w:r>
      <w:r>
        <w:t xml:space="preserve"> </w:t>
      </w:r>
      <w:r>
        <w:t xml:space="preserve">Difficult-subset AUROC by method (five-seed mean; whiskers show ±1 SD over seeds for the learned detectors). The detector is strongest on HAI by a statistically significant margin (paired 95% CI [0.015, 0.089] over the AutoEncoder) and ties the top baseline on WADI (0.690 vs Isolation Forest 0.677) and SWaT. The margin over the deep detectors (USAD, TranAD) is largest on HAI (0.811 vs 0.45–0.50) and WADI (0.690 vs 0.30–0.33), the two benchmarks whose difficult faults are low-magnitude improbable combinations that reconstruction error cannot separate from normal; on SWaT the difficult faults are large multivariate deviations that every method detects, so the margin is small.</w:t>
      </w:r>
    </w:p>
    <w:p>
      <w:pPr>
        <w:pStyle w:val="MDPI21heading1"/>
        <w:ind w:left="2608"/>
      </w:pPr>
      <w:r>
        <w:t xml:space="preserve">7  Discussion</w:t>
      </w:r>
    </w:p>
    <w:p>
      <w:pPr>
        <w:pStyle w:val="MDPI32textnoindent"/>
        <w:ind w:left="2608"/>
      </w:pPr>
      <w:r>
        <w:rPr>
          <w:b/>
          <w:bCs/>
        </w:rPr>
        <w:t xml:space="preserve">Executive summary.</w:t>
      </w:r>
      <w:r>
        <w:t xml:space="preserve"> </w:t>
      </w:r>
      <w:r>
        <w:t xml:space="preserve">Under a fair protocol (raw point-wise metrics, difficulty</w:t>
      </w:r>
      <w:r>
        <w:t xml:space="preserve"> </w:t>
      </w:r>
      <w:r>
        <w:t xml:space="preserve">stratification, and train-normal-only calibration) on three real CPS attack benchmarks, the VaDE-based</w:t>
      </w:r>
      <w:r>
        <w:t xml:space="preserve"> </w:t>
      </w:r>
      <w:r>
        <w:t xml:space="preserve">latent-plus-clustering detector</w:t>
      </w:r>
      <w:r>
        <w:t xml:space="preserve"> </w:t>
      </w:r>
      <w:r>
        <w:rPr>
          <w:b/>
          <w:bCs/>
        </w:rPr>
        <w:t xml:space="preserve">attains the best overall AUROC on every dataset and is strongest on the</w:t>
      </w:r>
      <w:r>
        <w:rPr>
          <w:b/>
          <w:bCs/>
        </w:rPr>
        <w:t xml:space="preserve"> </w:t>
      </w:r>
      <w:r>
        <w:rPr>
          <w:b/>
          <w:bCs/>
        </w:rPr>
        <w:t xml:space="preserve">difficult subset over five seeds</w:t>
      </w:r>
      <w:r>
        <w:t xml:space="preserve">. The clearest demonstration is HAI, whose difficult faults genuinely</w:t>
      </w:r>
      <w:r>
        <w:t xml:space="preserve"> </w:t>
      </w:r>
      <w:r>
        <w:t xml:space="preserve">break joint structure: the detector reaches 0.811, a statistically significant margin over the next-best baseline</w:t>
      </w:r>
      <w:r>
        <w:t xml:space="preserve"> </w:t>
      </w:r>
      <w:r>
        <w:t xml:space="preserve">(paired episode-bootstrap 95% CI [0.015, 0.089]), while the deep detectors USAD and TranAD fall near chance</w:t>
      </w:r>
      <w:r>
        <w:t xml:space="preserve"> </w:t>
      </w:r>
      <w:r>
        <w:t xml:space="preserve">(0.44–0.48); on WADI and SWaT it ties the strongest baseline at the top of the difficult column. Modelling normal as a jointly learned latent plus explicit regime clustering, and scoring by</w:t>
      </w:r>
      <w:r>
        <w:t xml:space="preserve"> </w:t>
      </w:r>
      <w:r>
        <w:t xml:space="preserve">probability in that latent, is what delivers the difficult-subset advantage.</w:t>
      </w:r>
    </w:p>
    <w:p>
      <w:pPr>
        <w:pStyle w:val="MDPI31text"/>
        <w:ind w:left="2608"/>
      </w:pPr>
      <w:r>
        <w:rPr>
          <w:b/>
          <w:bCs/>
        </w:rPr>
        <w:t xml:space="preserve">Why reconstruction fails and density wins.</w:t>
      </w:r>
      <w:r>
        <w:t xml:space="preserve"> </w:t>
      </w:r>
      <w:r>
        <w:t xml:space="preserve">The deep detectors USAD and TranAD score by</w:t>
      </w:r>
      <w:r>
        <w:t xml:space="preserve"> </w:t>
      </w:r>
      <w:r>
        <w:t xml:space="preserve">reconstruction, and reconstruction measures</w:t>
      </w:r>
      <w:r>
        <w:t xml:space="preserve"> </w:t>
      </w:r>
      <w:r>
        <w:rPr>
          <w:i/>
          <w:iCs/>
        </w:rPr>
        <w:t xml:space="preserve">reachability</w:t>
      </w:r>
      <w:r>
        <w:t xml:space="preserve"> </w:t>
      </w:r>
      <w:r>
        <w:t xml:space="preserve">(can the decoder reproduce this vector?), not</w:t>
      </w:r>
      <w:r>
        <w:t xml:space="preserve"> </w:t>
      </w:r>
      <w:r>
        <w:rPr>
          <w:i/>
          <w:iCs/>
        </w:rPr>
        <w:t xml:space="preserve">probability</w:t>
      </w:r>
      <w:r>
        <w:t xml:space="preserve"> </w:t>
      </w:r>
      <w:r>
        <w:t xml:space="preserve">(is this vector likely under normal?). On multimodal normal data the two diverge: a flexible</w:t>
      </w:r>
      <w:r>
        <w:t xml:space="preserve"> </w:t>
      </w:r>
      <w:r>
        <w:t xml:space="preserve">decoder trained to reproduce several regimes interpolates between them, so an improbable between-regime or</w:t>
      </w:r>
      <w:r>
        <w:t xml:space="preserve"> </w:t>
      </w:r>
      <w:r>
        <w:t xml:space="preserve">in-regime-tail combination sits inside the decoder's reachable range and reconstructs with low error. We verify this</w:t>
      </w:r>
      <w:r>
        <w:t xml:space="preserve"> </w:t>
      </w:r>
      <w:r>
        <w:t xml:space="preserve">directly on WADI. The difficult anomalies stay on the normal manifold (PCA off-subspace residual AUROC 0.43) and</w:t>
      </w:r>
      <w:r>
        <w:t xml:space="preserve"> </w:t>
      </w:r>
      <w:r>
        <w:t xml:space="preserve">reconstruct as well as normal (reconstruction-error AUROC 0.43), yet the latent density flags them (0.74). A</w:t>
      </w:r>
      <w:r>
        <w:t xml:space="preserve"> </w:t>
      </w:r>
      <w:r>
        <w:t xml:space="preserve">controlled probe makes the mechanism explicit: synthetic improbable combinations formed by averaging two normal</w:t>
      </w:r>
      <w:r>
        <w:t xml:space="preserve"> </w:t>
      </w:r>
      <w:r>
        <w:t xml:space="preserve">windows from different regimes reconstruct even better than real normal (reconstruction AUROC 0.08), while the</w:t>
      </w:r>
      <w:r>
        <w:t xml:space="preserve"> </w:t>
      </w:r>
      <w:r>
        <w:t xml:space="preserve">latent density separates them cleanly (0.72). Scoring by density in the clustered latent replaces reachability</w:t>
      </w:r>
      <w:r>
        <w:t xml:space="preserve"> </w:t>
      </w:r>
      <w:r>
        <w:t xml:space="preserve">with probability, which is exactly what reconstruction cannot see. This is why the base score omits reconstruction</w:t>
      </w:r>
      <w:r>
        <w:t xml:space="preserve"> </w:t>
      </w:r>
      <w:r>
        <w:t xml:space="preserve">and scores in the jointly learned latent, with a high-</w:t>
      </w:r>
      <w:r>
        <w:rPr>
          <w:i/>
          <w:iCs/>
        </w:rPr>
        <w:t xml:space="preserve">K</w:t>
      </w:r>
      <w:r>
        <w:t xml:space="preserve"> </w:t>
      </w:r>
      <w:r>
        <w:t xml:space="preserve">density head for non-Gaussian fringes (A4) and a</w:t>
      </w:r>
      <w:r>
        <w:t xml:space="preserve"> </w:t>
      </w:r>
      <w:r>
        <w:t xml:space="preserve">rare-regime-safe nearest-component likelihood (A6); reconstruction is added back only through the optional,</w:t>
      </w:r>
      <w:r>
        <w:t xml:space="preserve"> </w:t>
      </w:r>
      <w:r>
        <w:t xml:space="preserve">auto-gated residual head where it demonstrably helps (§4.3 iv).</w:t>
      </w:r>
    </w:p>
    <w:p>
      <w:pPr>
        <w:pStyle w:val="MDPI41tablecaption"/>
        <w:ind w:left="2608"/>
      </w:pPr>
      <w:r>
        <w:rPr>
          <w:b/>
          <w:bCs/>
        </w:rPr>
        <w:t xml:space="preserve">Table 5.</w:t>
      </w:r>
      <w:r>
        <w:t xml:space="preserve"> </w:t>
      </w:r>
      <w:r>
        <w:t xml:space="preserve">Difficult-subset AUROC by score head, five-seed mean±standard deviation</w:t>
      </w:r>
      <w:r>
        <w:t xml:space="preserve"> </w:t>
      </w:r>
      <w:r>
        <w:t xml:space="preserve">on all three datasets (an independent five-seed run; the final row reproduces the Table 3 headline within seed</w:t>
      </w:r>
      <w:r>
        <w:t xml:space="preserve"> </w:t>
      </w:r>
      <w:r>
        <w:t xml:space="preserve">variation).</w:t>
      </w:r>
      <w:r>
        <w:t xml:space="preserve"> </w:t>
      </w:r>
      <w:r>
        <w:rPr>
          <w:i/>
          <w:iCs/>
        </w:rPr>
        <w:t xml:space="preserve">recon</w:t>
      </w:r>
      <w:r>
        <w:t xml:space="preserve"> </w:t>
      </w:r>
      <w:r>
        <w:t xml:space="preserve">is the whitened reconstruction residual (the term the base score omits);</w:t>
      </w:r>
      <w:r>
        <w:t xml:space="preserve"> </w:t>
      </w:r>
      <w:r>
        <w:rPr>
          <w:i/>
          <w:iCs/>
        </w:rPr>
        <w:t xml:space="preserve">base</w:t>
      </w:r>
      <w:r>
        <w:t xml:space="preserve"> </w:t>
      </w:r>
      <w:r>
        <w:t xml:space="preserve">is density+nearest;</w:t>
      </w:r>
      <w:r>
        <w:t xml:space="preserve"> </w:t>
      </w:r>
      <w:r>
        <w:rPr>
          <w:i/>
          <w:iCs/>
        </w:rPr>
        <w:t xml:space="preserve">base+resid</w:t>
      </w:r>
      <w:r>
        <w:t xml:space="preserve"> </w:t>
      </w:r>
      <w:r>
        <w:t xml:space="preserve">adds the auto-gated residual head;</w:t>
      </w:r>
      <w:r>
        <w:t xml:space="preserve"> </w:t>
      </w:r>
      <w:r>
        <w:rPr>
          <w:i/>
          <w:iCs/>
        </w:rPr>
        <w:t xml:space="preserve">LatAD</w:t>
      </w:r>
      <w:r>
        <w:t xml:space="preserve"> </w:t>
      </w:r>
      <w:r>
        <w:t xml:space="preserve">is the reported model</w:t>
      </w:r>
      <w:r>
        <w:t xml:space="preserve"> </w:t>
      </w:r>
      <w:r>
        <w:t xml:space="preserve">(base+resid+basin, auto-gated).</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3022"/>
        <w:gridCol w:w="1611"/>
        <w:gridCol w:w="1611"/>
        <w:gridCol w:w="1614"/>
      </w:tblGrid>
      <w:tr>
        <w:trPr>
          <w:tblHeader w:val="on"/>
        </w:trPr>
        <w:tc>
          <w:tcPr>
            <w:tcBorders>
              <w:bottom w:val="single" w:sz="8" w:space="0" w:color="auto"/>
            </w:tcBorders>
            <w:vAlign w:val="center"/>
          </w:tcPr>
          <w:p>
            <w:pPr>
              <w:pStyle w:val="Compact"/>
              <w:suppressAutoHyphens/>
              <w:jc w:val="center"/>
            </w:pPr>
            <w:r>
              <w:rPr>
                <w:b/>
                <w:sz w:val="18"/>
                <w:szCs w:val="18"/>
              </w:rPr>
              <w:t xml:space="preserve">Score head</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rPr>
              <w:t xml:space="preserve">reconstruction residual (dropped term)</w:t>
            </w:r>
          </w:p>
        </w:tc>
        <w:tc>
          <w:tcPr>
            <w:vAlign w:val="center"/>
          </w:tcPr>
          <w:p>
            <w:pPr>
              <w:pStyle w:val="Compact"/>
              <w:suppressAutoHyphens/>
              <w:jc w:val="center"/>
            </w:pPr>
            <w:r>
              <w:rPr>
                <w:sz w:val="18"/>
                <w:szCs w:val="18"/>
              </w:rPr>
              <w:t xml:space="preserve">0.475±0.004</w:t>
            </w:r>
          </w:p>
        </w:tc>
        <w:tc>
          <w:tcPr>
            <w:vAlign w:val="center"/>
          </w:tcPr>
          <w:p>
            <w:pPr>
              <w:pStyle w:val="Compact"/>
              <w:suppressAutoHyphens/>
              <w:jc w:val="center"/>
            </w:pPr>
            <w:r>
              <w:rPr>
                <w:sz w:val="18"/>
                <w:szCs w:val="18"/>
              </w:rPr>
              <w:t xml:space="preserve">0.695±0.004</w:t>
            </w:r>
          </w:p>
        </w:tc>
        <w:tc>
          <w:tcPr>
            <w:vAlign w:val="center"/>
          </w:tcPr>
          <w:p>
            <w:pPr>
              <w:pStyle w:val="Compact"/>
              <w:suppressAutoHyphens/>
              <w:jc w:val="center"/>
            </w:pPr>
            <w:r>
              <w:rPr>
                <w:sz w:val="18"/>
                <w:szCs w:val="18"/>
              </w:rPr>
              <w:t xml:space="preserve">0.965±0.002</w:t>
            </w:r>
          </w:p>
        </w:tc>
      </w:tr>
      <w:tr>
        <w:tc>
          <w:tcPr>
            <w:vAlign w:val="center"/>
          </w:tcPr>
          <w:p>
            <w:pPr>
              <w:pStyle w:val="Compact"/>
              <w:suppressAutoHyphens/>
              <w:jc w:val="center"/>
            </w:pPr>
            <w:r>
              <w:rPr>
                <w:sz w:val="18"/>
                <w:szCs w:val="18"/>
              </w:rPr>
              <w:t xml:space="preserve">latent density</w:t>
            </w:r>
          </w:p>
        </w:tc>
        <w:tc>
          <w:tcPr>
            <w:vAlign w:val="center"/>
          </w:tcPr>
          <w:p>
            <w:pPr>
              <w:pStyle w:val="Compact"/>
              <w:suppressAutoHyphens/>
              <w:jc w:val="center"/>
            </w:pPr>
            <w:r>
              <w:rPr>
                <w:sz w:val="18"/>
                <w:szCs w:val="18"/>
              </w:rPr>
              <w:t xml:space="preserve">0.694±0.027</w:t>
            </w:r>
          </w:p>
        </w:tc>
        <w:tc>
          <w:tcPr>
            <w:vAlign w:val="center"/>
          </w:tcPr>
          <w:p>
            <w:pPr>
              <w:pStyle w:val="Compact"/>
              <w:suppressAutoHyphens/>
              <w:jc w:val="center"/>
            </w:pPr>
            <w:r>
              <w:rPr>
                <w:sz w:val="18"/>
                <w:szCs w:val="18"/>
              </w:rPr>
              <w:t xml:space="preserve">0.802±0.011</w:t>
            </w:r>
          </w:p>
        </w:tc>
        <w:tc>
          <w:tcPr>
            <w:vAlign w:val="center"/>
          </w:tcPr>
          <w:p>
            <w:pPr>
              <w:pStyle w:val="Compact"/>
              <w:suppressAutoHyphens/>
              <w:jc w:val="center"/>
            </w:pPr>
            <w:r>
              <w:rPr>
                <w:sz w:val="18"/>
                <w:szCs w:val="18"/>
              </w:rPr>
              <w:t xml:space="preserve">0.952±0.008</w:t>
            </w:r>
          </w:p>
        </w:tc>
      </w:tr>
      <w:tr>
        <w:tc>
          <w:tcPr>
            <w:vAlign w:val="center"/>
          </w:tcPr>
          <w:p>
            <w:pPr>
              <w:pStyle w:val="Compact"/>
              <w:suppressAutoHyphens/>
              <w:jc w:val="center"/>
            </w:pPr>
            <w:r>
              <w:rPr>
                <w:sz w:val="18"/>
                <w:szCs w:val="18"/>
              </w:rPr>
              <w:t xml:space="preserve">nearest-component NLL</w:t>
            </w:r>
          </w:p>
        </w:tc>
        <w:tc>
          <w:tcPr>
            <w:vAlign w:val="center"/>
          </w:tcPr>
          <w:p>
            <w:pPr>
              <w:pStyle w:val="Compact"/>
              <w:suppressAutoHyphens/>
              <w:jc w:val="center"/>
            </w:pPr>
            <w:r>
              <w:rPr>
                <w:sz w:val="18"/>
                <w:szCs w:val="18"/>
              </w:rPr>
              <w:t xml:space="preserve">0.665±0.033</w:t>
            </w:r>
          </w:p>
        </w:tc>
        <w:tc>
          <w:tcPr>
            <w:vAlign w:val="center"/>
          </w:tcPr>
          <w:p>
            <w:pPr>
              <w:pStyle w:val="Compact"/>
              <w:suppressAutoHyphens/>
              <w:jc w:val="center"/>
            </w:pPr>
            <w:r>
              <w:rPr>
                <w:sz w:val="18"/>
                <w:szCs w:val="18"/>
              </w:rPr>
              <w:t xml:space="preserve">0.797±0.008</w:t>
            </w:r>
          </w:p>
        </w:tc>
        <w:tc>
          <w:tcPr>
            <w:vAlign w:val="center"/>
          </w:tcPr>
          <w:p>
            <w:pPr>
              <w:pStyle w:val="Compact"/>
              <w:suppressAutoHyphens/>
              <w:jc w:val="center"/>
            </w:pPr>
            <w:r>
              <w:rPr>
                <w:sz w:val="18"/>
                <w:szCs w:val="18"/>
              </w:rPr>
              <w:t xml:space="preserve">0.922±0.010</w:t>
            </w:r>
          </w:p>
        </w:tc>
      </w:tr>
      <w:tr>
        <w:tc>
          <w:tcPr>
            <w:vAlign w:val="center"/>
          </w:tcPr>
          <w:p>
            <w:pPr>
              <w:pStyle w:val="Compact"/>
              <w:suppressAutoHyphens/>
              <w:jc w:val="center"/>
            </w:pPr>
            <w:r>
              <w:rPr>
                <w:sz w:val="18"/>
                <w:szCs w:val="18"/>
              </w:rPr>
              <w:t xml:space="preserve">base (density + nearest)</w:t>
            </w:r>
          </w:p>
        </w:tc>
        <w:tc>
          <w:tcPr>
            <w:vAlign w:val="center"/>
          </w:tcPr>
          <w:p>
            <w:pPr>
              <w:pStyle w:val="Compact"/>
              <w:suppressAutoHyphens/>
              <w:jc w:val="center"/>
            </w:pPr>
            <w:r>
              <w:rPr>
                <w:sz w:val="18"/>
                <w:szCs w:val="18"/>
              </w:rPr>
              <w:t xml:space="preserve">0.685±0.030</w:t>
            </w:r>
          </w:p>
        </w:tc>
        <w:tc>
          <w:tcPr>
            <w:vAlign w:val="center"/>
          </w:tcPr>
          <w:p>
            <w:pPr>
              <w:pStyle w:val="Compact"/>
              <w:suppressAutoHyphens/>
              <w:jc w:val="center"/>
            </w:pPr>
            <w:r>
              <w:rPr>
                <w:sz w:val="18"/>
                <w:szCs w:val="18"/>
              </w:rPr>
              <w:t xml:space="preserve">0.801±0.010</w:t>
            </w:r>
          </w:p>
        </w:tc>
        <w:tc>
          <w:tcPr>
            <w:vAlign w:val="center"/>
          </w:tcPr>
          <w:p>
            <w:pPr>
              <w:pStyle w:val="Compact"/>
              <w:suppressAutoHyphens/>
              <w:jc w:val="center"/>
            </w:pPr>
            <w:r>
              <w:rPr>
                <w:sz w:val="18"/>
                <w:szCs w:val="18"/>
              </w:rPr>
              <w:t xml:space="preserve">0.947±0.007</w:t>
            </w:r>
          </w:p>
        </w:tc>
      </w:tr>
      <w:tr>
        <w:tc>
          <w:tcPr>
            <w:vAlign w:val="center"/>
          </w:tcPr>
          <w:p>
            <w:pPr>
              <w:pStyle w:val="Compact"/>
              <w:suppressAutoHyphens/>
              <w:jc w:val="center"/>
            </w:pPr>
            <w:r>
              <w:rPr>
                <w:sz w:val="18"/>
                <w:szCs w:val="18"/>
              </w:rPr>
              <w:t xml:space="preserve">base + resid (auto)</w:t>
            </w:r>
          </w:p>
        </w:tc>
        <w:tc>
          <w:tcPr>
            <w:vAlign w:val="center"/>
          </w:tcPr>
          <w:p>
            <w:pPr>
              <w:pStyle w:val="Compact"/>
              <w:suppressAutoHyphens/>
              <w:jc w:val="center"/>
            </w:pPr>
            <w:r>
              <w:rPr>
                <w:sz w:val="18"/>
                <w:szCs w:val="18"/>
              </w:rPr>
              <w:t xml:space="preserve">0.685±0.030</w:t>
            </w:r>
          </w:p>
        </w:tc>
        <w:tc>
          <w:tcPr>
            <w:vAlign w:val="center"/>
          </w:tcPr>
          <w:p>
            <w:pPr>
              <w:pStyle w:val="Compact"/>
              <w:suppressAutoHyphens/>
              <w:jc w:val="center"/>
            </w:pPr>
            <w:r>
              <w:rPr>
                <w:sz w:val="18"/>
                <w:szCs w:val="18"/>
              </w:rPr>
              <w:t xml:space="preserve">0.820±0.010</w:t>
            </w:r>
          </w:p>
        </w:tc>
        <w:tc>
          <w:tcPr>
            <w:vAlign w:val="center"/>
          </w:tcPr>
          <w:p>
            <w:pPr>
              <w:pStyle w:val="Compact"/>
              <w:suppressAutoHyphens/>
              <w:jc w:val="center"/>
            </w:pPr>
            <w:r>
              <w:rPr>
                <w:sz w:val="18"/>
                <w:szCs w:val="18"/>
              </w:rPr>
              <w:t xml:space="preserve">0.960±0.002</w:t>
            </w:r>
          </w:p>
        </w:tc>
      </w:tr>
      <w:tr>
        <w:tc>
          <w:tcPr>
            <w:vAlign w:val="center"/>
          </w:tcPr>
          <w:p>
            <w:pPr>
              <w:pStyle w:val="Compact"/>
              <w:suppressAutoHyphens/>
              <w:jc w:val="center"/>
            </w:pPr>
            <w:r>
              <w:rPr>
                <w:b/>
                <w:bCs/>
                <w:sz w:val="18"/>
                <w:szCs w:val="18"/>
              </w:rPr>
              <w:t xml:space="preserve">LatAD (reported)</w:t>
            </w:r>
          </w:p>
        </w:tc>
        <w:tc>
          <w:tcPr>
            <w:vAlign w:val="center"/>
          </w:tcPr>
          <w:p>
            <w:pPr>
              <w:pStyle w:val="Compact"/>
              <w:suppressAutoHyphens/>
              <w:jc w:val="center"/>
            </w:pPr>
            <w:r>
              <w:rPr>
                <w:sz w:val="18"/>
                <w:szCs w:val="18"/>
              </w:rPr>
              <w:t xml:space="preserve">0.685±0.030</w:t>
            </w:r>
          </w:p>
        </w:tc>
        <w:tc>
          <w:tcPr>
            <w:vAlign w:val="center"/>
          </w:tcPr>
          <w:p>
            <w:pPr>
              <w:pStyle w:val="Compact"/>
              <w:suppressAutoHyphens/>
              <w:jc w:val="center"/>
            </w:pPr>
            <w:r>
              <w:rPr>
                <w:sz w:val="18"/>
                <w:szCs w:val="18"/>
              </w:rPr>
              <w:t xml:space="preserve">0.820±0.010</w:t>
            </w:r>
          </w:p>
        </w:tc>
        <w:tc>
          <w:tcPr>
            <w:vAlign w:val="center"/>
          </w:tcPr>
          <w:p>
            <w:pPr>
              <w:pStyle w:val="Compact"/>
              <w:suppressAutoHyphens/>
              <w:jc w:val="center"/>
            </w:pPr>
            <w:r>
              <w:rPr>
                <w:sz w:val="18"/>
                <w:szCs w:val="18"/>
              </w:rPr>
              <w:t xml:space="preserve">0.960±0.002</w:t>
            </w:r>
          </w:p>
        </w:tc>
      </w:tr>
    </w:tbl>
    <w:p>
      <w:pPr>
        <w:pStyle w:val="MDPI31text"/>
        <w:ind w:left="2608"/>
      </w:pPr>
      <w:r>
        <w:t xml:space="preserve">Table 5 decomposes the score into its heads across five seeds and all three datasets. On WADI the reconstruction</w:t>
      </w:r>
      <w:r>
        <w:t xml:space="preserve"> </w:t>
      </w:r>
      <w:r>
        <w:t xml:space="preserve">residual alone is near chance (0.475) while the latent density carries the signal (0.694); on HAI reconstruction is</w:t>
      </w:r>
      <w:r>
        <w:t xml:space="preserve"> </w:t>
      </w:r>
      <w:r>
        <w:t xml:space="preserve">informative but the weakest head (0.695) and the density head dominates (0.802). The residual head, where the gate</w:t>
      </w:r>
      <w:r>
        <w:t xml:space="preserve"> </w:t>
      </w:r>
      <w:r>
        <w:t xml:space="preserve">turns it on, lifts the base score exactly where reconstruction is informative (HAI 0.801→0.820, SWaT</w:t>
      </w:r>
      <w:r>
        <w:t xml:space="preserve"> </w:t>
      </w:r>
      <w:r>
        <w:t xml:space="preserve">0.947→0.960) and stays off on WADI. On SWaT reconstruction is in fact the strongest single head (0.965),</w:t>
      </w:r>
      <w:r>
        <w:t xml:space="preserve"> </w:t>
      </w:r>
      <w:r>
        <w:t xml:space="preserve">consistent with SWaT's difficult faults being large deviations that reconstruction catches, which is why the gate</w:t>
      </w:r>
      <w:r>
        <w:t xml:space="preserve"> </w:t>
      </w:r>
      <w:r>
        <w:t xml:space="preserve">keeps the residual head on there and why SWaT is a ceiling rather than a joint-structure test. The decomposition</w:t>
      </w:r>
      <w:r>
        <w:t xml:space="preserve"> </w:t>
      </w:r>
      <w:r>
        <w:t xml:space="preserve">supports the mechanism at the head level: the latent density is what carries the joint-structure benchmarks, and</w:t>
      </w:r>
      <w:r>
        <w:t xml:space="preserve"> </w:t>
      </w:r>
      <w:r>
        <w:t xml:space="preserve">reconstruction contributes only where it provably generalises.</w:t>
      </w:r>
    </w:p>
    <w:p>
      <w:pPr>
        <w:pStyle w:val="MDPI31text"/>
        <w:ind w:left="2608"/>
      </w:pPr>
      <w:r>
        <w:rPr>
          <w:b/>
          <w:bCs/>
        </w:rPr>
        <w:t xml:space="preserve">Auto-gating adapts one architecture to three datasets.</w:t>
      </w:r>
      <w:r>
        <w:t xml:space="preserve"> </w:t>
      </w:r>
      <w:r>
        <w:t xml:space="preserve">The winning signal is</w:t>
      </w:r>
      <w:r>
        <w:t xml:space="preserve"> </w:t>
      </w:r>
      <w:r>
        <w:t xml:space="preserve">dataset-dependent, so rather than hand-select we gate two optional heads by purely train-normal signals: a</w:t>
      </w:r>
      <w:r>
        <w:t xml:space="preserve"> </w:t>
      </w:r>
      <w:r>
        <w:t xml:space="preserve">responsibility-weighted whitened residual (gated by held-out-normal generalisation; active on HAI and SWaT) and a</w:t>
      </w:r>
      <w:r>
        <w:t xml:space="preserve"> </w:t>
      </w:r>
      <w:r>
        <w:t xml:space="preserve">basin-agreement head (gated by the ambiguous-normal ratio; a no-op on all three benchmarks here). The single</w:t>
      </w:r>
      <w:r>
        <w:t xml:space="preserve"> </w:t>
      </w:r>
      <w:r>
        <w:t xml:space="preserve">configuration VaDE-hard+resid(auto) then adapts itself: the residual head activates on HAI and SWaT, where the</w:t>
      </w:r>
      <w:r>
        <w:t xml:space="preserve"> </w:t>
      </w:r>
      <w:r>
        <w:t xml:space="preserve">fault leaves a whitened-residual signal, and stays off on WADI, whose difficult faults are pure low-density</w:t>
      </w:r>
      <w:r>
        <w:t xml:space="preserve"> </w:t>
      </w:r>
      <w:r>
        <w:t xml:space="preserve">pockets in the latent.</w:t>
      </w:r>
    </w:p>
    <w:p>
      <w:pPr>
        <w:pStyle w:val="MDPI31text"/>
        <w:ind w:left="2608"/>
      </w:pPr>
      <w:r>
        <w:rPr>
          <w:b/>
          <w:bCs/>
        </w:rPr>
        <w:t xml:space="preserve">The residual frontier on WADI.</w:t>
      </w:r>
      <w:r>
        <w:t xml:space="preserve"> </w:t>
      </w:r>
      <w:r>
        <w:t xml:space="preserve">A minority of WADI difficult windows are attack-onset/offset</w:t>
      </w:r>
      <w:r>
        <w:t xml:space="preserve"> </w:t>
      </w:r>
      <w:r>
        <w:t xml:space="preserve">edges whose fault content is near-absent: 2–3σ dips on a few correlated channels, sitting inside the</w:t>
      </w:r>
      <w:r>
        <w:t xml:space="preserve"> </w:t>
      </w:r>
      <w:r>
        <w:t xml:space="preserve">normal tail, where normal CPS operation is itself noisy. No snapshot detector, ours or the deep baselines,</w:t>
      </w:r>
      <w:r>
        <w:t xml:space="preserve"> </w:t>
      </w:r>
      <w:r>
        <w:t xml:space="preserve">separates these at a low false-alarm budget; they are an intrinsic property of the data rather than of any one</w:t>
      </w:r>
      <w:r>
        <w:t xml:space="preserve"> </w:t>
      </w:r>
      <w:r>
        <w:t xml:space="preserve">detector. Reaching them would require information beyond the instantaneous window, such as a physics-informed</w:t>
      </w:r>
      <w:r>
        <w:t xml:space="preserve"> </w:t>
      </w:r>
      <w:r>
        <w:t xml:space="preserve">process residual, which we leave to future work.</w:t>
      </w:r>
    </w:p>
    <w:p>
      <w:pPr>
        <w:pStyle w:val="MDPI31text"/>
        <w:ind w:left="2608"/>
      </w:pPr>
      <w:r>
        <w:rPr>
          <w:b/>
          <w:bCs/>
        </w:rPr>
        <w:t xml:space="preserve">Trajectory assumptions A9–A10.</w:t>
      </w:r>
      <w:r>
        <w:t xml:space="preserve"> </w:t>
      </w:r>
      <w:r>
        <w:t xml:space="preserve">The reported model is window-only and leverages the</w:t>
      </w:r>
      <w:r>
        <w:t xml:space="preserve"> </w:t>
      </w:r>
      <w:r>
        <w:t xml:space="preserve">instantaneous-structure assumptions A1–A8. Extending it with multiscale-temporal features (A9) and</w:t>
      </w:r>
      <w:r>
        <w:t xml:space="preserve"> </w:t>
      </w:r>
      <w:r>
        <w:t xml:space="preserve">history-conditioned, path-dependent scoring (A10) is the natural next step; the public benchmarks used here are</w:t>
      </w:r>
      <w:r>
        <w:t xml:space="preserve"> </w:t>
      </w:r>
      <w:r>
        <w:t xml:space="preserve">snapshot-detectable, so exercising the trajectory assumptions requires data that contains a history-dependent</w:t>
      </w:r>
      <w:r>
        <w:t xml:space="preserve"> </w:t>
      </w:r>
      <w:r>
        <w:t xml:space="preserve">fault.</w:t>
      </w:r>
    </w:p>
    <w:p>
      <w:pPr>
        <w:pStyle w:val="MDPI31text"/>
        <w:ind w:left="2608"/>
      </w:pPr>
      <w:r>
        <w:rPr>
          <w:b/>
          <w:bCs/>
        </w:rPr>
        <w:t xml:space="preserve">Alternative realizations of the assumptions.</w:t>
      </w:r>
      <w:r>
        <w:t xml:space="preserve"> </w:t>
      </w:r>
      <w:r>
        <w:t xml:space="preserve">Because the MIIM assumptions fix the structure to</w:t>
      </w:r>
      <w:r>
        <w:t xml:space="preserve"> </w:t>
      </w:r>
      <w:r>
        <w:t xml:space="preserve">model rather than the estimator (§4), they open a family of detectors beyond the one reported here, and two</w:t>
      </w:r>
      <w:r>
        <w:t xml:space="preserve"> </w:t>
      </w:r>
      <w:r>
        <w:t xml:space="preserve">routes are especially promising. First,</w:t>
      </w:r>
      <w:r>
        <w:t xml:space="preserve"> </w:t>
      </w:r>
      <w:r>
        <w:rPr>
          <w:i/>
          <w:iCs/>
        </w:rPr>
        <w:t xml:space="preserve">regime separation</w:t>
      </w:r>
      <w:r>
        <w:t xml:space="preserve"> </w:t>
      </w:r>
      <w:r>
        <w:t xml:space="preserve">(A1, A7) need not come from a single global</w:t>
      </w:r>
      <w:r>
        <w:t xml:space="preserve"> </w:t>
      </w:r>
      <w:r>
        <w:t xml:space="preserve">latent mixture: correlation-structure clustering can recover the operating-regime groups directly, and a hierarchy</w:t>
      </w:r>
      <w:r>
        <w:t xml:space="preserve"> </w:t>
      </w:r>
      <w:r>
        <w:t xml:space="preserve">of such groups yields a multiscale decomposition of the normal law. Second, and relatedly,</w:t>
      </w:r>
      <w:r>
        <w:t xml:space="preserve"> </w:t>
      </w:r>
      <w:r>
        <w:rPr>
          <w:i/>
          <w:iCs/>
        </w:rPr>
        <w:t xml:space="preserve">density estimation</w:t>
      </w:r>
      <w:r>
        <w:t xml:space="preserve"> </w:t>
      </w:r>
      <w:r>
        <w:t xml:space="preserve">(A2, A4) need not be a single high-dimensional model: an ensemble of lower-dimensional density models, one per</w:t>
      </w:r>
      <w:r>
        <w:t xml:space="preserve"> </w:t>
      </w:r>
      <w:r>
        <w:t xml:space="preserve">correlated channel group, keeps a sparse joint fault from being diluted in a full-dimensional score, since a</w:t>
      </w:r>
      <w:r>
        <w:t xml:space="preserve"> </w:t>
      </w:r>
      <w:r>
        <w:t xml:space="preserve">fault confined to a few channels is a small fraction of the total dimensionality and is easily averaged away</w:t>
      </w:r>
      <w:r>
        <w:t xml:space="preserve"> </w:t>
      </w:r>
      <w:r>
        <w:t xml:space="preserve">globally. How to combine such per-group densities is itself an assumption-dependent choice: a summed</w:t>
      </w:r>
      <w:r>
        <w:t xml:space="preserve"> </w:t>
      </w:r>
      <w:r>
        <w:t xml:space="preserve">factorised likelihood is powerful when the fault is dense, a maximum over groups when it is sparse, and a</w:t>
      </w:r>
      <w:r>
        <w:t xml:space="preserve"> </w:t>
      </w:r>
      <w:r>
        <w:t xml:space="preserve">sparsity-adaptive combination is the principled reconciliation. We regard these as concrete next realizations of</w:t>
      </w:r>
      <w:r>
        <w:t xml:space="preserve"> </w:t>
      </w:r>
      <w:r>
        <w:t xml:space="preserve">the same assumption set rather than departures from it.</w:t>
      </w:r>
    </w:p>
    <w:p>
      <w:pPr>
        <w:pStyle w:val="MDPI31text"/>
        <w:ind w:left="2608"/>
      </w:pPr>
      <w:r>
        <w:rPr>
          <w:b/>
          <w:bCs/>
        </w:rPr>
        <w:t xml:space="preserve">A multiscale regime-density decomposition.</w:t>
      </w:r>
      <w:r>
        <w:t xml:space="preserve"> </w:t>
      </w:r>
      <w:r>
        <w:t xml:space="preserve">The route above can be stated precisely. Let</w:t>
      </w:r>
      <w:r>
        <w:t xml:space="preserve"> </w:t>
      </w:r>
      <m:oMath>
        <m:r>
          <m:rPr>
            <m:scr m:val="script"/>
            <m:sty m:val="p"/>
          </m:rPr>
          <m:t>C</m:t>
        </m:r>
      </m:oMath>
      <w:r>
        <w:t xml:space="preserve"> </w:t>
      </w:r>
      <w:r>
        <w:t xml:space="preserve">be a set</w:t>
      </w:r>
      <w:r>
        <w:t xml:space="preserve"> </w:t>
      </w:r>
      <w:r>
        <w:t xml:space="preserve">of correlated channel groups (communities of the train-normal correlation graph, taken at one or several</w:t>
      </w:r>
      <w:r>
        <w:t xml:space="preserve"> </w:t>
      </w:r>
      <w:r>
        <w:t xml:space="preserve">scales of a regime hierarchy), and model each group's density</w:t>
      </w:r>
      <w:r>
        <w:t xml:space="preserve"> </w:t>
      </w:r>
      <m:oMath>
        <m:sSub>
          <m:e>
            <m:r>
              <m:t>p</m:t>
            </m:r>
          </m:e>
          <m:sub>
            <m:r>
              <m:t>G</m:t>
            </m:r>
          </m:sub>
        </m:sSub>
      </m:oMath>
      <w:r>
        <w:t xml:space="preserve"> </w:t>
      </w:r>
      <w:r>
        <w:t xml:space="preserve">separately. Under a group factorisation the normal law and its surprise decompose as</w:t>
      </w:r>
    </w:p>
    <w:p>
      <w:pPr>
        <w:pStyle w:val="MDPI39equation"/>
        <w:ind w:left="2608"/>
      </w:pPr>
      <m:oMathPara>
        <m:oMathParaPr>
          <m:jc m:val="center"/>
        </m:oMathParaPr>
        <m:oMath>
          <m:r>
            <m:rPr>
              <m:sty m:val="p"/>
            </m:rPr>
            <m:t>−</m:t>
          </m:r>
          <m:r>
            <m:rPr>
              <m:sty m:val="p"/>
            </m:rPr>
            <m:t>log</m:t>
          </m:r>
          <m:r>
            <m:t> </m:t>
          </m:r>
          <m:r>
            <m:t>p</m:t>
          </m:r>
          <m:r>
            <m:rPr>
              <m:sty m:val="p"/>
            </m:rPr>
            <m:t>(</m:t>
          </m:r>
          <m:r>
            <m:t>x</m:t>
          </m:r>
          <m:r>
            <m:rPr>
              <m:sty m:val="p"/>
            </m:rPr>
            <m:t>)</m:t>
          </m:r>
          <m:r>
            <m:rPr>
              <m:sty m:val="p"/>
            </m:rPr>
            <m:t>≈</m:t>
          </m:r>
          <m:nary>
            <m:naryPr>
              <m:chr m:val="∑"/>
              <m:limLoc m:val="undOvr"/>
              <m:subHide m:val="off"/>
              <m:supHide m:val="on"/>
            </m:naryPr>
            <m:sub>
              <m:r>
                <m:t>G</m:t>
              </m:r>
              <m:r>
                <m:rPr>
                  <m:sty m:val="p"/>
                </m:rPr>
                <m:t>∈</m:t>
              </m:r>
              <m:r>
                <m:rPr>
                  <m:scr m:val="script"/>
                  <m:sty m:val="p"/>
                </m:rPr>
                <m:t>C</m:t>
              </m:r>
            </m:sub>
            <m:sup>
              <m:r>
                <m:t>​</m:t>
              </m:r>
            </m:sup>
            <m:e>
              <m:sSub>
                <m:e>
                  <m:r>
                    <m:t>s</m:t>
                  </m:r>
                </m:e>
                <m:sub>
                  <m:r>
                    <m:t>G</m:t>
                  </m:r>
                </m:sub>
              </m:sSub>
            </m:e>
          </m:nary>
          <m:r>
            <m:rPr>
              <m:sty m:val="p"/>
            </m:rPr>
            <m:t>(</m:t>
          </m:r>
          <m:r>
            <m:t>x</m:t>
          </m:r>
          <m:r>
            <m:rPr>
              <m:sty m:val="p"/>
            </m:rPr>
            <m:t>)</m:t>
          </m:r>
          <m:r>
            <m:rPr>
              <m:sty m:val="p"/>
            </m:rPr>
            <m:t>,</m:t>
          </m:r>
          <m:r>
            <m:t> </m:t>
          </m:r>
          <m:sSub>
            <m:e>
              <m:r>
                <m:t>s</m:t>
              </m:r>
            </m:e>
            <m:sub>
              <m:r>
                <m:t>G</m:t>
              </m:r>
            </m:sub>
          </m:sSub>
          <m:r>
            <m:rPr>
              <m:sty m:val="p"/>
            </m:rPr>
            <m:t>(</m:t>
          </m:r>
          <m:r>
            <m:t>x</m:t>
          </m:r>
          <m:r>
            <m:rPr>
              <m:sty m:val="p"/>
            </m:rPr>
            <m:t>)</m:t>
          </m:r>
          <m:r>
            <m:rPr>
              <m:sty m:val="p"/>
            </m:rPr>
            <m:t>=</m:t>
          </m:r>
          <m:r>
            <m:rPr>
              <m:sty m:val="p"/>
            </m:rPr>
            <m:t>−</m:t>
          </m:r>
          <m:r>
            <m:rPr>
              <m:sty m:val="p"/>
            </m:rPr>
            <m:t>log</m:t>
          </m:r>
          <m:r>
            <m:t> </m:t>
          </m:r>
          <m:sSub>
            <m:e>
              <m:r>
                <m:t>p</m:t>
              </m:r>
            </m:e>
            <m:sub>
              <m:r>
                <m:t>G</m:t>
              </m:r>
            </m:sub>
          </m:sSub>
          <m:r>
            <m:rPr>
              <m:sty m:val="p"/>
            </m:rPr>
            <m:t>(</m:t>
          </m:r>
          <m:sSub>
            <m:e>
              <m:r>
                <m:t>x</m:t>
              </m:r>
            </m:e>
            <m:sub>
              <m:r>
                <m:t>G</m:t>
              </m:r>
            </m:sub>
          </m:sSub>
          <m:r>
            <m:rPr>
              <m:sty m:val="p"/>
            </m:rPr>
            <m:t>)</m:t>
          </m:r>
          <m:r>
            <m:rPr>
              <m:sty m:val="p"/>
            </m:rPr>
            <m:t>.</m:t>
          </m:r>
        </m:oMath>
      </m:oMathPara>
    </w:p>
    <w:p>
      <w:pPr>
        <w:pStyle w:val="MDPI32textnoindent"/>
        <w:ind w:left="2608"/>
      </w:pPr>
      <w:r>
        <w:t xml:space="preserve">A detector scores a window by a combination of the per-group surprises,</w:t>
      </w:r>
      <w:r>
        <w:t xml:space="preserve"> </w:t>
      </w:r>
      <m:oMath>
        <m:r>
          <m:t>s</m:t>
        </m:r>
        <m:r>
          <m:rPr>
            <m:sty m:val="p"/>
          </m:rPr>
          <m:t>(</m:t>
        </m:r>
        <m:r>
          <m:t>x</m:t>
        </m:r>
        <m:r>
          <m:rPr>
            <m:sty m:val="p"/>
          </m:rPr>
          <m:t>)</m:t>
        </m:r>
        <m:r>
          <m:rPr>
            <m:sty m:val="p"/>
          </m:rPr>
          <m:t>=</m:t>
        </m:r>
        <m:sSub>
          <m:e>
            <m:r>
              <m:rPr>
                <m:sty m:val="p"/>
              </m:rPr>
              <m:t>⊕</m:t>
            </m:r>
          </m:e>
          <m:sub>
            <m:r>
              <m:t>G</m:t>
            </m:r>
            <m:r>
              <m:rPr>
                <m:sty m:val="p"/>
              </m:rPr>
              <m:t>∈</m:t>
            </m:r>
            <m:r>
              <m:rPr>
                <m:scr m:val="script"/>
                <m:sty m:val="p"/>
              </m:rPr>
              <m:t>C</m:t>
            </m:r>
          </m:sub>
        </m:sSub>
        <m:sSub>
          <m:e>
            <m:r>
              <m:t>w</m:t>
            </m:r>
          </m:e>
          <m:sub>
            <m:r>
              <m:t>G</m:t>
            </m:r>
          </m:sub>
        </m:sSub>
        <m:r>
          <m:t> </m:t>
        </m:r>
        <m:sSub>
          <m:e>
            <m:r>
              <m:t>s</m:t>
            </m:r>
          </m:e>
          <m:sub>
            <m:r>
              <m:t>G</m:t>
            </m:r>
          </m:sub>
        </m:sSub>
        <m:r>
          <m:rPr>
            <m:sty m:val="p"/>
          </m:rPr>
          <m:t>(</m:t>
        </m:r>
        <m:r>
          <m:t>x</m:t>
        </m:r>
        <m:r>
          <m:rPr>
            <m:sty m:val="p"/>
          </m:rPr>
          <m:t>)</m:t>
        </m:r>
      </m:oMath>
      <w:r>
        <w:t xml:space="preserve">,</w:t>
      </w:r>
      <w:r>
        <w:t xml:space="preserve"> </w:t>
      </w:r>
      <w:r>
        <w:t xml:space="preserve">where the group weight</w:t>
      </w:r>
      <w:r>
        <w:t xml:space="preserve"> </w:t>
      </w:r>
      <m:oMath>
        <m:sSub>
          <m:e>
            <m:r>
              <m:t>w</m:t>
            </m:r>
          </m:e>
          <m:sub>
            <m:r>
              <m:t>G</m:t>
            </m:r>
          </m:sub>
        </m:sSub>
      </m:oMath>
      <w:r>
        <w:t xml:space="preserve"> </w:t>
      </w:r>
      <w:r>
        <w:t xml:space="preserve">rises with the group's internal correlation (a density violation inside a tightly coupled regime is more diagnostic).</w:t>
      </w:r>
      <w:r>
        <w:t xml:space="preserve"> </w:t>
      </w:r>
      <w:r>
        <w:t xml:space="preserve">The combination</w:t>
      </w:r>
      <w:r>
        <w:t xml:space="preserve"> </w:t>
      </w:r>
      <m:oMath>
        <m:r>
          <m:rPr>
            <m:sty m:val="p"/>
          </m:rPr>
          <m:t>⊕</m:t>
        </m:r>
      </m:oMath>
      <w:r>
        <w:t xml:space="preserve"> </w:t>
      </w:r>
      <w:r>
        <w:t xml:space="preserve">encodes the</w:t>
      </w:r>
      <w:r>
        <w:t xml:space="preserve"> </w:t>
      </w:r>
      <w:r>
        <w:t xml:space="preserve">fault's expected extent: summation (</w:t>
      </w:r>
      <m:oMath>
        <m:r>
          <m:rPr>
            <m:sty m:val="p"/>
          </m:rPr>
          <m:t>∑</m:t>
        </m:r>
      </m:oMath>
      <w:r>
        <w:t xml:space="preserve">)</w:t>
      </w:r>
      <w:r>
        <w:t xml:space="preserve"> </w:t>
      </w:r>
      <w:r>
        <w:t xml:space="preserve">is the factorised joint likelihood, optimal when a fault perturbs many groups; a maximum</w:t>
      </w:r>
      <w:r>
        <w:t xml:space="preserve"> </w:t>
      </w:r>
      <w:r>
        <w:t xml:space="preserve">(</w:t>
      </w:r>
      <m:oMath>
        <m:r>
          <m:rPr>
            <m:sty m:val="p"/>
          </m:rPr>
          <m:t>max</m:t>
        </m:r>
      </m:oMath>
      <w:r>
        <w:t xml:space="preserve">) is a union bound over groups,</w:t>
      </w:r>
      <w:r>
        <w:t xml:space="preserve"> </w:t>
      </w:r>
      <w:r>
        <w:t xml:space="preserve">optimal when the fault is confined to one; and a sparsity-adaptive statistic (for instance Higher Criticism over</w:t>
      </w:r>
      <w:r>
        <w:t xml:space="preserve"> </w:t>
      </w:r>
      <w:r>
        <w:t xml:space="preserve">the per-group tail probabilities) interpolates between them without assuming the extent in advance. The</w:t>
      </w:r>
      <w:r>
        <w:t xml:space="preserve"> </w:t>
      </w:r>
      <w:r>
        <w:t xml:space="preserve">single-model detector of §4 is the degenerate case</w:t>
      </w:r>
      <w:r>
        <w:t xml:space="preserve"> </w:t>
      </w:r>
      <m:oMath>
        <m:r>
          <m:rPr>
            <m:scr m:val="script"/>
            <m:sty m:val="p"/>
          </m:rPr>
          <m:t>C</m:t>
        </m:r>
        <m:r>
          <m:rPr>
            <m:sty m:val="p"/>
          </m:rPr>
          <m:t>=</m:t>
        </m:r>
        <m:d>
          <m:dPr>
            <m:begChr m:val="{"/>
            <m:sepChr m:val=""/>
            <m:endChr m:val="}"/>
            <m:grow/>
          </m:dPr>
          <m:e>
            <m:r>
              <m:rPr>
                <m:nor/>
                <m:sty m:val="p"/>
              </m:rPr>
              <m:t>all channels</m:t>
            </m:r>
          </m:e>
        </m:d>
      </m:oMath>
      <w:r>
        <w:t xml:space="preserve">,</w:t>
      </w:r>
      <w:r>
        <w:t xml:space="preserve"> </w:t>
      </w:r>
      <w:r>
        <w:t xml:space="preserve">and it can itself be included as one group so a dense, whole-system fault is never missed.</w:t>
      </w:r>
    </w:p>
    <w:p>
      <w:pPr>
        <w:pStyle w:val="MDPI31text"/>
        <w:ind w:left="2608"/>
      </w:pPr>
      <w:r>
        <w:rPr>
          <w:b/>
          <w:bCs/>
        </w:rPr>
        <w:t xml:space="preserve">Limitations.</w:t>
      </w:r>
      <w:r>
        <w:t xml:space="preserve"> </w:t>
      </w:r>
      <w:r>
        <w:t xml:space="preserve">Three boundary conditions apply: three datasets, one trained model per dataset,</w:t>
      </w:r>
      <w:r>
        <w:t xml:space="preserve"> </w:t>
      </w:r>
      <w:r>
        <w:t xml:space="preserve">and a single instantaneous representation. AUROC is threshold-free and reported as a five-seed mean; the F1 column</w:t>
      </w:r>
      <w:r>
        <w:t xml:space="preserve"> </w:t>
      </w:r>
      <w:r>
        <w:t xml:space="preserve">is a best-threshold raw F1, disclosed as such. The easy/difficult split is a property of one cut, the trivial</w:t>
      </w:r>
      <w:r>
        <w:t xml:space="preserve"> </w:t>
      </w:r>
      <w:r>
        <w:t xml:space="preserve">detector's 99th-percentile-of-train-normal threshold; a different percentile would redraw the boundary between the</w:t>
      </w:r>
      <w:r>
        <w:t xml:space="preserve"> </w:t>
      </w:r>
      <w:r>
        <w:t xml:space="preserve">subsets, though the gap between the trivial rule's Easy and Difficult performance is large enough that the split is</w:t>
      </w:r>
      <w:r>
        <w:t xml:space="preserve"> </w:t>
      </w:r>
      <w:r>
        <w:t xml:space="preserve">not knife-edge. We report only raw point-wise metrics, which makes our numbers lower than point-adjusted</w:t>
      </w:r>
      <w:r>
        <w:t xml:space="preserve"> </w:t>
      </w:r>
      <w:r>
        <w:t xml:space="preserve">leaderboard figures by design.</w:t>
      </w:r>
    </w:p>
    <w:p>
      <w:pPr>
        <w:pStyle w:val="MDPI21heading1"/>
        <w:ind w:left="2608"/>
      </w:pPr>
      <w:r>
        <w:t xml:space="preserve">8  Conclusion</w:t>
      </w:r>
    </w:p>
    <w:p>
      <w:pPr>
        <w:pStyle w:val="MDPI32textnoindent"/>
        <w:ind w:left="2608"/>
      </w:pPr>
      <w:r>
        <w:t xml:space="preserve">We restated the structural assumptions of CPS normal data as an explicit MIIM list (A1–A10) and built a</w:t>
      </w:r>
      <w:r>
        <w:t xml:space="preserve"> </w:t>
      </w:r>
      <w:r>
        <w:t xml:space="preserve">detector that leverages the instantaneous-structure assumptions A1–A8: it models normal as a jointly learned</w:t>
      </w:r>
      <w:r>
        <w:t xml:space="preserve"> </w:t>
      </w:r>
      <w:r>
        <w:t xml:space="preserve">latent plus explicit regime clustering, scored in the latent by a mixture density and a rare-regime-safe</w:t>
      </w:r>
      <w:r>
        <w:t xml:space="preserve"> </w:t>
      </w:r>
      <w:r>
        <w:t xml:space="preserve">nearest-component likelihood, with reconstruction demoted from the default score to an optional, auto-gated</w:t>
      </w:r>
      <w:r>
        <w:t xml:space="preserve"> </w:t>
      </w:r>
      <w:r>
        <w:t xml:space="preserve">residual head. Under a deliberately fair, raw-metric, difficulty-stratified protocol on three real CPS attack</w:t>
      </w:r>
      <w:r>
        <w:t xml:space="preserve"> </w:t>
      </w:r>
      <w:r>
        <w:t xml:space="preserve">benchmarks, this detector attains the best overall AUROC on every dataset and is strongest on the difficult subset</w:t>
      </w:r>
      <w:r>
        <w:t xml:space="preserve"> </w:t>
      </w:r>
      <w:r>
        <w:t xml:space="preserve">over five seeds, most decisively and significantly on HAI (a paired episode-bootstrap 95% CI of [0.015, 0.089]</w:t>
      </w:r>
      <w:r>
        <w:t xml:space="preserve"> </w:t>
      </w:r>
      <w:r>
        <w:t xml:space="preserve">over the next-best baseline), where the difficult faults break joint structure and the reconstruction-based</w:t>
      </w:r>
      <w:r>
        <w:t xml:space="preserve"> </w:t>
      </w:r>
      <w:r>
        <w:t xml:space="preserve">detectors collapse; on WADI and SWaT it ties the strongest baseline. On a stricter double-hard subset that keeps</w:t>
      </w:r>
      <w:r>
        <w:t xml:space="preserve"> </w:t>
      </w:r>
      <w:r>
        <w:t xml:space="preserve">only anomalies separated by neither a univariate nor a linear cross-channel rule, the detector has the highest</w:t>
      </w:r>
      <w:r>
        <w:t xml:space="preserve"> </w:t>
      </w:r>
      <w:r>
        <w:t xml:space="preserve">mean AUROC on all three datasets, with statistically supported superiority on HAI and numerical leads on the</w:t>
      </w:r>
      <w:r>
        <w:t xml:space="preserve"> </w:t>
      </w:r>
      <w:r>
        <w:t xml:space="preserve">smaller WADI and single-episode SWaT subsets. The mechanism is that reconstruction scores reachability while a density in a clustered latent</w:t>
      </w:r>
      <w:r>
        <w:t xml:space="preserve"> </w:t>
      </w:r>
      <w:r>
        <w:t xml:space="preserve">scores probability, and the CPS faults that matter are reconstructable but improbable; treating multimodal normal</w:t>
      </w:r>
      <w:r>
        <w:t xml:space="preserve"> </w:t>
      </w:r>
      <w:r>
        <w:t xml:space="preserve">as a single blob or a reconstruction target is a modelling failure, and jointly learning the latent and its regimes,</w:t>
      </w:r>
      <w:r>
        <w:t xml:space="preserve"> </w:t>
      </w:r>
      <w:r>
        <w:t xml:space="preserve">then scoring in that latent, is what delivers the difficult-subset advantage. Extending the detector to the trajectory assumptions, with</w:t>
      </w:r>
      <w:r>
        <w:t xml:space="preserve"> </w:t>
      </w:r>
      <w:r>
        <w:t xml:space="preserve">multiscale-temporal features (A9) and history-conditioned scoring (A10), and to stealthy attacks that remain</w:t>
      </w:r>
      <w:r>
        <w:t xml:space="preserve"> </w:t>
      </w:r>
      <w:r>
        <w:t xml:space="preserve">within observed operating envelopes, are the natural next steps.</w:t>
      </w:r>
    </w:p>
    <w:p>
      <w:pPr>
        <w:pStyle w:val="MDPI62backmatter"/>
        <w:ind w:left="2608"/>
      </w:pPr>
      <w:r>
        <w:rPr>
          <w:b/>
          <w:bCs/>
        </w:rPr>
        <w:t xml:space="preserve">Author Contributions:</w:t>
      </w:r>
      <w:r>
        <w:t xml:space="preserve"> </w:t>
      </w:r>
      <w:r>
        <w:t xml:space="preserve">Conceptualization, methodology, software, validation, formal analysis, investigation, writing (original draft preparation), and writing (review and editing), A.A. and Y.A. The authors contributed equally to all aspects of the work. All authors have read and agreed to the published version of the manuscript.</w:t>
      </w:r>
    </w:p>
    <w:p>
      <w:pPr>
        <w:pStyle w:val="MDPI62backmatter"/>
        <w:ind w:left="2608"/>
      </w:pPr>
      <w:r>
        <w:rPr>
          <w:b/>
          <w:bCs/>
        </w:rPr>
        <w:t xml:space="preserve">Funding:</w:t>
      </w:r>
      <w:r>
        <w:t xml:space="preserve"> </w:t>
      </w:r>
      <w:r>
        <w:t xml:space="preserve">This research received no external funding.</w:t>
      </w:r>
    </w:p>
    <w:p>
      <w:pPr>
        <w:pStyle w:val="MDPI62backmatter"/>
        <w:ind w:left="2608"/>
      </w:pPr>
      <w:r>
        <w:rPr>
          <w:b/>
          <w:bCs/>
        </w:rPr>
        <w:t xml:space="preserve">Institutional Review Board Statement:</w:t>
      </w:r>
      <w:r>
        <w:t xml:space="preserve"> </w:t>
      </w:r>
      <w:r>
        <w:t xml:space="preserve">Not applicable.</w:t>
      </w:r>
    </w:p>
    <w:p>
      <w:pPr>
        <w:pStyle w:val="MDPI62backmatter"/>
        <w:ind w:left="2608"/>
      </w:pPr>
      <w:r>
        <w:rPr>
          <w:b/>
          <w:bCs/>
        </w:rPr>
        <w:t xml:space="preserve">Informed Consent Statement:</w:t>
      </w:r>
      <w:r>
        <w:t xml:space="preserve"> </w:t>
      </w:r>
      <w:r>
        <w:t xml:space="preserve">Not applicable.</w:t>
      </w:r>
    </w:p>
    <w:p>
      <w:pPr>
        <w:pStyle w:val="MDPI62backmatter"/>
        <w:ind w:left="2608"/>
      </w:pPr>
      <w:r>
        <w:rPr>
          <w:b/>
          <w:bCs/>
        </w:rPr>
        <w:t xml:space="preserve">Data Availability Statement:</w:t>
      </w:r>
      <w:r>
        <w:t xml:space="preserve"> </w:t>
      </w:r>
      <w:r>
        <w:t xml:space="preserve">This study uses only publicly available community benchmark datasets and created no new data. WADI and SWaT are available from iTrust, Singapore University of Technology and Design (https://itrust.sutd.edu.sg/, access granted on request); HAI is available from its public release by ETRI. The trained model checkpoints (one per dataset) and the source code supporting the reported results are openly archived on Zenodo at https://doi.org/10.5281/zenodo.21821524. Each checkpoint contains learned parameters only, not the underlying data, and is trained with a fixed seed so that it reproduces the reported numbers.</w:t>
      </w:r>
    </w:p>
    <w:p>
      <w:pPr>
        <w:pStyle w:val="MDPI62backmatter"/>
        <w:ind w:left="2608"/>
      </w:pPr>
      <w:r>
        <w:rPr>
          <w:b/>
          <w:bCs/>
        </w:rPr>
        <w:t xml:space="preserve">Conflicts of Interest:</w:t>
      </w:r>
      <w:r>
        <w:t xml:space="preserve"> </w:t>
      </w:r>
      <w:r>
        <w:t xml:space="preserve">The authors declare no conflicts of interest.</w:t>
      </w:r>
    </w:p>
    <w:p>
      <w:pPr>
        <w:pStyle w:val="MDPI31text"/>
        <w:ind w:left="2608"/>
      </w:pPr>
      <w:r>
        <w:pict>
          <v:rect style="width:0;height:1.5pt" o:hralign="center" o:hrstd="t" o:hr="t"/>
        </w:pict>
      </w:r>
    </w:p>
    <w:p>
      <w:pPr>
        <w:pStyle w:val="MDPI21heading1"/>
        <w:ind w:left="2608"/>
      </w:pPr>
      <w:r>
        <w:t xml:space="preserve">References</w:t>
      </w:r>
    </w:p>
    <w:p>
      <w:pPr>
        <w:pStyle w:val="MDPI81references"/>
        <w:numPr>
          <w:ilvl w:val="0"/>
          <w:numId w:val="0"/>
        </w:numPr>
        <w:ind w:left="180" w:hanging="180"/>
      </w:pPr>
      <w:bookmarkStart w:id="38" w:name="r-chandola"/>
      <w:r>
        <w:t xml:space="preserve">Chandola, V.; Banerjee, A.; Kumar, V. Anomaly detection: A survey.</w:t>
      </w:r>
      <w:r>
        <w:t xml:space="preserve"> </w:t>
      </w:r>
      <w:r>
        <w:rPr>
          <w:i/>
          <w:iCs/>
        </w:rPr>
        <w:t xml:space="preserve">ACM Comput. Surv.</w:t>
      </w:r>
      <w:r>
        <w:t xml:space="preserve"> </w:t>
      </w:r>
      <w:r>
        <w:rPr>
          <w:b/>
          <w:bCs/>
        </w:rPr>
        <w:t xml:space="preserve">2009</w:t>
      </w:r>
      <w:r>
        <w:t xml:space="preserve">,</w:t>
      </w:r>
      <w:r>
        <w:t xml:space="preserve"> </w:t>
      </w:r>
      <w:r>
        <w:rPr>
          <w:i/>
          <w:iCs/>
        </w:rPr>
        <w:t xml:space="preserve">41</w:t>
      </w:r>
      <w:r>
        <w:t xml:space="preserve">, 15.</w:t>
      </w:r>
      <w:r>
        <w:t xml:space="preserve"> </w:t>
      </w:r>
      <w:hyperlink r:id="rId9">
        <w:r>
          <w:rPr>
            <w:rStyle w:val="Hyperlink"/>
          </w:rPr>
          <w:t xml:space="preserve">https://doi.org/10.1145/1541880.1541882</w:t>
        </w:r>
      </w:hyperlink>
      <w:r>
        <w:t xml:space="preserve">.</w:t>
      </w:r>
      <w:bookmarkEnd w:id="38"/>
    </w:p>
    <w:p>
      <w:pPr>
        <w:pStyle w:val="MDPI81references"/>
        <w:numPr>
          <w:ilvl w:val="0"/>
          <w:numId w:val="0"/>
        </w:numPr>
        <w:ind w:left="180" w:hanging="180"/>
      </w:pPr>
      <w:bookmarkStart w:id="40" w:name="r-ruff"/>
      <w:r>
        <w:t xml:space="preserve">Ruff, L.; Kauffmann, J.R.; Vandermeulen, R.A.; Montavon, G.; Samek, W.; Kloft, M.; Dietterich, T.G.; Müller, K.-R. A unifying review of deep and shallow anomaly detection.</w:t>
      </w:r>
      <w:r>
        <w:t xml:space="preserve"> </w:t>
      </w:r>
      <w:r>
        <w:rPr>
          <w:i/>
          <w:iCs/>
        </w:rPr>
        <w:t xml:space="preserve">Proc. IEEE</w:t>
      </w:r>
      <w:r>
        <w:t xml:space="preserve"> </w:t>
      </w:r>
      <w:r>
        <w:rPr>
          <w:b/>
          <w:bCs/>
        </w:rPr>
        <w:t xml:space="preserve">2021</w:t>
      </w:r>
      <w:r>
        <w:t xml:space="preserve">,</w:t>
      </w:r>
      <w:r>
        <w:t xml:space="preserve"> </w:t>
      </w:r>
      <w:r>
        <w:rPr>
          <w:i/>
          <w:iCs/>
        </w:rPr>
        <w:t xml:space="preserve">109</w:t>
      </w:r>
      <w:r>
        <w:t xml:space="preserve">, 756–795.</w:t>
      </w:r>
      <w:r>
        <w:t xml:space="preserve"> </w:t>
      </w:r>
      <w:hyperlink r:id="rId10">
        <w:r>
          <w:rPr>
            <w:rStyle w:val="Hyperlink"/>
          </w:rPr>
          <w:t xml:space="preserve">https://doi.org/10.1109/JPROC.2021.3052449</w:t>
        </w:r>
      </w:hyperlink>
      <w:r>
        <w:t xml:space="preserve">.</w:t>
      </w:r>
      <w:bookmarkEnd w:id="40"/>
    </w:p>
    <w:p>
      <w:pPr>
        <w:pStyle w:val="MDPI81references"/>
        <w:numPr>
          <w:ilvl w:val="0"/>
          <w:numId w:val="0"/>
        </w:numPr>
        <w:ind w:left="180" w:hanging="180"/>
      </w:pPr>
      <w:bookmarkStart w:id="42" w:name="r-kim"/>
      <w:r>
        <w:t xml:space="preserve">Kim, S.; Choi, K.; Choi, H.-S.; Lee, B.; Yoon, S. Towards a rigorous evaluation of time-series anomaly detection. In Proceedings of the AAAI Conference on Artificial Intelligence, Virtual, 22 February–1 March 2022; Volume 36, pp. 7194–7201.</w:t>
      </w:r>
      <w:r>
        <w:t xml:space="preserve"> </w:t>
      </w:r>
      <w:hyperlink r:id="rId11">
        <w:r>
          <w:rPr>
            <w:rStyle w:val="Hyperlink"/>
          </w:rPr>
          <w:t xml:space="preserve">https://doi.org/10.1609/aaai.v36i7.20680</w:t>
        </w:r>
      </w:hyperlink>
      <w:r>
        <w:t xml:space="preserve">.</w:t>
      </w:r>
      <w:bookmarkEnd w:id="42"/>
    </w:p>
    <w:p>
      <w:pPr>
        <w:pStyle w:val="MDPI81references"/>
        <w:numPr>
          <w:ilvl w:val="0"/>
          <w:numId w:val="0"/>
        </w:numPr>
        <w:ind w:left="180" w:hanging="180"/>
      </w:pPr>
      <w:bookmarkStart w:id="44" w:name="r-garg"/>
      <w:r>
        <w:t xml:space="preserve">Garg, A.; Zhang, W.; Samaran, J.; Savitha, R.; Foo, C.-S. An evaluation of anomaly detection and diagnosis in multivariate time series.</w:t>
      </w:r>
      <w:r>
        <w:t xml:space="preserve"> </w:t>
      </w:r>
      <w:r>
        <w:rPr>
          <w:i/>
          <w:iCs/>
        </w:rPr>
        <w:t xml:space="preserve">IEEE Trans. Neural Netw. Learn. Syst.</w:t>
      </w:r>
      <w:r>
        <w:t xml:space="preserve"> </w:t>
      </w:r>
      <w:r>
        <w:rPr>
          <w:b/>
          <w:bCs/>
        </w:rPr>
        <w:t xml:space="preserve">2022</w:t>
      </w:r>
      <w:r>
        <w:t xml:space="preserve">,</w:t>
      </w:r>
      <w:r>
        <w:t xml:space="preserve"> </w:t>
      </w:r>
      <w:r>
        <w:rPr>
          <w:i/>
          <w:iCs/>
        </w:rPr>
        <w:t xml:space="preserve">33</w:t>
      </w:r>
      <w:r>
        <w:t xml:space="preserve">, 2508–2517.</w:t>
      </w:r>
      <w:r>
        <w:t xml:space="preserve"> </w:t>
      </w:r>
      <w:hyperlink r:id="rId12">
        <w:r>
          <w:rPr>
            <w:rStyle w:val="Hyperlink"/>
          </w:rPr>
          <w:t xml:space="preserve">https://doi.org/10.1109/TNNLS.2021.3105827</w:t>
        </w:r>
      </w:hyperlink>
      <w:r>
        <w:t xml:space="preserve">.</w:t>
      </w:r>
      <w:bookmarkEnd w:id="44"/>
    </w:p>
    <w:p>
      <w:pPr>
        <w:pStyle w:val="MDPI81references"/>
        <w:numPr>
          <w:ilvl w:val="0"/>
          <w:numId w:val="0"/>
        </w:numPr>
        <w:ind w:left="180" w:hanging="180"/>
      </w:pPr>
      <w:bookmarkStart w:id="46" w:name="r-wukeogh"/>
      <w:r>
        <w:t xml:space="preserve">Wu, R.; Keogh, E.J. Current time series anomaly detection benchmarks are flawed and are creating the illusion of progress.</w:t>
      </w:r>
      <w:r>
        <w:t xml:space="preserve"> </w:t>
      </w:r>
      <w:r>
        <w:rPr>
          <w:i/>
          <w:iCs/>
        </w:rPr>
        <w:t xml:space="preserve">IEEE Trans. Knowl. Data Eng.</w:t>
      </w:r>
      <w:r>
        <w:t xml:space="preserve"> </w:t>
      </w:r>
      <w:r>
        <w:rPr>
          <w:b/>
          <w:bCs/>
        </w:rPr>
        <w:t xml:space="preserve">2023</w:t>
      </w:r>
      <w:r>
        <w:t xml:space="preserve">,</w:t>
      </w:r>
      <w:r>
        <w:t xml:space="preserve"> </w:t>
      </w:r>
      <w:r>
        <w:rPr>
          <w:i/>
          <w:iCs/>
        </w:rPr>
        <w:t xml:space="preserve">35</w:t>
      </w:r>
      <w:r>
        <w:t xml:space="preserve">, 2421–2429.</w:t>
      </w:r>
      <w:r>
        <w:t xml:space="preserve"> </w:t>
      </w:r>
      <w:hyperlink r:id="rId13">
        <w:r>
          <w:rPr>
            <w:rStyle w:val="Hyperlink"/>
          </w:rPr>
          <w:t xml:space="preserve">https://doi.org/10.1109/TKDE.2021.3112126</w:t>
        </w:r>
      </w:hyperlink>
      <w:r>
        <w:t xml:space="preserve">.</w:t>
      </w:r>
      <w:bookmarkEnd w:id="46"/>
    </w:p>
    <w:p>
      <w:pPr>
        <w:pStyle w:val="MDPI81references"/>
        <w:numPr>
          <w:ilvl w:val="0"/>
          <w:numId w:val="0"/>
        </w:numPr>
        <w:ind w:left="180" w:hanging="180"/>
      </w:pPr>
      <w:bookmarkStart w:id="48" w:name="r-pang"/>
      <w:r>
        <w:t xml:space="preserve">Pang, G.; Shen, C.; Cao, L.; van den Hengel, A. Deep learning for anomaly detection: A review.</w:t>
      </w:r>
      <w:r>
        <w:t xml:space="preserve"> </w:t>
      </w:r>
      <w:r>
        <w:rPr>
          <w:i/>
          <w:iCs/>
        </w:rPr>
        <w:t xml:space="preserve">ACM Comput. Surv.</w:t>
      </w:r>
      <w:r>
        <w:t xml:space="preserve"> </w:t>
      </w:r>
      <w:r>
        <w:rPr>
          <w:b/>
          <w:bCs/>
        </w:rPr>
        <w:t xml:space="preserve">2021</w:t>
      </w:r>
      <w:r>
        <w:t xml:space="preserve">,</w:t>
      </w:r>
      <w:r>
        <w:t xml:space="preserve"> </w:t>
      </w:r>
      <w:r>
        <w:rPr>
          <w:i/>
          <w:iCs/>
        </w:rPr>
        <w:t xml:space="preserve">54</w:t>
      </w:r>
      <w:r>
        <w:t xml:space="preserve">, 38.</w:t>
      </w:r>
      <w:r>
        <w:t xml:space="preserve"> </w:t>
      </w:r>
      <w:hyperlink r:id="rId14">
        <w:r>
          <w:rPr>
            <w:rStyle w:val="Hyperlink"/>
          </w:rPr>
          <w:t xml:space="preserve">https://doi.org/10.1145/3439950</w:t>
        </w:r>
      </w:hyperlink>
      <w:r>
        <w:t xml:space="preserve">.</w:t>
      </w:r>
      <w:bookmarkEnd w:id="48"/>
    </w:p>
    <w:p>
      <w:pPr>
        <w:pStyle w:val="MDPI81references"/>
        <w:numPr>
          <w:ilvl w:val="0"/>
          <w:numId w:val="0"/>
        </w:numPr>
        <w:ind w:left="180" w:hanging="180"/>
      </w:pPr>
      <w:bookmarkStart w:id="50" w:name="r-tsreview"/>
      <w:r>
        <w:t xml:space="preserve">Blázquez-García, A.; Conde, A.; Mori, U.; Lozano, J.A. A review on outlier/anomaly detection in time series data.</w:t>
      </w:r>
      <w:r>
        <w:t xml:space="preserve"> </w:t>
      </w:r>
      <w:r>
        <w:rPr>
          <w:i/>
          <w:iCs/>
        </w:rPr>
        <w:t xml:space="preserve">ACM Comput. Surv.</w:t>
      </w:r>
      <w:r>
        <w:t xml:space="preserve"> </w:t>
      </w:r>
      <w:r>
        <w:rPr>
          <w:b/>
          <w:bCs/>
        </w:rPr>
        <w:t xml:space="preserve">2021</w:t>
      </w:r>
      <w:r>
        <w:t xml:space="preserve">,</w:t>
      </w:r>
      <w:r>
        <w:t xml:space="preserve"> </w:t>
      </w:r>
      <w:r>
        <w:rPr>
          <w:i/>
          <w:iCs/>
        </w:rPr>
        <w:t xml:space="preserve">54</w:t>
      </w:r>
      <w:r>
        <w:t xml:space="preserve">, 56.</w:t>
      </w:r>
      <w:r>
        <w:t xml:space="preserve"> </w:t>
      </w:r>
      <w:hyperlink r:id="rId15">
        <w:r>
          <w:rPr>
            <w:rStyle w:val="Hyperlink"/>
          </w:rPr>
          <w:t xml:space="preserve">https://doi.org/10.1145/3444690</w:t>
        </w:r>
      </w:hyperlink>
      <w:r>
        <w:t xml:space="preserve">.</w:t>
      </w:r>
      <w:bookmarkEnd w:id="50"/>
    </w:p>
    <w:p>
      <w:pPr>
        <w:pStyle w:val="MDPI81references"/>
        <w:numPr>
          <w:ilvl w:val="0"/>
          <w:numId w:val="0"/>
        </w:numPr>
        <w:ind w:left="180" w:hanging="180"/>
      </w:pPr>
      <w:bookmarkStart w:id="52" w:name="r-icssurvey"/>
      <w:r>
        <w:t xml:space="preserve">Hu, Y.; Yang, A.; Li, H.; Sun, Y.; Sun, L. A survey of intrusion detection on industrial control systems.</w:t>
      </w:r>
      <w:r>
        <w:t xml:space="preserve"> </w:t>
      </w:r>
      <w:r>
        <w:rPr>
          <w:i/>
          <w:iCs/>
        </w:rPr>
        <w:t xml:space="preserve">Int. J. Distrib. Sens. Netw.</w:t>
      </w:r>
      <w:r>
        <w:t xml:space="preserve"> </w:t>
      </w:r>
      <w:r>
        <w:rPr>
          <w:b/>
          <w:bCs/>
        </w:rPr>
        <w:t xml:space="preserve">2018</w:t>
      </w:r>
      <w:r>
        <w:t xml:space="preserve">,</w:t>
      </w:r>
      <w:r>
        <w:t xml:space="preserve"> </w:t>
      </w:r>
      <w:r>
        <w:rPr>
          <w:i/>
          <w:iCs/>
        </w:rPr>
        <w:t xml:space="preserve">14</w:t>
      </w:r>
      <w:r>
        <w:t xml:space="preserve">, 1550147718794615.</w:t>
      </w:r>
      <w:r>
        <w:t xml:space="preserve"> </w:t>
      </w:r>
      <w:hyperlink r:id="rId24">
        <w:r>
          <w:rPr>
            <w:rStyle w:val="Hyperlink"/>
          </w:rPr>
          <w:t xml:space="preserve">https://doi.org/10.1177/1550147718794615</w:t>
        </w:r>
      </w:hyperlink>
      <w:r>
        <w:t xml:space="preserve">.</w:t>
      </w:r>
      <w:bookmarkEnd w:id="52"/>
    </w:p>
    <w:p>
      <w:pPr>
        <w:pStyle w:val="MDPI81references"/>
        <w:numPr>
          <w:ilvl w:val="0"/>
          <w:numId w:val="0"/>
        </w:numPr>
        <w:ind w:left="180" w:hanging="180"/>
      </w:pPr>
      <w:bookmarkStart w:id="54" w:name="r-doshi"/>
      <w:r>
        <w:t xml:space="preserve">Doshi, K.; Abudalou, S.; Yilmaz, Y. Reward once, penalize once: Rectifying time series anomaly detection. In Proceedings of the International Joint Conference on Neural Networks (IJCNN), Padua, Italy, 18–23 July 2022.</w:t>
      </w:r>
      <w:r>
        <w:t xml:space="preserve"> </w:t>
      </w:r>
      <w:hyperlink r:id="rId25">
        <w:r>
          <w:rPr>
            <w:rStyle w:val="Hyperlink"/>
          </w:rPr>
          <w:t xml:space="preserve">arXiv:2203.05167</w:t>
        </w:r>
      </w:hyperlink>
      <w:r>
        <w:t xml:space="preserve">.</w:t>
      </w:r>
      <w:bookmarkEnd w:id="54"/>
    </w:p>
    <w:p>
      <w:pPr>
        <w:pStyle w:val="MDPI81references"/>
        <w:numPr>
          <w:ilvl w:val="0"/>
          <w:numId w:val="0"/>
        </w:numPr>
        <w:ind w:left="180" w:hanging="180"/>
      </w:pPr>
      <w:bookmarkStart w:id="56" w:name="r-pate"/>
      <w:r>
        <w:t xml:space="preserve">Ghorbani, R.; Reinders, M.J.T.; Tax, D.M.J. PATE: Proximity-aware time series anomaly evaluation. In Proceedings of the 30th ACM SIGKDD Conference on Knowledge Discovery and Data Mining (KDD), Barcelona, Spain, 25–29 August 2024; pp. 872–883.</w:t>
      </w:r>
      <w:r>
        <w:t xml:space="preserve"> </w:t>
      </w:r>
      <w:hyperlink r:id="rId26">
        <w:r>
          <w:rPr>
            <w:rStyle w:val="Hyperlink"/>
          </w:rPr>
          <w:t xml:space="preserve">https://doi.org/10.1145/3637528.3671971</w:t>
        </w:r>
      </w:hyperlink>
      <w:r>
        <w:t xml:space="preserve">.</w:t>
      </w:r>
      <w:bookmarkEnd w:id="56"/>
    </w:p>
    <w:p>
      <w:pPr>
        <w:pStyle w:val="MDPI81references"/>
        <w:numPr>
          <w:ilvl w:val="0"/>
          <w:numId w:val="0"/>
        </w:numPr>
        <w:ind w:left="180" w:hanging="180"/>
      </w:pPr>
      <w:bookmarkStart w:id="58" w:name="r-univar"/>
      <w:r>
        <w:t xml:space="preserve">Pinet, M.; Cumin, J.; Berlemont, S.; Vaufreydaz, D. Anomalies in multivariate time series benchmarks are mostly univariate.</w:t>
      </w:r>
      <w:r>
        <w:t xml:space="preserve"> </w:t>
      </w:r>
      <w:r>
        <w:rPr>
          <w:i/>
          <w:iCs/>
        </w:rPr>
        <w:t xml:space="preserve">arXiv</w:t>
      </w:r>
      <w:r>
        <w:t xml:space="preserve"> </w:t>
      </w:r>
      <w:r>
        <w:rPr>
          <w:b/>
          <w:bCs/>
        </w:rPr>
        <w:t xml:space="preserve">2026</w:t>
      </w:r>
      <w:r>
        <w:t xml:space="preserve">, arXiv:2606.02670.</w:t>
      </w:r>
      <w:r>
        <w:t xml:space="preserve"> </w:t>
      </w:r>
      <w:hyperlink r:id="rId27">
        <w:r>
          <w:rPr>
            <w:rStyle w:val="Hyperlink"/>
          </w:rPr>
          <w:t xml:space="preserve">https://arxiv.org/abs/2606.02670</w:t>
        </w:r>
      </w:hyperlink>
      <w:r>
        <w:t xml:space="preserve">.</w:t>
      </w:r>
      <w:bookmarkEnd w:id="58"/>
    </w:p>
    <w:p>
      <w:pPr>
        <w:pStyle w:val="MDPI81references"/>
        <w:numPr>
          <w:ilvl w:val="0"/>
          <w:numId w:val="0"/>
        </w:numPr>
        <w:ind w:left="180" w:hanging="180"/>
      </w:pPr>
      <w:bookmarkStart w:id="60" w:name="r-tab"/>
      <w:r>
        <w:t xml:space="preserve">Qiu, X.; Li, Z.; Wu, X.; Hu, J.; Guo, C.; Yang, B.; Jensen, C.S. TAB: Unified benchmarking of time series anomaly detection methods.</w:t>
      </w:r>
      <w:r>
        <w:t xml:space="preserve"> </w:t>
      </w:r>
      <w:r>
        <w:rPr>
          <w:i/>
          <w:iCs/>
        </w:rPr>
        <w:t xml:space="preserve">Proc. VLDB Endow.</w:t>
      </w:r>
      <w:r>
        <w:t xml:space="preserve"> </w:t>
      </w:r>
      <w:r>
        <w:rPr>
          <w:b/>
          <w:bCs/>
        </w:rPr>
        <w:t xml:space="preserve">2025</w:t>
      </w:r>
      <w:r>
        <w:t xml:space="preserve">.</w:t>
      </w:r>
      <w:r>
        <w:t xml:space="preserve"> </w:t>
      </w:r>
      <w:hyperlink r:id="rId28">
        <w:r>
          <w:rPr>
            <w:rStyle w:val="Hyperlink"/>
          </w:rPr>
          <w:t xml:space="preserve">arXiv:2506.18046</w:t>
        </w:r>
      </w:hyperlink>
      <w:r>
        <w:t xml:space="preserve">.</w:t>
      </w:r>
      <w:bookmarkEnd w:id="60"/>
    </w:p>
    <w:p>
      <w:pPr>
        <w:pStyle w:val="MDPI81references"/>
        <w:numPr>
          <w:ilvl w:val="0"/>
          <w:numId w:val="0"/>
        </w:numPr>
        <w:ind w:left="180" w:hanging="180"/>
      </w:pPr>
      <w:bookmarkStart w:id="62" w:name="r-bouman"/>
      <w:r>
        <w:t xml:space="preserve">Bouman, R.; Heskes, T. Autoencoders for anomaly detection are unreliable.</w:t>
      </w:r>
      <w:r>
        <w:t xml:space="preserve"> </w:t>
      </w:r>
      <w:r>
        <w:rPr>
          <w:i/>
          <w:iCs/>
        </w:rPr>
        <w:t xml:space="preserve">arXiv</w:t>
      </w:r>
      <w:r>
        <w:t xml:space="preserve"> </w:t>
      </w:r>
      <w:r>
        <w:rPr>
          <w:b/>
          <w:bCs/>
        </w:rPr>
        <w:t xml:space="preserve">2025</w:t>
      </w:r>
      <w:r>
        <w:t xml:space="preserve">, arXiv:2501.13864.</w:t>
      </w:r>
      <w:r>
        <w:t xml:space="preserve"> </w:t>
      </w:r>
      <w:hyperlink r:id="rId29">
        <w:r>
          <w:rPr>
            <w:rStyle w:val="Hyperlink"/>
          </w:rPr>
          <w:t xml:space="preserve">https://arxiv.org/abs/2501.13864</w:t>
        </w:r>
      </w:hyperlink>
      <w:r>
        <w:t xml:space="preserve">.</w:t>
      </w:r>
      <w:bookmarkEnd w:id="62"/>
    </w:p>
    <w:p>
      <w:pPr>
        <w:pStyle w:val="MDPI81references"/>
        <w:numPr>
          <w:ilvl w:val="0"/>
          <w:numId w:val="0"/>
        </w:numPr>
        <w:ind w:left="180" w:hanging="180"/>
      </w:pPr>
      <w:bookmarkStart w:id="64" w:name="r-memae"/>
      <w:r>
        <w:t xml:space="preserve">Gong, D.; Liu, L.; Le, V.; Saha, B.; Mansour, M.R.; Venkatesh, S.; van den Hengel, A. Memorizing normality to detect anomaly: Memory-augmented deep autoencoder for unsupervised anomaly detection. In Proceedings of the IEEE/CVF International Conference on Computer Vision (ICCV), Seoul, Republic of Korea, 27 October–2 November 2019; pp. 1705–1714.</w:t>
      </w:r>
      <w:r>
        <w:t xml:space="preserve"> </w:t>
      </w:r>
      <w:hyperlink r:id="rId30">
        <w:r>
          <w:rPr>
            <w:rStyle w:val="Hyperlink"/>
          </w:rPr>
          <w:t xml:space="preserve">arXiv:1904.02639</w:t>
        </w:r>
      </w:hyperlink>
      <w:r>
        <w:t xml:space="preserve">.</w:t>
      </w:r>
      <w:bookmarkEnd w:id="64"/>
    </w:p>
    <w:p>
      <w:pPr>
        <w:pStyle w:val="MDPI81references"/>
        <w:numPr>
          <w:ilvl w:val="0"/>
          <w:numId w:val="0"/>
        </w:numPr>
        <w:ind w:left="180" w:hanging="180"/>
      </w:pPr>
      <w:bookmarkStart w:id="66" w:name="r-sarfraz"/>
      <w:r>
        <w:t xml:space="preserve">Sarfraz, M.S.; Chen, M.-Y.; Layer, L.; Peng, K.; Koulakis, M. Position: Quo vadis, unsupervised time series anomaly detection? In Proceedings of the 41st International Conference on Machine Learning (ICML), Vienna, Austria, 21–27 July 2024.</w:t>
      </w:r>
      <w:r>
        <w:t xml:space="preserve"> </w:t>
      </w:r>
      <w:hyperlink r:id="rId31">
        <w:r>
          <w:rPr>
            <w:rStyle w:val="Hyperlink"/>
          </w:rPr>
          <w:t xml:space="preserve">arXiv:2405.02678</w:t>
        </w:r>
      </w:hyperlink>
      <w:r>
        <w:t xml:space="preserve">.</w:t>
      </w:r>
      <w:bookmarkEnd w:id="66"/>
    </w:p>
    <w:p>
      <w:pPr>
        <w:pStyle w:val="MDPI81references"/>
        <w:numPr>
          <w:ilvl w:val="0"/>
          <w:numId w:val="0"/>
        </w:numPr>
        <w:ind w:left="180" w:hanging="180"/>
      </w:pPr>
      <w:bookmarkStart w:id="68" w:name="r-timesead"/>
      <w:r>
        <w:t xml:space="preserve">Wagner, D.; Michels, T.; Schulz, F.C.F.; Nair, A.; Rudolph, M.; Kloft, M. TimeSeAD: Benchmarking deep multivariate time-series anomaly detection.</w:t>
      </w:r>
      <w:r>
        <w:t xml:space="preserve"> </w:t>
      </w:r>
      <w:r>
        <w:rPr>
          <w:i/>
          <w:iCs/>
        </w:rPr>
        <w:t xml:space="preserve">Trans. Mach. Learn. Res.</w:t>
      </w:r>
      <w:r>
        <w:t xml:space="preserve"> </w:t>
      </w:r>
      <w:r>
        <w:rPr>
          <w:b/>
          <w:bCs/>
        </w:rPr>
        <w:t xml:space="preserve">2023</w:t>
      </w:r>
      <w:r>
        <w:t xml:space="preserve">.</w:t>
      </w:r>
      <w:r>
        <w:t xml:space="preserve"> </w:t>
      </w:r>
      <w:hyperlink r:id="rId32">
        <w:r>
          <w:rPr>
            <w:rStyle w:val="Hyperlink"/>
          </w:rPr>
          <w:t xml:space="preserve">https://openreview.net/forum?id=iMmsCI0JsS</w:t>
        </w:r>
      </w:hyperlink>
      <w:r>
        <w:t xml:space="preserve">.</w:t>
      </w:r>
      <w:bookmarkEnd w:id="68"/>
    </w:p>
    <w:p>
      <w:pPr>
        <w:pStyle w:val="MDPI81references"/>
        <w:numPr>
          <w:ilvl w:val="0"/>
          <w:numId w:val="0"/>
        </w:numPr>
        <w:ind w:left="180" w:hanging="180"/>
      </w:pPr>
      <w:bookmarkStart w:id="70" w:name="r-vade"/>
      <w:r>
        <w:t xml:space="preserve">Jiang, Z.; Zheng, Y.; Tan, H.; Tang, B.; Zhou, H. Variational deep embedding: An unsupervised and generative approach to clustering. In Proceedings of the 26th International Joint Conference on Artificial Intelligence (IJCAI), Melbourne, Australia, 19–25 August 2017; pp. 1965–1972.</w:t>
      </w:r>
      <w:r>
        <w:t xml:space="preserve"> </w:t>
      </w:r>
      <w:hyperlink r:id="rId33">
        <w:r>
          <w:rPr>
            <w:rStyle w:val="Hyperlink"/>
          </w:rPr>
          <w:t xml:space="preserve">https://doi.org/10.24963/ijcai.2017/273</w:t>
        </w:r>
      </w:hyperlink>
      <w:r>
        <w:t xml:space="preserve">.</w:t>
      </w:r>
      <w:bookmarkEnd w:id="70"/>
    </w:p>
    <w:p>
      <w:pPr>
        <w:pStyle w:val="MDPI81references"/>
        <w:numPr>
          <w:ilvl w:val="0"/>
          <w:numId w:val="0"/>
        </w:numPr>
        <w:ind w:left="180" w:hanging="180"/>
      </w:pPr>
      <w:bookmarkStart w:id="72" w:name="r-dagmm"/>
      <w:r>
        <w:t xml:space="preserve">Zong, B.; Song, Q.; Min, M.R.; Cheng, W.; Lumezanu, C.; Cho, D.; Chen, H. Deep autoencoding Gaussian mixture model for unsupervised anomaly detection. In Proceedings of the International Conference on Learning Representations (ICLR), Vancouver, BC, Canada, 30 April–3 May 2018.</w:t>
      </w:r>
      <w:r>
        <w:t xml:space="preserve"> </w:t>
      </w:r>
      <w:hyperlink r:id="rId34">
        <w:r>
          <w:rPr>
            <w:rStyle w:val="Hyperlink"/>
          </w:rPr>
          <w:t xml:space="preserve">https://openreview.net/forum?id=BJJLHbb0-</w:t>
        </w:r>
      </w:hyperlink>
      <w:r>
        <w:t xml:space="preserve">.</w:t>
      </w:r>
      <w:bookmarkEnd w:id="72"/>
    </w:p>
    <w:p>
      <w:pPr>
        <w:pStyle w:val="MDPI81references"/>
        <w:numPr>
          <w:ilvl w:val="0"/>
          <w:numId w:val="0"/>
        </w:numPr>
        <w:ind w:left="180" w:hanging="180"/>
      </w:pPr>
      <w:bookmarkStart w:id="74" w:name="r-lw"/>
      <w:r>
        <w:t xml:space="preserve">Ledoit, O.; Wolf, M. A well-conditioned estimator for large-dimensional covariance matrices.</w:t>
      </w:r>
      <w:r>
        <w:t xml:space="preserve"> </w:t>
      </w:r>
      <w:r>
        <w:rPr>
          <w:i/>
          <w:iCs/>
        </w:rPr>
        <w:t xml:space="preserve">J. Multivar. Anal.</w:t>
      </w:r>
      <w:r>
        <w:t xml:space="preserve"> </w:t>
      </w:r>
      <w:r>
        <w:rPr>
          <w:b/>
          <w:bCs/>
        </w:rPr>
        <w:t xml:space="preserve">2004</w:t>
      </w:r>
      <w:r>
        <w:t xml:space="preserve">,</w:t>
      </w:r>
      <w:r>
        <w:t xml:space="preserve"> </w:t>
      </w:r>
      <w:r>
        <w:rPr>
          <w:i/>
          <w:iCs/>
        </w:rPr>
        <w:t xml:space="preserve">88</w:t>
      </w:r>
      <w:r>
        <w:t xml:space="preserve">, 365–411.</w:t>
      </w:r>
      <w:r>
        <w:t xml:space="preserve"> </w:t>
      </w:r>
      <w:hyperlink r:id="rId35">
        <w:r>
          <w:rPr>
            <w:rStyle w:val="Hyperlink"/>
          </w:rPr>
          <w:t xml:space="preserve">https://doi.org/10.1016/S0047-259X(03)00096-4</w:t>
        </w:r>
      </w:hyperlink>
      <w:r>
        <w:t xml:space="preserve">.</w:t>
      </w:r>
      <w:bookmarkEnd w:id="74"/>
    </w:p>
    <w:p>
      <w:pPr>
        <w:pStyle w:val="MDPI81references"/>
        <w:numPr>
          <w:ilvl w:val="0"/>
          <w:numId w:val="0"/>
        </w:numPr>
        <w:ind w:left="180" w:hanging="180"/>
      </w:pPr>
      <w:bookmarkStart w:id="76" w:name="r-if"/>
      <w:r>
        <w:t xml:space="preserve">Liu, F.T.; Ting, K.M.; Zhou, Z.-H. Isolation forest. In Proceedings of the 2008 Eighth IEEE International Conference on Data Mining (ICDM), Pisa, Italy, 15–19 December 2008; pp. 413–422.</w:t>
      </w:r>
      <w:r>
        <w:t xml:space="preserve"> </w:t>
      </w:r>
      <w:hyperlink r:id="rId36">
        <w:r>
          <w:rPr>
            <w:rStyle w:val="Hyperlink"/>
          </w:rPr>
          <w:t xml:space="preserve">https://doi.org/10.1109/ICDM.2008.17</w:t>
        </w:r>
      </w:hyperlink>
      <w:r>
        <w:t xml:space="preserve">.</w:t>
      </w:r>
      <w:bookmarkEnd w:id="76"/>
    </w:p>
    <w:p>
      <w:pPr>
        <w:pStyle w:val="MDPI81references"/>
        <w:numPr>
          <w:ilvl w:val="0"/>
          <w:numId w:val="0"/>
        </w:numPr>
        <w:ind w:left="180" w:hanging="180"/>
      </w:pPr>
      <w:bookmarkStart w:id="78" w:name="r-aead"/>
      <w:r>
        <w:t xml:space="preserve">Sakurada, M.; Yairi, T. Anomaly detection using autoencoders with nonlinear dimensionality reduction. In Proceedings of the MLSDA 2014 2nd Workshop on Machine Learning for Sensory Data Analysis, Gold Coast, Australia, 2 December 2014; pp. 4–11.</w:t>
      </w:r>
      <w:r>
        <w:t xml:space="preserve"> </w:t>
      </w:r>
      <w:hyperlink r:id="rId37">
        <w:r>
          <w:rPr>
            <w:rStyle w:val="Hyperlink"/>
          </w:rPr>
          <w:t xml:space="preserve">https://doi.org/10.1145/2689746.2689747</w:t>
        </w:r>
      </w:hyperlink>
      <w:r>
        <w:t xml:space="preserve">.</w:t>
      </w:r>
      <w:bookmarkEnd w:id="78"/>
    </w:p>
    <w:p>
      <w:pPr>
        <w:pStyle w:val="MDPI81references"/>
        <w:numPr>
          <w:ilvl w:val="0"/>
          <w:numId w:val="0"/>
        </w:numPr>
        <w:ind w:left="180" w:hanging="180"/>
      </w:pPr>
      <w:bookmarkStart w:id="80" w:name="r-usad"/>
      <w:r>
        <w:t xml:space="preserve">Audibert, J.; Michiardi, P.; Guyard, F.; Marti, S.; Zuluaga, M.A. USAD: Unsupervised anomaly detection on multivariate time series. In Proceedings of the 26th ACM SIGKDD International Conference on Knowledge Discovery &amp; Data Mining (KDD), Virtual Event, CA, USA, 23–27 August 2020; pp. 3395–3404.</w:t>
      </w:r>
      <w:r>
        <w:t xml:space="preserve"> </w:t>
      </w:r>
      <w:hyperlink r:id="rId38">
        <w:r>
          <w:rPr>
            <w:rStyle w:val="Hyperlink"/>
          </w:rPr>
          <w:t xml:space="preserve">https://doi.org/10.1145/3394486.3403392</w:t>
        </w:r>
      </w:hyperlink>
      <w:r>
        <w:t xml:space="preserve">.</w:t>
      </w:r>
      <w:bookmarkEnd w:id="80"/>
    </w:p>
    <w:p>
      <w:pPr>
        <w:pStyle w:val="MDPI81references"/>
        <w:numPr>
          <w:ilvl w:val="0"/>
          <w:numId w:val="0"/>
        </w:numPr>
        <w:ind w:left="180" w:hanging="180"/>
      </w:pPr>
      <w:bookmarkStart w:id="82" w:name="r-tranad"/>
      <w:r>
        <w:t xml:space="preserve">Tuli, S.; Casale, G.; Jennings, N.R. TranAD: Deep transformer networks for anomaly detection in multivariate time series data.</w:t>
      </w:r>
      <w:r>
        <w:t xml:space="preserve"> </w:t>
      </w:r>
      <w:r>
        <w:rPr>
          <w:i/>
          <w:iCs/>
        </w:rPr>
        <w:t xml:space="preserve">Proc. VLDB Endow.</w:t>
      </w:r>
      <w:r>
        <w:t xml:space="preserve"> </w:t>
      </w:r>
      <w:r>
        <w:rPr>
          <w:b/>
          <w:bCs/>
        </w:rPr>
        <w:t xml:space="preserve">2022</w:t>
      </w:r>
      <w:r>
        <w:t xml:space="preserve">,</w:t>
      </w:r>
      <w:r>
        <w:t xml:space="preserve"> </w:t>
      </w:r>
      <w:r>
        <w:rPr>
          <w:i/>
          <w:iCs/>
        </w:rPr>
        <w:t xml:space="preserve">15</w:t>
      </w:r>
      <w:r>
        <w:t xml:space="preserve">, 1201–1214.</w:t>
      </w:r>
      <w:r>
        <w:t xml:space="preserve"> </w:t>
      </w:r>
      <w:hyperlink r:id="rId39">
        <w:r>
          <w:rPr>
            <w:rStyle w:val="Hyperlink"/>
          </w:rPr>
          <w:t xml:space="preserve">https://doi.org/10.14778/3514061.3514067</w:t>
        </w:r>
      </w:hyperlink>
      <w:r>
        <w:t xml:space="preserve">.</w:t>
      </w:r>
      <w:bookmarkEnd w:id="82"/>
    </w:p>
    <w:p>
      <w:pPr>
        <w:pStyle w:val="MDPI81references"/>
        <w:numPr>
          <w:ilvl w:val="0"/>
          <w:numId w:val="0"/>
        </w:numPr>
        <w:ind w:left="180" w:hanging="180"/>
      </w:pPr>
      <w:bookmarkStart w:id="84" w:name="r-gdn"/>
      <w:r>
        <w:t xml:space="preserve">Deng, A.; Hooi, B. Graph neural network-based anomaly detection in multivariate time series. In Proceedings of the AAAI Conference on Artificial Intelligence, Virtual, 2–9 February 2021; Volume 35, pp. 4027–4035.</w:t>
      </w:r>
      <w:r>
        <w:t xml:space="preserve"> </w:t>
      </w:r>
      <w:hyperlink r:id="rId40">
        <w:r>
          <w:rPr>
            <w:rStyle w:val="Hyperlink"/>
          </w:rPr>
          <w:t xml:space="preserve">https://doi.org/10.1609/aaai.v35i5.16523</w:t>
        </w:r>
      </w:hyperlink>
      <w:r>
        <w:t xml:space="preserve">.</w:t>
      </w:r>
      <w:bookmarkEnd w:id="84"/>
    </w:p>
    <w:p>
      <w:pPr>
        <w:pStyle w:val="MDPI81references"/>
        <w:numPr>
          <w:ilvl w:val="0"/>
          <w:numId w:val="0"/>
        </w:numPr>
        <w:ind w:left="180" w:hanging="180"/>
      </w:pPr>
      <w:bookmarkStart w:id="86" w:name="r-sensitivehue"/>
      <w:r>
        <w:t xml:space="preserve">Feng, Y.; Zhang, W.; Fu, Y.; Jiang, W.; Zhu, J.; Ren, W. SensitiveHUE: Multivariate time series anomaly detection by enhancing the sensitivity to normal patterns. In Proceedings of the 30th ACM SIGKDD Conference on Knowledge Discovery and Data Mining (KDD), Barcelona, Spain, 25–29 August 2024; pp. 782–793.</w:t>
      </w:r>
      <w:r>
        <w:t xml:space="preserve"> </w:t>
      </w:r>
      <w:hyperlink r:id="rId41">
        <w:r>
          <w:rPr>
            <w:rStyle w:val="Hyperlink"/>
          </w:rPr>
          <w:t xml:space="preserve">https://doi.org/10.1145/3637528.3671919</w:t>
        </w:r>
      </w:hyperlink>
      <w:r>
        <w:t xml:space="preserve">.</w:t>
      </w:r>
      <w:bookmarkEnd w:id="86"/>
    </w:p>
    <w:p>
      <w:pPr>
        <w:pStyle w:val="MDPI81references"/>
        <w:numPr>
          <w:ilvl w:val="0"/>
          <w:numId w:val="0"/>
        </w:numPr>
        <w:ind w:left="180" w:hanging="180"/>
      </w:pPr>
      <w:bookmarkStart w:id="88" w:name="r-catch"/>
      <w:r>
        <w:t xml:space="preserve">Wu, X.; Qiu, X.; Li, Z.; Hu, Y.; Guo, C.; Xu, X.; Yang, B. CATCH: Channel-aware multivariate time series anomaly detection via frequency patching. In Proceedings of the International Conference on Learning Representations (ICLR), Singapore, 24–28 April 2025.</w:t>
      </w:r>
      <w:r>
        <w:t xml:space="preserve"> </w:t>
      </w:r>
      <w:hyperlink r:id="rId42">
        <w:r>
          <w:rPr>
            <w:rStyle w:val="Hyperlink"/>
          </w:rPr>
          <w:t xml:space="preserve">arXiv:2410.12261</w:t>
        </w:r>
      </w:hyperlink>
      <w:r>
        <w:t xml:space="preserve">.</w:t>
      </w:r>
      <w:bookmarkEnd w:id="88"/>
    </w:p>
    <w:p>
      <w:pPr>
        <w:pStyle w:val="MDPI81references"/>
        <w:numPr>
          <w:ilvl w:val="0"/>
          <w:numId w:val="0"/>
        </w:numPr>
        <w:ind w:left="180" w:hanging="180"/>
      </w:pPr>
      <w:bookmarkStart w:id="90" w:name="r-gearbox"/>
      <w:r>
        <w:t xml:space="preserve">Gildish, E.; Grebshtein, M.; Aperstein, Y.; Makienko, I. Vibration-based estimation of gearbox operating conditions: Machine learning approach. In Proceedings of the 2023 International Conference on Control, Automation and Diagnosis (ICCAD), Rome, Italy, 10–12 May 2023; pp. 1–6.</w:t>
      </w:r>
      <w:r>
        <w:t xml:space="preserve"> </w:t>
      </w:r>
      <w:hyperlink r:id="rId43">
        <w:r>
          <w:rPr>
            <w:rStyle w:val="Hyperlink"/>
          </w:rPr>
          <w:t xml:space="preserve">https://doi.org/10.1109/ICCAD57653.2023.10152303</w:t>
        </w:r>
      </w:hyperlink>
      <w:r>
        <w:t xml:space="preserve">.</w:t>
      </w:r>
      <w:bookmarkEnd w:id="90"/>
    </w:p>
    <w:p>
      <w:pPr>
        <w:pStyle w:val="MDPI81references"/>
        <w:numPr>
          <w:ilvl w:val="0"/>
          <w:numId w:val="0"/>
        </w:numPr>
        <w:ind w:left="180" w:hanging="180"/>
      </w:pPr>
      <w:bookmarkStart w:id="92" w:name="r-vibdecomp"/>
      <w:r>
        <w:t xml:space="preserve">Gildish, E.; Grebshtein, M.; Aperstein, Y.; Makienko, I. Vibration signal decomposition using dilated CNN.</w:t>
      </w:r>
      <w:r>
        <w:t xml:space="preserve"> </w:t>
      </w:r>
      <w:r>
        <w:rPr>
          <w:i/>
          <w:iCs/>
        </w:rPr>
        <w:t xml:space="preserve">Proc. Annu. Conf. PHM Soc.</w:t>
      </w:r>
      <w:r>
        <w:t xml:space="preserve"> </w:t>
      </w:r>
      <w:r>
        <w:rPr>
          <w:b/>
          <w:bCs/>
        </w:rPr>
        <w:t xml:space="preserve">2023</w:t>
      </w:r>
      <w:r>
        <w:t xml:space="preserve">,</w:t>
      </w:r>
      <w:r>
        <w:t xml:space="preserve"> </w:t>
      </w:r>
      <w:r>
        <w:rPr>
          <w:i/>
          <w:iCs/>
        </w:rPr>
        <w:t xml:space="preserve">15</w:t>
      </w:r>
      <w:r>
        <w:t xml:space="preserve">.</w:t>
      </w:r>
      <w:r>
        <w:t xml:space="preserve"> </w:t>
      </w:r>
      <w:hyperlink r:id="rId44">
        <w:r>
          <w:rPr>
            <w:rStyle w:val="Hyperlink"/>
          </w:rPr>
          <w:t xml:space="preserve">https://doi.org/10.36001/phmconf.2023.v15i1.3502</w:t>
        </w:r>
      </w:hyperlink>
      <w:r>
        <w:t xml:space="preserve">.</w:t>
      </w:r>
      <w:bookmarkEnd w:id="92"/>
    </w:p>
    <w:p>
      <w:pPr>
        <w:pStyle w:val="MDPI81references"/>
        <w:numPr>
          <w:ilvl w:val="0"/>
          <w:numId w:val="0"/>
        </w:numPr>
        <w:ind w:left="180" w:hanging="180"/>
      </w:pPr>
      <w:bookmarkStart w:id="94" w:name="r-bolt"/>
      <w:r>
        <w:t xml:space="preserve">Gildish, E.; Grebshtein, M.; Aperstein, Y.; Kushnirski, A.; Makienko, I. Helicopter bolt loosening monitoring using vibrations and machine learning.</w:t>
      </w:r>
      <w:r>
        <w:t xml:space="preserve"> </w:t>
      </w:r>
      <w:r>
        <w:rPr>
          <w:i/>
          <w:iCs/>
        </w:rPr>
        <w:t xml:space="preserve">PHM Soc. Eur. Conf.</w:t>
      </w:r>
      <w:r>
        <w:t xml:space="preserve"> </w:t>
      </w:r>
      <w:r>
        <w:rPr>
          <w:b/>
          <w:bCs/>
        </w:rPr>
        <w:t xml:space="preserve">2022</w:t>
      </w:r>
      <w:r>
        <w:t xml:space="preserve">,</w:t>
      </w:r>
      <w:r>
        <w:t xml:space="preserve"> </w:t>
      </w:r>
      <w:r>
        <w:rPr>
          <w:i/>
          <w:iCs/>
        </w:rPr>
        <w:t xml:space="preserve">7</w:t>
      </w:r>
      <w:r>
        <w:t xml:space="preserve">, 146–155.</w:t>
      </w:r>
      <w:r>
        <w:t xml:space="preserve"> </w:t>
      </w:r>
      <w:hyperlink r:id="rId45">
        <w:r>
          <w:rPr>
            <w:rStyle w:val="Hyperlink"/>
          </w:rPr>
          <w:t xml:space="preserve">https://doi.org/10.36001/phme.2022.v7i1.3322</w:t>
        </w:r>
      </w:hyperlink>
      <w:r>
        <w:t xml:space="preserve">.</w:t>
      </w:r>
      <w:bookmarkEnd w:id="94"/>
    </w:p>
    <w:p>
      <w:pPr>
        <w:pStyle w:val="MDPI81references"/>
        <w:numPr>
          <w:ilvl w:val="0"/>
          <w:numId w:val="0"/>
        </w:numPr>
        <w:ind w:left="180" w:hanging="180"/>
      </w:pPr>
      <w:bookmarkStart w:id="96" w:name="r-rotorcraft"/>
      <w:r>
        <w:t xml:space="preserve">Shavit, D.; Davidovits, M.; Kushnirsky, A.; Aperstein, Y. Temporal causality-based feature selection for fault prediction in rotorcraft flight controls.</w:t>
      </w:r>
      <w:r>
        <w:t xml:space="preserve"> </w:t>
      </w:r>
      <w:r>
        <w:rPr>
          <w:i/>
          <w:iCs/>
        </w:rPr>
        <w:t xml:space="preserve">IFAC-PapersOnLine</w:t>
      </w:r>
      <w:r>
        <w:t xml:space="preserve"> </w:t>
      </w:r>
      <w:r>
        <w:rPr>
          <w:b/>
          <w:bCs/>
        </w:rPr>
        <w:t xml:space="preserve">2022</w:t>
      </w:r>
      <w:r>
        <w:t xml:space="preserve">,</w:t>
      </w:r>
      <w:r>
        <w:t xml:space="preserve"> </w:t>
      </w:r>
      <w:r>
        <w:rPr>
          <w:i/>
          <w:iCs/>
        </w:rPr>
        <w:t xml:space="preserve">55</w:t>
      </w:r>
      <w:r>
        <w:t xml:space="preserve">, 235–239.</w:t>
      </w:r>
      <w:r>
        <w:t xml:space="preserve"> </w:t>
      </w:r>
      <w:hyperlink r:id="rId46">
        <w:r>
          <w:rPr>
            <w:rStyle w:val="Hyperlink"/>
          </w:rPr>
          <w:t xml:space="preserve">https://doi.org/10.1016/j.ifacol.2022.04.199</w:t>
        </w:r>
      </w:hyperlink>
      <w:r>
        <w:t xml:space="preserve">.</w:t>
      </w:r>
      <w:bookmarkEnd w:id="96"/>
    </w:p>
    <w:p>
      <w:pPr>
        <w:pStyle w:val="MDPI81references"/>
        <w:numPr>
          <w:ilvl w:val="0"/>
          <w:numId w:val="0"/>
        </w:numPr>
        <w:ind w:left="180" w:hanging="180"/>
      </w:pPr>
      <w:bookmarkStart w:id="98" w:name="r-wadi"/>
      <w:r>
        <w:t xml:space="preserve">Ahmed, C.M.; Palleti, V.R.; Mathur, A.P. WADI: A water distribution testbed for research in the design of secure cyber physical systems. In Proceedings of the 3rd International Workshop on Cyber-Physical Systems for Smart Water Networks (CySWATER), Pittsburgh, PA, USA, 21 April 2017; pp. 25–28.</w:t>
      </w:r>
      <w:r>
        <w:t xml:space="preserve"> </w:t>
      </w:r>
      <w:hyperlink r:id="rId47">
        <w:r>
          <w:rPr>
            <w:rStyle w:val="Hyperlink"/>
          </w:rPr>
          <w:t xml:space="preserve">https://doi.org/10.1145/3055366.3055375</w:t>
        </w:r>
      </w:hyperlink>
      <w:r>
        <w:t xml:space="preserve">.</w:t>
      </w:r>
      <w:bookmarkEnd w:id="98"/>
    </w:p>
    <w:p>
      <w:pPr>
        <w:pStyle w:val="MDPI81references"/>
        <w:numPr>
          <w:ilvl w:val="0"/>
          <w:numId w:val="0"/>
        </w:numPr>
        <w:ind w:left="180" w:hanging="180"/>
      </w:pPr>
      <w:bookmarkStart w:id="100" w:name="r-swat"/>
      <w:r>
        <w:t xml:space="preserve">Mathur, A.P.; Tippenhauer, N.O. SWaT: A water treatment testbed for research and training on ICS security. In Proceedings of the 2016 International Workshop on Cyber-Physical Systems for Smart Water Networks (CySWater), Vienna, Austria, 11 April 2016; pp. 31–36.</w:t>
      </w:r>
      <w:r>
        <w:t xml:space="preserve"> </w:t>
      </w:r>
      <w:hyperlink r:id="rId48">
        <w:r>
          <w:rPr>
            <w:rStyle w:val="Hyperlink"/>
          </w:rPr>
          <w:t xml:space="preserve">https://doi.org/10.1109/CySWater.2016.7469060</w:t>
        </w:r>
      </w:hyperlink>
      <w:r>
        <w:t xml:space="preserve">.</w:t>
      </w:r>
      <w:bookmarkEnd w:id="100"/>
    </w:p>
    <w:p>
      <w:pPr>
        <w:pStyle w:val="MDPI81references"/>
        <w:numPr>
          <w:ilvl w:val="0"/>
          <w:numId w:val="0"/>
        </w:numPr>
        <w:ind w:left="180" w:hanging="180"/>
      </w:pPr>
      <w:bookmarkStart w:id="102" w:name="r-hai"/>
      <w:r>
        <w:t xml:space="preserve">Shin, H.-K.; Lee, W.; Yun, J.-H.; Kim, H. HAI 1.0: HIL-based augmented ICS security dataset. In Proceedings of the 13th USENIX Workshop on Cyber Security Experimentation and Test (CSET), Virtual, 10 August 2020.</w:t>
      </w:r>
      <w:r>
        <w:t xml:space="preserve"> </w:t>
      </w:r>
      <w:hyperlink r:id="rId49">
        <w:r>
          <w:rPr>
            <w:rStyle w:val="Hyperlink"/>
          </w:rPr>
          <w:t xml:space="preserve">https://www.usenix.org/conference/cset20/presentation/shin</w:t>
        </w:r>
      </w:hyperlink>
      <w:r>
        <w:t xml:space="preserve">.</w:t>
      </w:r>
      <w:bookmarkEnd w:id="102"/>
    </w:p>
    <w:sectPr w:rsidR="007E326C" w:rsidRPr="00174B5F" w:rsidSect="004B4808">
      <w:headerReference w:type="even" r:id="rId16"/>
      <w:headerReference w:type="default" r:id="rId17"/>
      <w:footerReference w:type="even" r:id="rId18"/>
      <w:footerReference w:type="default" r:id="rId19"/>
      <w:headerReference w:type="first" r:id="rId20"/>
      <w:footerReference w:type="first" r:id="rId21"/>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1FFC5" w14:textId="77777777" w:rsidR="001B1844" w:rsidRPr="00BF5F39" w:rsidRDefault="001B1844">
      <w:pPr>
        <w:spacing w:line="240" w:lineRule="auto"/>
      </w:pPr>
      <w:r w:rsidRPr="00BF5F39">
        <w:separator/>
      </w:r>
    </w:p>
  </w:endnote>
  <w:endnote w:type="continuationSeparator" w:id="0">
    <w:p w14:paraId="55D78B27" w14:textId="77777777" w:rsidR="001B1844" w:rsidRPr="00BF5F39" w:rsidRDefault="001B1844">
      <w:pPr>
        <w:spacing w:line="240" w:lineRule="auto"/>
      </w:pPr>
      <w:r w:rsidRPr="00BF5F3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23902" w14:textId="77777777" w:rsidR="00C31189" w:rsidRDefault="00C311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850B" w14:textId="77777777" w:rsidR="004A6017" w:rsidRPr="004A6017" w:rsidRDefault="004A6017" w:rsidP="004A6017">
    <w:pPr>
      <w:pStyle w:val="Footer"/>
      <w:spacing w:line="240" w:lineRule="auto"/>
      <w:jc w:val="right"/>
    </w:pPr>
    <w:r w:rsidRPr="00C31189">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3B20" w14:textId="77777777" w:rsidR="004B61B8" w:rsidRPr="00BF5F39" w:rsidRDefault="004B61B8" w:rsidP="008054CD">
    <w:pPr>
      <w:pBdr>
        <w:top w:val="single" w:sz="4" w:space="0" w:color="000000"/>
      </w:pBdr>
      <w:tabs>
        <w:tab w:val="right" w:pos="8844"/>
      </w:tabs>
      <w:adjustRightInd w:val="0"/>
      <w:snapToGrid w:val="0"/>
      <w:spacing w:before="480" w:line="100" w:lineRule="exact"/>
      <w:jc w:val="left"/>
      <w:rPr>
        <w:i/>
        <w:sz w:val="16"/>
        <w:szCs w:val="16"/>
      </w:rPr>
    </w:pPr>
  </w:p>
  <w:p w14:paraId="186D42B3" w14:textId="77777777" w:rsidR="0067215B" w:rsidRPr="00B61263" w:rsidRDefault="00E05BB2" w:rsidP="004C3213">
    <w:pPr>
      <w:tabs>
        <w:tab w:val="right" w:pos="10466"/>
      </w:tabs>
      <w:adjustRightInd w:val="0"/>
      <w:snapToGrid w:val="0"/>
      <w:spacing w:line="240" w:lineRule="auto"/>
      <w:rPr>
        <w:sz w:val="16"/>
        <w:szCs w:val="16"/>
        <w:lang w:val="it-IT"/>
      </w:rPr>
    </w:pPr>
    <w:r w:rsidRPr="00B61263">
      <w:rPr>
        <w:i/>
        <w:sz w:val="16"/>
        <w:szCs w:val="16"/>
        <w:lang w:val="it-IT"/>
      </w:rPr>
      <w:t>AI</w:t>
    </w:r>
    <w:r w:rsidR="00FC648A" w:rsidRPr="00B61263">
      <w:rPr>
        <w:sz w:val="16"/>
        <w:szCs w:val="16"/>
        <w:lang w:val="it-IT"/>
      </w:rPr>
      <w:t xml:space="preserve"> </w:t>
    </w:r>
    <w:r w:rsidR="004A6017" w:rsidRPr="00B61263">
      <w:rPr>
        <w:b/>
        <w:bCs/>
        <w:iCs/>
        <w:sz w:val="16"/>
        <w:szCs w:val="16"/>
        <w:lang w:val="it-IT"/>
      </w:rPr>
      <w:t>2026</w:t>
    </w:r>
    <w:r w:rsidR="0041236F" w:rsidRPr="00B61263">
      <w:rPr>
        <w:bCs/>
        <w:iCs/>
        <w:sz w:val="16"/>
        <w:szCs w:val="16"/>
        <w:lang w:val="it-IT"/>
      </w:rPr>
      <w:t>,</w:t>
    </w:r>
    <w:r w:rsidR="004B4808" w:rsidRPr="00B61263">
      <w:rPr>
        <w:bCs/>
        <w:i/>
        <w:iCs/>
        <w:sz w:val="16"/>
        <w:szCs w:val="16"/>
        <w:lang w:val="it-IT"/>
      </w:rPr>
      <w:t xml:space="preserve"> </w:t>
    </w:r>
    <w:r w:rsidR="004A6017" w:rsidRPr="00B61263">
      <w:rPr>
        <w:bCs/>
        <w:i/>
        <w:iCs/>
        <w:sz w:val="16"/>
        <w:szCs w:val="16"/>
        <w:lang w:val="it-IT"/>
      </w:rPr>
      <w:t>7</w:t>
    </w:r>
    <w:r w:rsidR="0041236F" w:rsidRPr="00B61263">
      <w:rPr>
        <w:bCs/>
        <w:iCs/>
        <w:sz w:val="16"/>
        <w:szCs w:val="16"/>
        <w:lang w:val="it-IT"/>
      </w:rPr>
      <w:t xml:space="preserve">, </w:t>
    </w:r>
    <w:bookmarkStart w:id="16" w:name="OLE_LINK6"/>
    <w:bookmarkStart w:id="17" w:name="OLE_LINK7"/>
    <w:r w:rsidR="004B4808" w:rsidRPr="00B61263">
      <w:rPr>
        <w:bCs/>
        <w:iCs/>
        <w:sz w:val="16"/>
        <w:szCs w:val="16"/>
        <w:lang w:val="it-IT"/>
      </w:rPr>
      <w:t>x</w:t>
    </w:r>
    <w:r w:rsidR="004C3213" w:rsidRPr="00B61263">
      <w:rPr>
        <w:sz w:val="16"/>
        <w:szCs w:val="16"/>
        <w:lang w:val="it-IT"/>
      </w:rPr>
      <w:tab/>
    </w:r>
    <w:bookmarkEnd w:id="16"/>
    <w:bookmarkEnd w:id="17"/>
    <w:r w:rsidR="004A6017" w:rsidRPr="00B61263">
      <w:rPr>
        <w:sz w:val="16"/>
        <w:szCs w:val="16"/>
        <w:lang w:val="it-IT"/>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AA317" w14:textId="77777777" w:rsidR="001B1844" w:rsidRPr="00BF5F39" w:rsidRDefault="001B1844">
      <w:pPr>
        <w:spacing w:line="240" w:lineRule="auto"/>
      </w:pPr>
      <w:r w:rsidRPr="00BF5F39">
        <w:separator/>
      </w:r>
    </w:p>
  </w:footnote>
  <w:footnote w:type="continuationSeparator" w:id="0">
    <w:p w14:paraId="368FEBF4" w14:textId="77777777" w:rsidR="001B1844" w:rsidRPr="00BF5F39" w:rsidRDefault="001B1844">
      <w:pPr>
        <w:spacing w:line="240" w:lineRule="auto"/>
      </w:pPr>
      <w:r w:rsidRPr="00BF5F3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2AB2E" w14:textId="77777777" w:rsidR="0067215B" w:rsidRPr="00BF5F39" w:rsidRDefault="0067215B"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71038" w14:textId="77777777" w:rsidR="004B61B8" w:rsidRPr="00BF5F39" w:rsidRDefault="00E05BB2" w:rsidP="004C3213">
    <w:pPr>
      <w:tabs>
        <w:tab w:val="right" w:pos="10466"/>
      </w:tabs>
      <w:adjustRightInd w:val="0"/>
      <w:snapToGrid w:val="0"/>
      <w:spacing w:line="240" w:lineRule="auto"/>
      <w:rPr>
        <w:sz w:val="16"/>
      </w:rPr>
    </w:pPr>
    <w:r w:rsidRPr="00BF5F39">
      <w:rPr>
        <w:i/>
        <w:sz w:val="16"/>
        <w:szCs w:val="16"/>
      </w:rPr>
      <w:t>AI</w:t>
    </w:r>
    <w:r w:rsidR="0067215B" w:rsidRPr="00BF5F39">
      <w:rPr>
        <w:i/>
        <w:sz w:val="16"/>
      </w:rPr>
      <w:t xml:space="preserve"> </w:t>
    </w:r>
    <w:r w:rsidR="004A6017">
      <w:rPr>
        <w:b/>
        <w:sz w:val="16"/>
      </w:rPr>
      <w:t>2026</w:t>
    </w:r>
    <w:r w:rsidR="0041236F" w:rsidRPr="00BF5F39">
      <w:rPr>
        <w:sz w:val="16"/>
      </w:rPr>
      <w:t>,</w:t>
    </w:r>
    <w:r w:rsidR="004B4808" w:rsidRPr="00BF5F39">
      <w:rPr>
        <w:i/>
        <w:sz w:val="16"/>
      </w:rPr>
      <w:t xml:space="preserve"> </w:t>
    </w:r>
    <w:r w:rsidR="004A6017">
      <w:rPr>
        <w:i/>
        <w:sz w:val="16"/>
      </w:rPr>
      <w:t>7</w:t>
    </w:r>
    <w:r w:rsidR="00FC648A" w:rsidRPr="00BF5F39">
      <w:rPr>
        <w:sz w:val="16"/>
      </w:rPr>
      <w:t>,</w:t>
    </w:r>
    <w:r w:rsidR="004B4808" w:rsidRPr="00BF5F39">
      <w:rPr>
        <w:sz w:val="16"/>
      </w:rPr>
      <w:t xml:space="preserve"> x</w:t>
    </w:r>
    <w:r w:rsidR="00690722" w:rsidRPr="00BF5F39">
      <w:rPr>
        <w:sz w:val="16"/>
      </w:rPr>
      <w:t xml:space="preserve"> </w:t>
    </w:r>
    <w:r w:rsidR="004B4808" w:rsidRPr="00BF5F39">
      <w:rPr>
        <w:sz w:val="16"/>
      </w:rPr>
      <w:t>FOR PEER REVIEW</w:t>
    </w:r>
    <w:r w:rsidR="004B4808" w:rsidRPr="00BF5F39">
      <w:rPr>
        <w:sz w:val="16"/>
      </w:rPr>
      <w:ptab w:relativeTo="margin" w:alignment="right" w:leader="none"/>
    </w:r>
    <w:r w:rsidR="004B4808" w:rsidRPr="00BF5F39">
      <w:rPr>
        <w:sz w:val="16"/>
      </w:rPr>
      <w:fldChar w:fldCharType="begin"/>
    </w:r>
    <w:r w:rsidR="004B4808" w:rsidRPr="00BF5F39">
      <w:rPr>
        <w:sz w:val="16"/>
      </w:rPr>
      <w:instrText xml:space="preserve"> PAGE   \* MERGEFORMAT </w:instrText>
    </w:r>
    <w:r w:rsidR="004B4808" w:rsidRPr="00BF5F39">
      <w:rPr>
        <w:sz w:val="16"/>
      </w:rPr>
      <w:fldChar w:fldCharType="separate"/>
    </w:r>
    <w:r w:rsidR="004B4808" w:rsidRPr="00BF5F39">
      <w:rPr>
        <w:sz w:val="16"/>
      </w:rPr>
      <w:t>2</w:t>
    </w:r>
    <w:r w:rsidR="004B4808" w:rsidRPr="00BF5F39">
      <w:rPr>
        <w:sz w:val="16"/>
      </w:rPr>
      <w:fldChar w:fldCharType="end"/>
    </w:r>
    <w:r w:rsidR="004B4808" w:rsidRPr="00BF5F39">
      <w:rPr>
        <w:sz w:val="16"/>
      </w:rPr>
      <w:t xml:space="preserve"> of </w:t>
    </w:r>
    <w:r w:rsidR="004B4808" w:rsidRPr="00BF5F39">
      <w:rPr>
        <w:sz w:val="16"/>
      </w:rPr>
      <w:fldChar w:fldCharType="begin"/>
    </w:r>
    <w:r w:rsidR="004B4808" w:rsidRPr="00BF5F39">
      <w:rPr>
        <w:sz w:val="16"/>
      </w:rPr>
      <w:instrText xml:space="preserve"> NUMPAGES   \* MERGEFORMAT </w:instrText>
    </w:r>
    <w:r w:rsidR="004B4808" w:rsidRPr="00BF5F39">
      <w:rPr>
        <w:sz w:val="16"/>
      </w:rPr>
      <w:fldChar w:fldCharType="separate"/>
    </w:r>
    <w:r w:rsidR="004B4808" w:rsidRPr="00BF5F39">
      <w:rPr>
        <w:sz w:val="16"/>
      </w:rPr>
      <w:t>7</w:t>
    </w:r>
    <w:r w:rsidR="004B4808" w:rsidRPr="00BF5F39">
      <w:rPr>
        <w:sz w:val="16"/>
      </w:rPr>
      <w:fldChar w:fldCharType="end"/>
    </w:r>
  </w:p>
  <w:p w14:paraId="20F5E905" w14:textId="77777777" w:rsidR="0067215B" w:rsidRPr="00BF5F39" w:rsidRDefault="0067215B" w:rsidP="008054C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4B61B8" w:rsidRPr="00BF5F39" w14:paraId="21B09E3B" w14:textId="77777777" w:rsidTr="00170173">
      <w:trPr>
        <w:trHeight w:val="686"/>
      </w:trPr>
      <w:tc>
        <w:tcPr>
          <w:tcW w:w="3679" w:type="dxa"/>
          <w:vAlign w:val="center"/>
        </w:tcPr>
        <w:p w14:paraId="29974E60" w14:textId="77777777" w:rsidR="004B61B8" w:rsidRPr="00BF5F39" w:rsidRDefault="00CD309F" w:rsidP="004C3213">
          <w:pPr>
            <w:pStyle w:val="Header"/>
            <w:pBdr>
              <w:bottom w:val="none" w:sz="0" w:space="0" w:color="auto"/>
            </w:pBdr>
            <w:jc w:val="left"/>
            <w:rPr>
              <w:rFonts w:eastAsia="DengXian"/>
              <w:b/>
              <w:bCs/>
            </w:rPr>
          </w:pPr>
          <w:r w:rsidRPr="00BF5F39">
            <w:rPr>
              <w:rFonts w:eastAsia="DengXian"/>
              <w:b/>
              <w:bCs/>
              <w:noProof/>
            </w:rPr>
            <w:drawing>
              <wp:inline distT="0" distB="0" distL="0" distR="0" wp14:anchorId="0E0F939A" wp14:editId="34A0641E">
                <wp:extent cx="821408" cy="432000"/>
                <wp:effectExtent l="0" t="0" r="0" b="6350"/>
                <wp:docPr id="103317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79031" name=""/>
                        <pic:cNvPicPr/>
                      </pic:nvPicPr>
                      <pic:blipFill>
                        <a:blip r:embed="rId1"/>
                        <a:stretch>
                          <a:fillRect/>
                        </a:stretch>
                      </pic:blipFill>
                      <pic:spPr>
                        <a:xfrm>
                          <a:off x="0" y="0"/>
                          <a:ext cx="821408" cy="432000"/>
                        </a:xfrm>
                        <a:prstGeom prst="rect">
                          <a:avLst/>
                        </a:prstGeom>
                      </pic:spPr>
                    </pic:pic>
                  </a:graphicData>
                </a:graphic>
              </wp:inline>
            </w:drawing>
          </w:r>
        </w:p>
      </w:tc>
      <w:tc>
        <w:tcPr>
          <w:tcW w:w="4535" w:type="dxa"/>
          <w:vAlign w:val="center"/>
        </w:tcPr>
        <w:p w14:paraId="2CA68E25" w14:textId="77777777" w:rsidR="004B61B8" w:rsidRPr="00BF5F39" w:rsidRDefault="004B61B8" w:rsidP="004C3213">
          <w:pPr>
            <w:pStyle w:val="Header"/>
            <w:pBdr>
              <w:bottom w:val="none" w:sz="0" w:space="0" w:color="auto"/>
            </w:pBdr>
            <w:rPr>
              <w:rFonts w:eastAsia="DengXian"/>
              <w:b/>
              <w:bCs/>
            </w:rPr>
          </w:pPr>
        </w:p>
      </w:tc>
      <w:tc>
        <w:tcPr>
          <w:tcW w:w="2273" w:type="dxa"/>
          <w:vAlign w:val="center"/>
        </w:tcPr>
        <w:p w14:paraId="0CA7F00B" w14:textId="77777777" w:rsidR="004B61B8" w:rsidRPr="00BF5F39" w:rsidRDefault="00170173" w:rsidP="00170173">
          <w:pPr>
            <w:pStyle w:val="Header"/>
            <w:pBdr>
              <w:bottom w:val="none" w:sz="0" w:space="0" w:color="auto"/>
            </w:pBdr>
            <w:jc w:val="right"/>
            <w:rPr>
              <w:rFonts w:eastAsia="DengXian"/>
              <w:b/>
              <w:bCs/>
            </w:rPr>
          </w:pPr>
          <w:r w:rsidRPr="00BF5F39">
            <w:rPr>
              <w:rFonts w:eastAsia="DengXian"/>
              <w:b/>
              <w:bCs/>
              <w:noProof/>
            </w:rPr>
            <w:drawing>
              <wp:inline distT="0" distB="0" distL="0" distR="0" wp14:anchorId="05DC0250" wp14:editId="0567BA35">
                <wp:extent cx="540000" cy="360000"/>
                <wp:effectExtent l="0" t="0" r="0" b="2540"/>
                <wp:docPr id="358920941" name="Picture 1"/>
                <wp:cNvGraphicFramePr/>
                <a:graphic xmlns:a="http://schemas.openxmlformats.org/drawingml/2006/main">
                  <a:graphicData uri="http://schemas.openxmlformats.org/drawingml/2006/picture">
                    <pic:pic xmlns:pic="http://schemas.openxmlformats.org/drawingml/2006/picture">
                      <pic:nvPicPr>
                        <pic:cNvPr id="358920941" name=""/>
                        <pic:cNvPicPr/>
                      </pic:nvPicPr>
                      <pic:blipFill>
                        <a:blip r:embed="rId2"/>
                        <a:stretch>
                          <a:fillRect/>
                        </a:stretch>
                      </pic:blipFill>
                      <pic:spPr>
                        <a:xfrm>
                          <a:off x="0" y="0"/>
                          <a:ext cx="540000" cy="360000"/>
                        </a:xfrm>
                        <a:prstGeom prst="rect">
                          <a:avLst/>
                        </a:prstGeom>
                      </pic:spPr>
                    </pic:pic>
                  </a:graphicData>
                </a:graphic>
              </wp:inline>
            </w:drawing>
          </w:r>
        </w:p>
      </w:tc>
    </w:tr>
  </w:tbl>
  <w:p w14:paraId="0FB2F4CF" w14:textId="77777777" w:rsidR="0067215B" w:rsidRPr="00BF5F39" w:rsidRDefault="0067215B" w:rsidP="004B4808">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CFE44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8B468F5"/>
    <w:multiLevelType w:val="hybridMultilevel"/>
    <w:tmpl w:val="C81A4C24"/>
    <w:lvl w:ilvl="0" w:tplc="F20428A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430F555F"/>
    <w:multiLevelType w:val="hybridMultilevel"/>
    <w:tmpl w:val="E27C7240"/>
    <w:lvl w:ilvl="0" w:tplc="5CEE7B68">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61E737F1"/>
    <w:multiLevelType w:val="hybridMultilevel"/>
    <w:tmpl w:val="5A34D26A"/>
    <w:lvl w:ilvl="0" w:tplc="75E67D4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8E5242"/>
    <w:multiLevelType w:val="hybridMultilevel"/>
    <w:tmpl w:val="8012B1C4"/>
    <w:lvl w:ilvl="0" w:tplc="13C0F86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377222">
    <w:abstractNumId w:val="4"/>
  </w:num>
  <w:num w:numId="2" w16cid:durableId="964432981">
    <w:abstractNumId w:val="6"/>
  </w:num>
  <w:num w:numId="3" w16cid:durableId="1716079798">
    <w:abstractNumId w:val="3"/>
  </w:num>
  <w:num w:numId="4" w16cid:durableId="500969567">
    <w:abstractNumId w:val="5"/>
  </w:num>
  <w:num w:numId="5" w16cid:durableId="823357956">
    <w:abstractNumId w:val="9"/>
  </w:num>
  <w:num w:numId="6" w16cid:durableId="1737628721">
    <w:abstractNumId w:val="2"/>
  </w:num>
  <w:num w:numId="7" w16cid:durableId="792141845">
    <w:abstractNumId w:val="9"/>
  </w:num>
  <w:num w:numId="8" w16cid:durableId="2071879956">
    <w:abstractNumId w:val="2"/>
  </w:num>
  <w:num w:numId="9" w16cid:durableId="1085030395">
    <w:abstractNumId w:val="9"/>
  </w:num>
  <w:num w:numId="10" w16cid:durableId="778646594">
    <w:abstractNumId w:val="2"/>
  </w:num>
  <w:num w:numId="11" w16cid:durableId="19115038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0342652">
    <w:abstractNumId w:val="11"/>
  </w:num>
  <w:num w:numId="13" w16cid:durableId="2003655984">
    <w:abstractNumId w:val="9"/>
  </w:num>
  <w:num w:numId="14" w16cid:durableId="109788721">
    <w:abstractNumId w:val="2"/>
  </w:num>
  <w:num w:numId="15" w16cid:durableId="337007409">
    <w:abstractNumId w:val="1"/>
  </w:num>
  <w:num w:numId="16" w16cid:durableId="1133984604">
    <w:abstractNumId w:val="8"/>
  </w:num>
  <w:num w:numId="17" w16cid:durableId="725877451">
    <w:abstractNumId w:val="1"/>
  </w:num>
  <w:num w:numId="18" w16cid:durableId="1122262491">
    <w:abstractNumId w:val="9"/>
  </w:num>
  <w:num w:numId="19" w16cid:durableId="498236943">
    <w:abstractNumId w:val="2"/>
  </w:num>
  <w:num w:numId="20" w16cid:durableId="193858186">
    <w:abstractNumId w:val="1"/>
  </w:num>
  <w:num w:numId="21" w16cid:durableId="1641961409">
    <w:abstractNumId w:val="7"/>
  </w:num>
  <w:num w:numId="22" w16cid:durableId="1481918066">
    <w:abstractNumId w:val="10"/>
  </w:num>
  <w:num w:numId="23" w16cid:durableId="1887596170">
    <w:abstractNumId w:val="12"/>
  </w:num>
  <w:num w:numId="24" w16cid:durableId="1045448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263"/>
    <w:rsid w:val="000016E5"/>
    <w:rsid w:val="00016DAD"/>
    <w:rsid w:val="00022715"/>
    <w:rsid w:val="000349FC"/>
    <w:rsid w:val="00040518"/>
    <w:rsid w:val="00066CC2"/>
    <w:rsid w:val="0008027E"/>
    <w:rsid w:val="00087275"/>
    <w:rsid w:val="000A0C21"/>
    <w:rsid w:val="000A686E"/>
    <w:rsid w:val="000B29B6"/>
    <w:rsid w:val="000B774B"/>
    <w:rsid w:val="000C15CB"/>
    <w:rsid w:val="000C6C74"/>
    <w:rsid w:val="000D139F"/>
    <w:rsid w:val="00105956"/>
    <w:rsid w:val="00110B4A"/>
    <w:rsid w:val="00114495"/>
    <w:rsid w:val="0012423C"/>
    <w:rsid w:val="001353A3"/>
    <w:rsid w:val="0014648E"/>
    <w:rsid w:val="0014775B"/>
    <w:rsid w:val="00155456"/>
    <w:rsid w:val="00170173"/>
    <w:rsid w:val="00170698"/>
    <w:rsid w:val="00174B5F"/>
    <w:rsid w:val="001876F0"/>
    <w:rsid w:val="001907D7"/>
    <w:rsid w:val="001A4AD9"/>
    <w:rsid w:val="001A7E5A"/>
    <w:rsid w:val="001B1844"/>
    <w:rsid w:val="001B4C6D"/>
    <w:rsid w:val="001C755D"/>
    <w:rsid w:val="001D2B5D"/>
    <w:rsid w:val="001E18D0"/>
    <w:rsid w:val="001E2AEB"/>
    <w:rsid w:val="001E6A7A"/>
    <w:rsid w:val="001E7130"/>
    <w:rsid w:val="001F1C19"/>
    <w:rsid w:val="001F5246"/>
    <w:rsid w:val="00200BF3"/>
    <w:rsid w:val="002175B4"/>
    <w:rsid w:val="0022262B"/>
    <w:rsid w:val="002254A8"/>
    <w:rsid w:val="00226DE8"/>
    <w:rsid w:val="002274A9"/>
    <w:rsid w:val="00233E02"/>
    <w:rsid w:val="00237F15"/>
    <w:rsid w:val="00262DCA"/>
    <w:rsid w:val="00264AD2"/>
    <w:rsid w:val="002650E7"/>
    <w:rsid w:val="002722EE"/>
    <w:rsid w:val="00292E3F"/>
    <w:rsid w:val="002938C4"/>
    <w:rsid w:val="00295161"/>
    <w:rsid w:val="002A1E5F"/>
    <w:rsid w:val="002C47E1"/>
    <w:rsid w:val="002C72D1"/>
    <w:rsid w:val="002D5114"/>
    <w:rsid w:val="002E73EB"/>
    <w:rsid w:val="002F1946"/>
    <w:rsid w:val="002F498F"/>
    <w:rsid w:val="002F4D23"/>
    <w:rsid w:val="002F5314"/>
    <w:rsid w:val="002F7223"/>
    <w:rsid w:val="003151CD"/>
    <w:rsid w:val="0031744E"/>
    <w:rsid w:val="0032225F"/>
    <w:rsid w:val="00326141"/>
    <w:rsid w:val="00334B29"/>
    <w:rsid w:val="003350E5"/>
    <w:rsid w:val="00342D06"/>
    <w:rsid w:val="0034440C"/>
    <w:rsid w:val="00344827"/>
    <w:rsid w:val="00345623"/>
    <w:rsid w:val="0034584D"/>
    <w:rsid w:val="00361842"/>
    <w:rsid w:val="0036255D"/>
    <w:rsid w:val="0036535E"/>
    <w:rsid w:val="00372136"/>
    <w:rsid w:val="0037588B"/>
    <w:rsid w:val="0038257B"/>
    <w:rsid w:val="00390E07"/>
    <w:rsid w:val="003A5D62"/>
    <w:rsid w:val="003D1B18"/>
    <w:rsid w:val="003D6C24"/>
    <w:rsid w:val="003D733A"/>
    <w:rsid w:val="003E64A5"/>
    <w:rsid w:val="003F12D2"/>
    <w:rsid w:val="003F36C1"/>
    <w:rsid w:val="003F4D0E"/>
    <w:rsid w:val="003F4DB2"/>
    <w:rsid w:val="00401D30"/>
    <w:rsid w:val="00410F35"/>
    <w:rsid w:val="0041236F"/>
    <w:rsid w:val="00421245"/>
    <w:rsid w:val="004254F0"/>
    <w:rsid w:val="0043710F"/>
    <w:rsid w:val="00440D01"/>
    <w:rsid w:val="00447A55"/>
    <w:rsid w:val="0045200E"/>
    <w:rsid w:val="00454A4A"/>
    <w:rsid w:val="00455EE1"/>
    <w:rsid w:val="0045614B"/>
    <w:rsid w:val="00466018"/>
    <w:rsid w:val="004757AE"/>
    <w:rsid w:val="00487A66"/>
    <w:rsid w:val="00493033"/>
    <w:rsid w:val="004A1AD8"/>
    <w:rsid w:val="004A3F77"/>
    <w:rsid w:val="004A6017"/>
    <w:rsid w:val="004B4808"/>
    <w:rsid w:val="004B49A6"/>
    <w:rsid w:val="004B61B8"/>
    <w:rsid w:val="004C0CC6"/>
    <w:rsid w:val="004C207F"/>
    <w:rsid w:val="004C3213"/>
    <w:rsid w:val="004C48DB"/>
    <w:rsid w:val="004D5BEC"/>
    <w:rsid w:val="004D79C7"/>
    <w:rsid w:val="004E0616"/>
    <w:rsid w:val="004E405C"/>
    <w:rsid w:val="004F188B"/>
    <w:rsid w:val="00507625"/>
    <w:rsid w:val="00511C92"/>
    <w:rsid w:val="00522C87"/>
    <w:rsid w:val="00536B95"/>
    <w:rsid w:val="00545B32"/>
    <w:rsid w:val="005614F2"/>
    <w:rsid w:val="00565B8D"/>
    <w:rsid w:val="00570E21"/>
    <w:rsid w:val="0058093C"/>
    <w:rsid w:val="00581130"/>
    <w:rsid w:val="00596FBD"/>
    <w:rsid w:val="005A0D40"/>
    <w:rsid w:val="005A317A"/>
    <w:rsid w:val="005B5B27"/>
    <w:rsid w:val="005D4019"/>
    <w:rsid w:val="005D7AE5"/>
    <w:rsid w:val="006073AC"/>
    <w:rsid w:val="006213DF"/>
    <w:rsid w:val="006224DB"/>
    <w:rsid w:val="00623A78"/>
    <w:rsid w:val="006259B4"/>
    <w:rsid w:val="00630EB5"/>
    <w:rsid w:val="00641894"/>
    <w:rsid w:val="006444A7"/>
    <w:rsid w:val="00661717"/>
    <w:rsid w:val="00662EBE"/>
    <w:rsid w:val="0067215B"/>
    <w:rsid w:val="00673CC9"/>
    <w:rsid w:val="00687C78"/>
    <w:rsid w:val="00690722"/>
    <w:rsid w:val="00691E4C"/>
    <w:rsid w:val="00692393"/>
    <w:rsid w:val="006A0C80"/>
    <w:rsid w:val="006B761A"/>
    <w:rsid w:val="006D6039"/>
    <w:rsid w:val="006E2622"/>
    <w:rsid w:val="006E668C"/>
    <w:rsid w:val="006F16F0"/>
    <w:rsid w:val="00701882"/>
    <w:rsid w:val="007065E6"/>
    <w:rsid w:val="00721050"/>
    <w:rsid w:val="00722EE0"/>
    <w:rsid w:val="00732758"/>
    <w:rsid w:val="00734C80"/>
    <w:rsid w:val="00770A76"/>
    <w:rsid w:val="007744EC"/>
    <w:rsid w:val="0078256A"/>
    <w:rsid w:val="0079387E"/>
    <w:rsid w:val="007A3613"/>
    <w:rsid w:val="007A4A78"/>
    <w:rsid w:val="007A50CD"/>
    <w:rsid w:val="007B3D68"/>
    <w:rsid w:val="007E326C"/>
    <w:rsid w:val="007E751C"/>
    <w:rsid w:val="007F4FDC"/>
    <w:rsid w:val="008054CD"/>
    <w:rsid w:val="00817168"/>
    <w:rsid w:val="00821966"/>
    <w:rsid w:val="00822A6B"/>
    <w:rsid w:val="00825D19"/>
    <w:rsid w:val="00832F6A"/>
    <w:rsid w:val="00835B39"/>
    <w:rsid w:val="00835BD7"/>
    <w:rsid w:val="00843627"/>
    <w:rsid w:val="00865AC6"/>
    <w:rsid w:val="00873216"/>
    <w:rsid w:val="00881B67"/>
    <w:rsid w:val="00884B37"/>
    <w:rsid w:val="008B011A"/>
    <w:rsid w:val="008B1066"/>
    <w:rsid w:val="008B384B"/>
    <w:rsid w:val="008C1E2B"/>
    <w:rsid w:val="008E0CDE"/>
    <w:rsid w:val="008E1FE6"/>
    <w:rsid w:val="008F4315"/>
    <w:rsid w:val="008F7962"/>
    <w:rsid w:val="009039D6"/>
    <w:rsid w:val="00906867"/>
    <w:rsid w:val="00914E4B"/>
    <w:rsid w:val="009334AD"/>
    <w:rsid w:val="00942CF1"/>
    <w:rsid w:val="009452B7"/>
    <w:rsid w:val="0095779C"/>
    <w:rsid w:val="009901D8"/>
    <w:rsid w:val="009929E4"/>
    <w:rsid w:val="00993B2E"/>
    <w:rsid w:val="00994B56"/>
    <w:rsid w:val="00997416"/>
    <w:rsid w:val="00997D0F"/>
    <w:rsid w:val="009A1FDB"/>
    <w:rsid w:val="009B23C9"/>
    <w:rsid w:val="009B4565"/>
    <w:rsid w:val="009B69CF"/>
    <w:rsid w:val="009D416B"/>
    <w:rsid w:val="009F70E6"/>
    <w:rsid w:val="00A02BF7"/>
    <w:rsid w:val="00A0521F"/>
    <w:rsid w:val="00A07C38"/>
    <w:rsid w:val="00A20793"/>
    <w:rsid w:val="00A328C3"/>
    <w:rsid w:val="00A33FB2"/>
    <w:rsid w:val="00A35CF5"/>
    <w:rsid w:val="00A37A7A"/>
    <w:rsid w:val="00A50BB0"/>
    <w:rsid w:val="00A705BE"/>
    <w:rsid w:val="00A87281"/>
    <w:rsid w:val="00A96C16"/>
    <w:rsid w:val="00AB0729"/>
    <w:rsid w:val="00AB4A14"/>
    <w:rsid w:val="00AB7579"/>
    <w:rsid w:val="00AC3309"/>
    <w:rsid w:val="00AE4EA6"/>
    <w:rsid w:val="00B12237"/>
    <w:rsid w:val="00B1331D"/>
    <w:rsid w:val="00B2070A"/>
    <w:rsid w:val="00B35CDC"/>
    <w:rsid w:val="00B61263"/>
    <w:rsid w:val="00B67A82"/>
    <w:rsid w:val="00B763B5"/>
    <w:rsid w:val="00B86946"/>
    <w:rsid w:val="00B90FA9"/>
    <w:rsid w:val="00B91FA6"/>
    <w:rsid w:val="00BC1D5B"/>
    <w:rsid w:val="00BF5F39"/>
    <w:rsid w:val="00BF6A2A"/>
    <w:rsid w:val="00BF6B09"/>
    <w:rsid w:val="00C02026"/>
    <w:rsid w:val="00C10DD7"/>
    <w:rsid w:val="00C1271D"/>
    <w:rsid w:val="00C13B6F"/>
    <w:rsid w:val="00C31189"/>
    <w:rsid w:val="00C42D40"/>
    <w:rsid w:val="00C51C26"/>
    <w:rsid w:val="00C537C7"/>
    <w:rsid w:val="00C56C95"/>
    <w:rsid w:val="00C64034"/>
    <w:rsid w:val="00C760BA"/>
    <w:rsid w:val="00C80385"/>
    <w:rsid w:val="00C946C2"/>
    <w:rsid w:val="00CA271A"/>
    <w:rsid w:val="00CB640A"/>
    <w:rsid w:val="00CC20AE"/>
    <w:rsid w:val="00CC3714"/>
    <w:rsid w:val="00CC42E7"/>
    <w:rsid w:val="00CC5F55"/>
    <w:rsid w:val="00CC7D3A"/>
    <w:rsid w:val="00CD0789"/>
    <w:rsid w:val="00CD309F"/>
    <w:rsid w:val="00CE60E1"/>
    <w:rsid w:val="00CE6473"/>
    <w:rsid w:val="00D064AC"/>
    <w:rsid w:val="00D06FE4"/>
    <w:rsid w:val="00D11046"/>
    <w:rsid w:val="00D12EB8"/>
    <w:rsid w:val="00D14BC0"/>
    <w:rsid w:val="00D16B2E"/>
    <w:rsid w:val="00D2458F"/>
    <w:rsid w:val="00D32270"/>
    <w:rsid w:val="00D453B1"/>
    <w:rsid w:val="00D4733C"/>
    <w:rsid w:val="00D54A8F"/>
    <w:rsid w:val="00D648D7"/>
    <w:rsid w:val="00D756C4"/>
    <w:rsid w:val="00DA1BD3"/>
    <w:rsid w:val="00DC7316"/>
    <w:rsid w:val="00DE56DB"/>
    <w:rsid w:val="00E03E70"/>
    <w:rsid w:val="00E05BB2"/>
    <w:rsid w:val="00E07942"/>
    <w:rsid w:val="00E25B97"/>
    <w:rsid w:val="00E31148"/>
    <w:rsid w:val="00E45125"/>
    <w:rsid w:val="00E545BD"/>
    <w:rsid w:val="00E8445F"/>
    <w:rsid w:val="00E951B3"/>
    <w:rsid w:val="00E96A25"/>
    <w:rsid w:val="00EB399A"/>
    <w:rsid w:val="00EB4B25"/>
    <w:rsid w:val="00EC2AA7"/>
    <w:rsid w:val="00ED2749"/>
    <w:rsid w:val="00ED5717"/>
    <w:rsid w:val="00ED7898"/>
    <w:rsid w:val="00EE7BA7"/>
    <w:rsid w:val="00EF2209"/>
    <w:rsid w:val="00F050BE"/>
    <w:rsid w:val="00F05444"/>
    <w:rsid w:val="00F15C65"/>
    <w:rsid w:val="00F206BD"/>
    <w:rsid w:val="00F3246A"/>
    <w:rsid w:val="00F32671"/>
    <w:rsid w:val="00F34FEE"/>
    <w:rsid w:val="00F36103"/>
    <w:rsid w:val="00F41301"/>
    <w:rsid w:val="00F41B69"/>
    <w:rsid w:val="00F44800"/>
    <w:rsid w:val="00F52244"/>
    <w:rsid w:val="00F561A2"/>
    <w:rsid w:val="00F634B8"/>
    <w:rsid w:val="00F650C6"/>
    <w:rsid w:val="00F70178"/>
    <w:rsid w:val="00F7430B"/>
    <w:rsid w:val="00F76FAE"/>
    <w:rsid w:val="00FB14D9"/>
    <w:rsid w:val="00FC185A"/>
    <w:rsid w:val="00FC5041"/>
    <w:rsid w:val="00FC546E"/>
    <w:rsid w:val="00FC648A"/>
    <w:rsid w:val="00FE33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A4F798"/>
  <w15:chartTrackingRefBased/>
  <w15:docId w15:val="{4A3C5113-E2CC-4FC1-B151-9D3D6DC3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26C"/>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E326C"/>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E326C"/>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E326C"/>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E326C"/>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E326C"/>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E326C"/>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E326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E326C"/>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7E326C"/>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E326C"/>
    <w:rPr>
      <w:rFonts w:ascii="Palatino Linotype" w:hAnsi="Palatino Linotype"/>
      <w:noProof/>
      <w:color w:val="000000"/>
      <w:szCs w:val="18"/>
    </w:rPr>
  </w:style>
  <w:style w:type="paragraph" w:customStyle="1" w:styleId="MDPI32textnoindent">
    <w:name w:val="MDPI_3.2_text_no_indent"/>
    <w:basedOn w:val="MDPI31text"/>
    <w:qFormat/>
    <w:rsid w:val="007E326C"/>
    <w:pPr>
      <w:ind w:firstLine="0"/>
    </w:pPr>
  </w:style>
  <w:style w:type="paragraph" w:customStyle="1" w:styleId="MDPI31text">
    <w:name w:val="MDPI_3.1_text"/>
    <w:qFormat/>
    <w:rsid w:val="0037588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E326C"/>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E326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E326C"/>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292E3F"/>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92E3F"/>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E326C"/>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E326C"/>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E326C"/>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E326C"/>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E326C"/>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E326C"/>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E326C"/>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E326C"/>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E326C"/>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B106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E326C"/>
    <w:rPr>
      <w:rFonts w:cs="Tahoma"/>
      <w:szCs w:val="18"/>
    </w:rPr>
  </w:style>
  <w:style w:type="character" w:customStyle="1" w:styleId="BalloonTextChar">
    <w:name w:val="Balloon Text Char"/>
    <w:link w:val="BalloonText"/>
    <w:uiPriority w:val="99"/>
    <w:rsid w:val="007E326C"/>
    <w:rPr>
      <w:rFonts w:ascii="Palatino Linotype" w:hAnsi="Palatino Linotype" w:cs="Tahoma"/>
      <w:noProof/>
      <w:color w:val="000000"/>
      <w:szCs w:val="18"/>
    </w:rPr>
  </w:style>
  <w:style w:type="character" w:styleId="LineNumber">
    <w:name w:val="line number"/>
    <w:uiPriority w:val="99"/>
    <w:rsid w:val="009B4565"/>
    <w:rPr>
      <w:rFonts w:ascii="Palatino Linotype" w:hAnsi="Palatino Linotype"/>
      <w:sz w:val="16"/>
    </w:rPr>
  </w:style>
  <w:style w:type="table" w:customStyle="1" w:styleId="MDPI41threelinetable">
    <w:name w:val="MDPI_4.1_three_line_table"/>
    <w:basedOn w:val="TableNormal"/>
    <w:uiPriority w:val="99"/>
    <w:rsid w:val="007E326C"/>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E326C"/>
    <w:rPr>
      <w:color w:val="0000FF"/>
      <w:u w:val="single"/>
    </w:rPr>
  </w:style>
  <w:style w:type="character" w:styleId="UnresolvedMention">
    <w:name w:val="Unresolved Mention"/>
    <w:uiPriority w:val="99"/>
    <w:semiHidden/>
    <w:unhideWhenUsed/>
    <w:rsid w:val="00B91FA6"/>
    <w:rPr>
      <w:color w:val="605E5C"/>
      <w:shd w:val="clear" w:color="auto" w:fill="E1DFDD"/>
    </w:rPr>
  </w:style>
  <w:style w:type="paragraph" w:styleId="Footer">
    <w:name w:val="footer"/>
    <w:basedOn w:val="Normal"/>
    <w:link w:val="FooterChar"/>
    <w:uiPriority w:val="99"/>
    <w:rsid w:val="007E326C"/>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E326C"/>
    <w:rPr>
      <w:rFonts w:ascii="Palatino Linotype" w:hAnsi="Palatino Linotype"/>
      <w:noProof/>
      <w:color w:val="000000"/>
      <w:szCs w:val="18"/>
    </w:rPr>
  </w:style>
  <w:style w:type="table" w:styleId="TableGrid">
    <w:name w:val="Table Grid"/>
    <w:basedOn w:val="TableNormal"/>
    <w:uiPriority w:val="59"/>
    <w:rsid w:val="007E326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E326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E326C"/>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E326C"/>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E326C"/>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E326C"/>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E326C"/>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A35CF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E326C"/>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E326C"/>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13DF"/>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E326C"/>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E326C"/>
  </w:style>
  <w:style w:type="paragraph" w:styleId="Bibliography">
    <w:name w:val="Bibliography"/>
    <w:basedOn w:val="Normal"/>
    <w:next w:val="Normal"/>
    <w:uiPriority w:val="37"/>
    <w:semiHidden/>
    <w:unhideWhenUsed/>
    <w:rsid w:val="007E326C"/>
  </w:style>
  <w:style w:type="paragraph" w:styleId="BodyText">
    <w:name w:val="Body Text"/>
    <w:link w:val="BodyTextChar"/>
    <w:uiPriority w:val="99"/>
    <w:rsid w:val="007E326C"/>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uiPriority w:val="99"/>
    <w:rsid w:val="007E326C"/>
    <w:rPr>
      <w:rFonts w:ascii="Palatino Linotype" w:hAnsi="Palatino Linotype"/>
      <w:color w:val="000000"/>
      <w:sz w:val="24"/>
      <w:lang w:eastAsia="de-DE"/>
    </w:rPr>
  </w:style>
  <w:style w:type="character" w:styleId="CommentReference">
    <w:name w:val="annotation reference"/>
    <w:rsid w:val="007E326C"/>
    <w:rPr>
      <w:sz w:val="21"/>
      <w:szCs w:val="21"/>
    </w:rPr>
  </w:style>
  <w:style w:type="paragraph" w:styleId="CommentText">
    <w:name w:val="annotation text"/>
    <w:basedOn w:val="Normal"/>
    <w:link w:val="CommentTextChar"/>
    <w:rsid w:val="007E326C"/>
  </w:style>
  <w:style w:type="character" w:customStyle="1" w:styleId="CommentTextChar">
    <w:name w:val="Comment Text Char"/>
    <w:link w:val="CommentText"/>
    <w:rsid w:val="007E326C"/>
    <w:rPr>
      <w:rFonts w:ascii="Palatino Linotype" w:hAnsi="Palatino Linotype"/>
      <w:noProof/>
      <w:color w:val="000000"/>
    </w:rPr>
  </w:style>
  <w:style w:type="paragraph" w:styleId="CommentSubject">
    <w:name w:val="annotation subject"/>
    <w:basedOn w:val="CommentText"/>
    <w:next w:val="CommentText"/>
    <w:link w:val="CommentSubjectChar"/>
    <w:rsid w:val="007E326C"/>
    <w:rPr>
      <w:b/>
      <w:bCs/>
    </w:rPr>
  </w:style>
  <w:style w:type="character" w:customStyle="1" w:styleId="CommentSubjectChar">
    <w:name w:val="Comment Subject Char"/>
    <w:link w:val="CommentSubject"/>
    <w:rsid w:val="007E326C"/>
    <w:rPr>
      <w:rFonts w:ascii="Palatino Linotype" w:hAnsi="Palatino Linotype"/>
      <w:b/>
      <w:bCs/>
      <w:noProof/>
      <w:color w:val="000000"/>
    </w:rPr>
  </w:style>
  <w:style w:type="character" w:styleId="EndnoteReference">
    <w:name w:val="endnote reference"/>
    <w:rsid w:val="007E326C"/>
    <w:rPr>
      <w:vertAlign w:val="superscript"/>
    </w:rPr>
  </w:style>
  <w:style w:type="paragraph" w:styleId="EndnoteText">
    <w:name w:val="endnote text"/>
    <w:basedOn w:val="Normal"/>
    <w:link w:val="EndnoteTextChar"/>
    <w:semiHidden/>
    <w:unhideWhenUsed/>
    <w:rsid w:val="007E326C"/>
    <w:pPr>
      <w:spacing w:line="240" w:lineRule="auto"/>
    </w:pPr>
  </w:style>
  <w:style w:type="character" w:customStyle="1" w:styleId="EndnoteTextChar">
    <w:name w:val="Endnote Text Char"/>
    <w:link w:val="EndnoteText"/>
    <w:semiHidden/>
    <w:rsid w:val="007E326C"/>
    <w:rPr>
      <w:rFonts w:ascii="Palatino Linotype" w:hAnsi="Palatino Linotype"/>
      <w:noProof/>
      <w:color w:val="000000"/>
    </w:rPr>
  </w:style>
  <w:style w:type="character" w:styleId="FollowedHyperlink">
    <w:name w:val="FollowedHyperlink"/>
    <w:rsid w:val="007E326C"/>
    <w:rPr>
      <w:color w:val="954F72"/>
      <w:u w:val="single"/>
    </w:rPr>
  </w:style>
  <w:style w:type="paragraph" w:styleId="FootnoteText">
    <w:name w:val="footnote text"/>
    <w:basedOn w:val="Normal"/>
    <w:link w:val="FootnoteTextChar"/>
    <w:semiHidden/>
    <w:unhideWhenUsed/>
    <w:rsid w:val="007E326C"/>
    <w:pPr>
      <w:spacing w:line="240" w:lineRule="auto"/>
    </w:pPr>
  </w:style>
  <w:style w:type="character" w:customStyle="1" w:styleId="FootnoteTextChar">
    <w:name w:val="Footnote Text Char"/>
    <w:link w:val="FootnoteText"/>
    <w:semiHidden/>
    <w:rsid w:val="007E326C"/>
    <w:rPr>
      <w:rFonts w:ascii="Palatino Linotype" w:hAnsi="Palatino Linotype"/>
      <w:noProof/>
      <w:color w:val="000000"/>
    </w:rPr>
  </w:style>
  <w:style w:type="paragraph" w:styleId="NormalWeb">
    <w:name w:val="Normal (Web)"/>
    <w:basedOn w:val="Normal"/>
    <w:uiPriority w:val="99"/>
    <w:rsid w:val="007E326C"/>
    <w:rPr>
      <w:szCs w:val="24"/>
    </w:rPr>
  </w:style>
  <w:style w:type="paragraph" w:customStyle="1" w:styleId="MsoFootnoteText0">
    <w:name w:val="MsoFootnoteText"/>
    <w:basedOn w:val="NormalWeb"/>
    <w:qFormat/>
    <w:rsid w:val="007E326C"/>
    <w:rPr>
      <w:rFonts w:ascii="Times New Roman" w:hAnsi="Times New Roman"/>
    </w:rPr>
  </w:style>
  <w:style w:type="character" w:styleId="PageNumber">
    <w:name w:val="page number"/>
    <w:rsid w:val="007E326C"/>
  </w:style>
  <w:style w:type="character" w:styleId="PlaceholderText">
    <w:name w:val="Placeholder Text"/>
    <w:uiPriority w:val="99"/>
    <w:semiHidden/>
    <w:rsid w:val="007E326C"/>
    <w:rPr>
      <w:color w:val="808080"/>
    </w:rPr>
  </w:style>
  <w:style w:type="paragraph" w:customStyle="1" w:styleId="MDPI71footnotes">
    <w:name w:val="MDPI_7.1_footnotes"/>
    <w:qFormat/>
    <w:rsid w:val="00114495"/>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D756C4"/>
    <w:rPr>
      <w:b/>
      <w:bCs/>
    </w:rPr>
  </w:style>
  <w:style w:type="paragraph" w:customStyle="1" w:styleId="FirstParagraph">
    <w:name w:val="First Paragraph"/>
    <w:basedOn w:val="BodyText"/>
    <w:rsid w:val="00D453B1"/>
    <w:pPr>
      <w:spacing w:after="0" w:line="276" w:lineRule="auto"/>
    </w:pPr>
    <w:rPr>
      <w:rFonts w:ascii="Times New Roman" w:eastAsiaTheme="minorEastAsia" w:hAnsi="Times New Roman" w:cstheme="minorBidi"/>
      <w:color w:val="auto"/>
      <w:sz w:val="22"/>
      <w:szCs w:val="22"/>
      <w:lang w:val="en" w:eastAsia="en-US"/>
    </w:rPr>
  </w:style>
  <w:style w:type="paragraph" w:customStyle="1" w:styleId="Compact">
    <w:name w:val="Compact"/>
    <w:basedOn w:val="BodyText"/>
    <w:rsid w:val="00721050"/>
    <w:pPr>
      <w:spacing w:after="40" w:line="252" w:lineRule="auto"/>
      <w:ind w:left="317" w:hanging="259"/>
    </w:pPr>
    <w:rPr>
      <w:rFonts w:ascii="Times New Roman" w:eastAsiaTheme="minorEastAsia" w:hAnsi="Times New Roman" w:cstheme="minorBidi"/>
      <w:color w:val="auto"/>
      <w:sz w:val="22"/>
      <w:szCs w:val="22"/>
      <w:lang w:val="e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creativecommons.org/licenses/by/4.0/"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23" Type="http://schemas.openxmlformats.org/officeDocument/2006/relationships/theme" Target="theme/theme1.xml"/><Relationship Id="rId19" Type="http://schemas.openxmlformats.org/officeDocument/2006/relationships/footer" Target="footer2.xml"/><Relationship Id="rId4" Type="http://schemas.openxmlformats.org/officeDocument/2006/relationships/webSettings" Target="webSettings.xml"/><Relationship Id="rId22"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hyperlink" Target="https://doi.org/10.1145/1541880.1541882" TargetMode="External"/><Relationship Id="rId10" Type="http://schemas.openxmlformats.org/officeDocument/2006/relationships/hyperlink" Target="https://doi.org/10.1109/JPROC.2021.3052449" TargetMode="External"/><Relationship Id="rId11" Type="http://schemas.openxmlformats.org/officeDocument/2006/relationships/hyperlink" Target="https://doi.org/10.1609/aaai.v36i7.20680" TargetMode="External"/><Relationship Id="rId12" Type="http://schemas.openxmlformats.org/officeDocument/2006/relationships/hyperlink" Target="https://doi.org/10.1109/TNNLS.2021.3105827" TargetMode="External"/><Relationship Id="rId13" Type="http://schemas.openxmlformats.org/officeDocument/2006/relationships/hyperlink" Target="https://doi.org/10.1109/TKDE.2021.3112126" TargetMode="External"/><Relationship Id="rId14" Type="http://schemas.openxmlformats.org/officeDocument/2006/relationships/hyperlink" Target="https://doi.org/10.1145/3439950" TargetMode="External"/><Relationship Id="rId15" Type="http://schemas.openxmlformats.org/officeDocument/2006/relationships/hyperlink" Target="https://doi.org/10.1145/3444690" TargetMode="External"/><Relationship Id="rId24" Type="http://schemas.openxmlformats.org/officeDocument/2006/relationships/hyperlink" Target="https://doi.org/10.1177/1550147718794615" TargetMode="External"/><Relationship Id="rId25" Type="http://schemas.openxmlformats.org/officeDocument/2006/relationships/hyperlink" Target="https://arxiv.org/abs/2203.05167" TargetMode="External"/><Relationship Id="rId26" Type="http://schemas.openxmlformats.org/officeDocument/2006/relationships/hyperlink" Target="https://doi.org/10.1145/3637528.3671971" TargetMode="External"/><Relationship Id="rId27" Type="http://schemas.openxmlformats.org/officeDocument/2006/relationships/hyperlink" Target="https://arxiv.org/abs/2606.02670" TargetMode="External"/><Relationship Id="rId28" Type="http://schemas.openxmlformats.org/officeDocument/2006/relationships/hyperlink" Target="https://arxiv.org/abs/2506.18046" TargetMode="External"/><Relationship Id="rId29" Type="http://schemas.openxmlformats.org/officeDocument/2006/relationships/hyperlink" Target="https://arxiv.org/abs/2501.13864" TargetMode="External"/><Relationship Id="rId30" Type="http://schemas.openxmlformats.org/officeDocument/2006/relationships/hyperlink" Target="https://arxiv.org/abs/1904.02639" TargetMode="External"/><Relationship Id="rId31" Type="http://schemas.openxmlformats.org/officeDocument/2006/relationships/hyperlink" Target="https://arxiv.org/abs/2405.02678" TargetMode="External"/><Relationship Id="rId32" Type="http://schemas.openxmlformats.org/officeDocument/2006/relationships/hyperlink" Target="https://openreview.net/forum?id=iMmsCI0JsS" TargetMode="External"/><Relationship Id="rId33" Type="http://schemas.openxmlformats.org/officeDocument/2006/relationships/hyperlink" Target="https://doi.org/10.24963/ijcai.2017/273" TargetMode="External"/><Relationship Id="rId34" Type="http://schemas.openxmlformats.org/officeDocument/2006/relationships/hyperlink" Target="https://openreview.net/forum?id=BJJLHbb0-" TargetMode="External"/><Relationship Id="rId35" Type="http://schemas.openxmlformats.org/officeDocument/2006/relationships/hyperlink" Target="https://doi.org/10.1016/S0047-259X(03)00096-4" TargetMode="External"/><Relationship Id="rId36" Type="http://schemas.openxmlformats.org/officeDocument/2006/relationships/hyperlink" Target="https://doi.org/10.1109/ICDM.2008.17" TargetMode="External"/><Relationship Id="rId37" Type="http://schemas.openxmlformats.org/officeDocument/2006/relationships/hyperlink" Target="https://doi.org/10.1145/2689746.2689747" TargetMode="External"/><Relationship Id="rId38" Type="http://schemas.openxmlformats.org/officeDocument/2006/relationships/hyperlink" Target="https://doi.org/10.1145/3394486.3403392" TargetMode="External"/><Relationship Id="rId39" Type="http://schemas.openxmlformats.org/officeDocument/2006/relationships/hyperlink" Target="https://doi.org/10.14778/3514061.3514067" TargetMode="External"/><Relationship Id="rId40" Type="http://schemas.openxmlformats.org/officeDocument/2006/relationships/hyperlink" Target="https://doi.org/10.1609/aaai.v35i5.16523" TargetMode="External"/><Relationship Id="rId41" Type="http://schemas.openxmlformats.org/officeDocument/2006/relationships/hyperlink" Target="https://doi.org/10.1145/3637528.3671919" TargetMode="External"/><Relationship Id="rId42" Type="http://schemas.openxmlformats.org/officeDocument/2006/relationships/hyperlink" Target="https://arxiv.org/abs/2410.12261" TargetMode="External"/><Relationship Id="rId43" Type="http://schemas.openxmlformats.org/officeDocument/2006/relationships/hyperlink" Target="https://doi.org/10.1109/ICCAD57653.2023.10152303" TargetMode="External"/><Relationship Id="rId44" Type="http://schemas.openxmlformats.org/officeDocument/2006/relationships/hyperlink" Target="https://doi.org/10.36001/phmconf.2023.v15i1.3502" TargetMode="External"/><Relationship Id="rId45" Type="http://schemas.openxmlformats.org/officeDocument/2006/relationships/hyperlink" Target="https://doi.org/10.36001/phme.2022.v7i1.3322" TargetMode="External"/><Relationship Id="rId46" Type="http://schemas.openxmlformats.org/officeDocument/2006/relationships/hyperlink" Target="https://doi.org/10.1016/j.ifacol.2022.04.199" TargetMode="External"/><Relationship Id="rId47" Type="http://schemas.openxmlformats.org/officeDocument/2006/relationships/hyperlink" Target="https://doi.org/10.1145/3055366.3055375" TargetMode="External"/><Relationship Id="rId48" Type="http://schemas.openxmlformats.org/officeDocument/2006/relationships/hyperlink" Target="https://doi.org/10.1109/CySWater.2016.7469060" TargetMode="External"/><Relationship Id="rId49" Type="http://schemas.openxmlformats.org/officeDocument/2006/relationships/hyperlink" Target="https://www.usenix.org/conference/cset20/presentation/shin"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persteiny\Downloads\a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ai-template.dot</Template>
  <TotalTime>24</TotalTime>
  <Pages>20</Pages>
  <Words>8993</Words>
  <Characters>51265</Characters>
  <Application>Microsoft Office Word</Application>
  <DocSecurity>0</DocSecurity>
  <Lines>427</Lines>
  <Paragraphs>120</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Type of the Paper (Article</vt:lpstr>
      <vt:lpstr>1. Introduction</vt:lpstr>
      <vt:lpstr>2. Related Work</vt:lpstr>
      <vt:lpstr>    2.1. Opportunistic and Repurposed Urban Sensing</vt:lpstr>
      <vt:lpstr>    2.2. License Plate Recognition and Its Assumptions</vt:lpstr>
      <vt:lpstr>    2.3. Deep Learning Image Restoration</vt:lpstr>
      <vt:lpstr>    2.4. Low-Discrepancy Sampling for Benchmark Design</vt:lpstr>
      <vt:lpstr>3. Results</vt:lpstr>
      <vt:lpstr>    3.1. Subsection</vt:lpstr>
      <vt:lpstr>        3.1.1. Subsubsection</vt:lpstr>
      <vt:lpstr>    3.2. Figures, Tables and Schemes</vt:lpstr>
      <vt:lpstr>    3.3. Formatting of Mathematical Components</vt:lpstr>
      <vt:lpstr>4. Discussion</vt:lpstr>
      <vt:lpstr>5. Conclusions</vt:lpstr>
      <vt:lpstr>6. Patents</vt:lpstr>
      <vt:lpstr>Abbreviations</vt:lpstr>
      <vt:lpstr>Appendix A</vt:lpstr>
      <vt:lpstr>    Appendix A.1</vt:lpstr>
      <vt:lpstr>Appendix B</vt:lpstr>
      <vt:lpstr>References</vt:lpstr>
    </vt:vector>
  </TitlesOfParts>
  <Company/>
  <LinksUpToDate>false</LinksUpToDate>
  <CharactersWithSpaces>60138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Yehudit Aperstein</dc:creator>
  <cp:keywords/>
  <dc:description/>
  <cp:lastModifiedBy>Yehudit Aperstein</cp:lastModifiedBy>
  <cp:revision>5</cp:revision>
  <dcterms:created xsi:type="dcterms:W3CDTF">2026-04-26T14:11:00Z</dcterms:created>
  <dcterms:modified xsi:type="dcterms:W3CDTF">2026-04-26T15:12:00Z</dcterms:modified>
</cp:coreProperties>
</file>