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color w:val="1F4E79"/>
          <w:sz w:val="32"/>
        </w:rPr>
        <w:t>Cover Letter to the Academic Editor (Round 2)</w:t>
      </w:r>
    </w:p>
    <w:p>
      <w:pPr>
        <w:jc w:val="left"/>
      </w:pPr>
      <w:r>
        <w:rPr>
          <w:b w:val="0"/>
          <w:i w:val="0"/>
        </w:rPr>
        <w:t xml:space="preserve"> Manuscript IoT-4522779, MDPI </w:t>
      </w:r>
      <w:r>
        <w:rPr>
          <w:b w:val="0"/>
          <w:i/>
        </w:rPr>
        <w:t>IoT</w:t>
      </w:r>
      <w:r>
        <w:br/>
      </w:r>
      <w:r>
        <w:rPr>
          <w:b w:val="0"/>
          <w:i w:val="0"/>
        </w:rPr>
        <w:t xml:space="preserve"> Title: Modeling Normal Is All You Need: Joint Latent Clustering for Anomaly Detection in Multimodal Industrial-IoT Cyber-Physical Systems</w:t>
      </w:r>
      <w:r>
        <w:br/>
      </w:r>
      <w:r>
        <w:rPr>
          <w:b w:val="0"/>
          <w:i w:val="0"/>
        </w:rPr>
        <w:t xml:space="preserve"> Authors: Alexander Apartsin and Yehudit Aperstein </w:t>
      </w:r>
    </w:p>
    <w:p>
      <w:pPr>
        <w:jc w:val="left"/>
      </w:pPr>
      <w:r>
        <w:rPr>
          <w:b w:val="0"/>
          <w:i w:val="0"/>
        </w:rPr>
        <w:t>Dear Academic Editor,</w:t>
      </w:r>
    </w:p>
    <w:p>
      <w:r>
        <w:rPr>
          <w:b w:val="0"/>
          <w:i w:val="0"/>
        </w:rPr>
        <w:t>Thank you for handling our manuscript. We submit the revised version in response to the second round of review. The reviewer raised five points; we address each with either a manuscript change or a reasoned response, set out in full in the accompanying point-by-point letter. This round's changes are highlighted in blue in the revised manuscript.</w:t>
      </w:r>
    </w:p>
    <w:p>
      <w:r>
        <w:rPr>
          <w:b w:val="0"/>
          <w:i w:val="0"/>
        </w:rPr>
        <w:t>In brief:</w:t>
      </w:r>
    </w:p>
    <w:p>
      <w:pPr>
        <w:pStyle w:val="ListBullet"/>
      </w:pPr>
      <w:r>
        <w:rPr>
          <w:b w:val="0"/>
          <w:i w:val="0"/>
        </w:rPr>
        <w:t>We added a direct check that the correlation communities correspond to the plants' documented process stages, showing alignment well above chance (new Appendix C and Table C2).</w:t>
      </w:r>
    </w:p>
    <w:p>
      <w:pPr>
        <w:pStyle w:val="ListBullet"/>
      </w:pPr>
      <w:r>
        <w:rPr>
          <w:b w:val="0"/>
          <w:i w:val="0"/>
        </w:rPr>
        <w:t>We clarified that the community and whole-plant scores are standardized before they are combined, and made the single-configuration fusion trade-off explicit (§4.4, Appendix A).</w:t>
      </w:r>
    </w:p>
    <w:p>
      <w:pPr>
        <w:pStyle w:val="ListBullet"/>
      </w:pPr>
      <w:r>
        <w:rPr>
          <w:b w:val="0"/>
          <w:i w:val="0"/>
        </w:rPr>
        <w:t>We stated explicitly that the difficulty rule is detector-agnostic and that the WADI difficult subset is small and underpowered, so the WADI result is reported as a tie rather than a performance claim (§6).</w:t>
      </w:r>
    </w:p>
    <w:p>
      <w:pPr>
        <w:pStyle w:val="ListBullet"/>
      </w:pPr>
      <w:r>
        <w:rPr>
          <w:b w:val="0"/>
          <w:i w:val="0"/>
        </w:rPr>
        <w:t>We narrowed the empirical conclusion about reconstruction-based detectors to the evaluated methods (USAD, TranAD, GDN), presenting the two recently introduced methods as future-work comparisons (§2.4, §8).</w:t>
      </w:r>
    </w:p>
    <w:p>
      <w:pPr>
        <w:pStyle w:val="ListBullet"/>
      </w:pPr>
      <w:r>
        <w:rPr>
          <w:b w:val="0"/>
          <w:i w:val="0"/>
        </w:rPr>
        <w:t>On the recommended references, we followed the journal's guideline to include reviewer-recommended references only where they enhance the manuscript; having analyzed the two suggested connectivity-layer studies, we found no direct connection to the paper's topic and did not include them.</w:t>
      </w:r>
    </w:p>
    <w:p>
      <w:r>
        <w:rPr>
          <w:b w:val="0"/>
          <w:i w:val="0"/>
        </w:rPr>
        <w:t>We believe the revision addresses the round-2 comments, and we thank you and the reviewer for the careful reading.</w:t>
      </w:r>
    </w:p>
    <w:p>
      <w:pPr>
        <w:jc w:val="left"/>
      </w:pPr>
      <w:r>
        <w:rPr>
          <w:b w:val="0"/>
          <w:i w:val="0"/>
        </w:rPr>
        <w:t>Sincerely,</w:t>
      </w:r>
      <w:r>
        <w:br/>
      </w:r>
      <w:r>
        <w:rPr>
          <w:b w:val="0"/>
          <w:i w:val="0"/>
        </w:rPr>
        <w:t xml:space="preserve"> Alexander Apartsin and Yehudit Aperstein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  <w:jc w:val="both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