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6462" w14:textId="77777777" w:rsidR="00BE70EC" w:rsidRPr="00A8086E" w:rsidRDefault="00BE70EC" w:rsidP="00BE70EC">
      <w:pPr>
        <w:pStyle w:val="MDPI11articletype"/>
      </w:pPr>
      <w:r w:rsidRPr="00A8086E">
        <w:t>Article</w:t>
      </w:r>
    </w:p>
    <w:p w14:paraId="1799B668" w14:textId="77777777" w:rsidR="00BE70EC" w:rsidRPr="00A8086E" w:rsidRDefault="00BE70EC" w:rsidP="00BE70EC">
      <w:pPr>
        <w:pStyle w:val="MDPI12title"/>
      </w:pPr>
      <w:r w:rsidRPr="00A8086E">
        <w:t>Modeling Normal Is All You Need: Joint Latent Clustering for Anomaly Detection in Multimodal Cyber-Physical Systems</w:t>
      </w:r>
    </w:p>
    <w:p w14:paraId="45F14EDD" w14:textId="77777777" w:rsidR="008C2EC5" w:rsidRPr="00A8086E" w:rsidRDefault="00BE70EC" w:rsidP="00BE70EC">
      <w:pPr>
        <w:pStyle w:val="MDPI13authornames"/>
      </w:pPr>
      <w:r w:rsidRPr="00A8086E">
        <w:t xml:space="preserve">Alexander Apartsin </w:t>
      </w:r>
      <w:r w:rsidRPr="00A8086E">
        <w:rPr>
          <w:vertAlign w:val="superscript"/>
        </w:rPr>
        <w:t>1,*</w:t>
      </w:r>
      <w:r w:rsidRPr="00A8086E">
        <w:rPr/>
        <w:t xml:space="preserve"> and Yehudit Aperstein </w:t>
      </w:r>
      <w:r w:rsidRPr="00A8086E">
        <w:rPr>
          <w:vertAlign w:val="superscript"/>
        </w:rPr>
        <w:t>2</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8C2EC5" w:rsidRPr="00A8086E" w14:paraId="61FFE899" w14:textId="77777777" w:rsidTr="000E60BC">
        <w:tc>
          <w:tcPr>
            <w:tcW w:w="2410" w:type="dxa"/>
          </w:tcPr>
          <w:p w14:paraId="556B4DC0" w14:textId="77777777" w:rsidR="008C2EC5" w:rsidRPr="00A8086E" w:rsidRDefault="008C2EC5" w:rsidP="000E60BC">
            <w:pPr>
              <w:pStyle w:val="MDPI15academiceditor"/>
              <w:spacing w:before="0" w:after="120"/>
            </w:pPr>
            <w:r w:rsidRPr="00A8086E">
              <w:t>Academic Editor: Firstname Lastname</w:t>
            </w:r>
          </w:p>
          <w:p w14:paraId="109293F2" w14:textId="77777777" w:rsidR="008C2EC5" w:rsidRPr="00A8086E" w:rsidRDefault="008C2EC5" w:rsidP="000E60BC">
            <w:pPr>
              <w:pStyle w:val="MDPI14history"/>
              <w:spacing w:before="120"/>
            </w:pPr>
            <w:r w:rsidRPr="00A8086E">
              <w:t>Received: date</w:t>
            </w:r>
          </w:p>
          <w:p w14:paraId="6242728B" w14:textId="77777777" w:rsidR="008C2EC5" w:rsidRPr="00A8086E" w:rsidRDefault="008C2EC5" w:rsidP="000E60BC">
            <w:pPr>
              <w:pStyle w:val="MDPI14history"/>
            </w:pPr>
            <w:r w:rsidRPr="00A8086E">
              <w:t>Revised: date</w:t>
            </w:r>
          </w:p>
          <w:p w14:paraId="2A313137" w14:textId="77777777" w:rsidR="008C2EC5" w:rsidRPr="00A8086E" w:rsidRDefault="008C2EC5" w:rsidP="000E60BC">
            <w:pPr>
              <w:pStyle w:val="MDPI14history"/>
            </w:pPr>
            <w:r w:rsidRPr="00A8086E">
              <w:t>Accepted: date</w:t>
            </w:r>
          </w:p>
          <w:p w14:paraId="3C39C1FA" w14:textId="77777777" w:rsidR="008C2EC5" w:rsidRPr="00A8086E" w:rsidRDefault="008C2EC5" w:rsidP="000E60BC">
            <w:pPr>
              <w:pStyle w:val="MDPI14history"/>
              <w:spacing w:after="120"/>
            </w:pPr>
            <w:r w:rsidRPr="00A8086E">
              <w:t>Published: date</w:t>
            </w:r>
          </w:p>
          <w:p w14:paraId="0ED37A1A" w14:textId="77777777" w:rsidR="008C2EC5" w:rsidRPr="00A8086E" w:rsidRDefault="008C2EC5" w:rsidP="000E60BC">
            <w:pPr>
              <w:pStyle w:val="MDPI72copyright"/>
              <w:rPr>
                <w:rFonts w:eastAsia="等线"/>
                <w:noProof w:val="0"/>
                <w:lang w:val="en-US" w:bidi="en-US"/>
              </w:rPr>
            </w:pPr>
            <w:r w:rsidRPr="00A8086E">
              <w:rPr>
                <w:rFonts w:eastAsia="等线"/>
                <w:b/>
                <w:noProof w:val="0"/>
                <w:lang w:val="en-US" w:bidi="en-US"/>
              </w:rPr>
              <w:t>Copyright:</w:t>
            </w:r>
            <w:r w:rsidRPr="00A8086E">
              <w:rPr>
                <w:rFonts w:eastAsia="等线"/>
                <w:noProof w:val="0"/>
                <w:lang w:val="en-US" w:bidi="en-US"/>
              </w:rPr>
              <w:t xml:space="preserve"> © </w:t>
            </w:r>
            <w:r>
              <w:rPr>
                <w:rFonts w:eastAsia="等线"/>
                <w:noProof w:val="0"/>
                <w:lang w:val="en-US" w:bidi="en-US"/>
              </w:rPr>
              <w:t>2026</w:t>
            </w:r>
            <w:r w:rsidRPr="00A8086E">
              <w:rPr>
                <w:rFonts w:eastAsia="等线"/>
                <w:noProof w:val="0"/>
                <w:lang w:val="en-US" w:bidi="en-US"/>
              </w:rPr>
              <w:t xml:space="preserve"> by the authors. Submitted for possible open access publication under the terms and conditions of the </w:t>
            </w:r>
            <w:hyperlink r:id="rId8" w:history="1">
              <w:r w:rsidRPr="008C2EC5">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01051650" w14:textId="77777777" w:rsidR="00BE70EC" w:rsidRPr="00A8086E" w:rsidRDefault="00542CE0" w:rsidP="00BE70EC">
      <w:pPr>
        <w:pStyle w:val="MDPI16affiliation"/>
      </w:pPr>
      <w:r w:rsidRPr="00A8086E">
        <w:rPr>
          <w:vertAlign w:val="superscript"/>
        </w:rPr>
        <w:t>1</w:t>
      </w:r>
      <w:r w:rsidR="00BE70EC" w:rsidRPr="00A8086E">
        <w:tab/>
        <w:t>School of Computer Science, Faculty of Sciences, Holon Institute of Technology (HIT), 52 Golomb St., Holon 5810201, Israel; alexanderap@hit.ac.il</w:t>
      </w:r>
    </w:p>
    <w:p w14:paraId="3B35B26F" w14:textId="77777777" w:rsidR="00BE70EC" w:rsidRPr="00A8086E" w:rsidRDefault="00BE70EC" w:rsidP="00BE70EC">
      <w:pPr>
        <w:pStyle w:val="MDPI16affiliation"/>
      </w:pPr>
      <w:r w:rsidRPr="00A8086E">
        <w:rPr>
          <w:vertAlign w:val="superscript"/>
        </w:rPr>
        <w:t>2</w:t>
      </w:r>
      <w:r w:rsidRPr="00A8086E">
        <w:tab/>
        <w:t>Intelligent Systems, Afeka Academic College of Engineering, 218 Bnei Efraim St., Tel Aviv 6910717, Israel; apersteiny@afeka.ac.il</w:t>
      </w:r>
    </w:p>
    <w:p w14:paraId="160B2F15" w14:textId="77777777" w:rsidR="00BE70EC" w:rsidRPr="00A8086E" w:rsidRDefault="00BE70EC" w:rsidP="00BE70EC">
      <w:pPr>
        <w:pStyle w:val="MDPI16affiliation"/>
      </w:pPr>
      <w:r w:rsidRPr="00A8086E">
        <w:rPr>
          <w:b/>
        </w:rPr>
        <w:t>*</w:t>
      </w:r>
      <w:r w:rsidRPr="00A8086E">
        <w:tab/>
        <w:t>Correspondence: alexanderap@hit.ac.il</w:t>
      </w:r>
    </w:p>
    <w:p w14:paraId="5C60B5A0" w14:textId="77777777" w:rsidR="00563B51" w:rsidRPr="00563B51" w:rsidRDefault="00BE70EC" w:rsidP="00563B51">
      <w:pPr>
        <w:pStyle w:val="MDPI17abstract"/>
        <w:jc w:val="left"/>
        <w:rPr>
          <w:b/>
        </w:rPr>
      </w:pPr>
      <w:r w:rsidRPr="00563B51">
        <w:rPr>
          <w:b/>
        </w:rPr>
        <w:t>Abstract</w:t>
      </w:r>
    </w:p>
    <w:p>
      <w:pPr>
        <w:pStyle w:val="MDPI17abstract"/>
      </w:pPr>
      <w:r>
        <w:t xml:space="preserve">Fault detection in networked cyber-physical systems (CPS), which form the sensing and actuation layer of industrial Internet-of-Things deployments, is difficult because faults are rare and poorly represented in available data. Detection must therefore rely on models of normal behaviour rather than representative fault examples. However, existing AI methods often fail because they ignore the unique structure of CPS, where stochastic behaviour is constrained by physical laws, engineered control logic, and numerous operating regimes. More generally, normal CPS behaviour is not a single distribution, but a union of many imbalanced, curved, and sparsely populated regimes. We formalize this structure through ten assumptions, A1–A10, summarized as</w:t>
      </w:r>
      <w:r>
        <w:t xml:space="preserve"> </w:t>
      </w:r>
      <w:r>
        <w:rPr>
          <w:i/>
          <w:iCs/>
        </w:rPr>
        <w:t xml:space="preserve">Massive, Implicit, Imbalanced Multimodality</w:t>
      </w:r>
      <w:r>
        <w:t xml:space="preserve"> </w:t>
      </w:r>
      <w:r>
        <w:t xml:space="preserve">(MIIM). Based on these assumptions, we jointly learn a latent representation and a Gaussian-mixture clustering of operating modes. Anomaly scores are computed directly in latent space rather than from a density estimate or reconstruction error. We evaluate the method using raw point-wise metrics, a split between easy and difficult cases defined by a trivial detector, prevalence-matched F1, and calibration using normal training data. Across WADI, HAI, and SKAB, the method performs best overall and on difficult subsets, achieving AUROC values of 0.831, 0.726, and 0.610, respectively. Gains are strongest on multimodal datasets and remain consistent against USAD, TranAD, and GDN. The contributions are the MIIM assumptions, the difficulty-stratified protocol, and a latent-only anomaly score.</w:t>
      </w:r>
    </w:p>
    <w:p>
      <w:pPr>
        <w:pStyle w:val="MDPI18keywords"/>
        <w:ind w:left="2608"/>
      </w:pPr>
      <w:r>
        <w:rPr>
          <w:b/>
          <w:bCs/>
        </w:rPr>
        <w:t xml:space="preserve">Keywords:</w:t>
      </w:r>
      <w:r>
        <w:t xml:space="preserve"> </w:t>
      </w:r>
      <w:r>
        <w:t xml:space="preserve">anomaly detection; cyber-physical systems; Internet of Things; industrial IoT; unsupervised learning; variational deep embedding; Gaussian mixture model; sensor time series; fault detection</w:t>
      </w:r>
    </w:p>
    <w:p>
      <w:pPr>
        <w:pStyle w:val="MDPI21heading1"/>
        <w:ind w:left="2608"/>
      </w:pPr>
      <w:r>
        <w:t xml:space="preserve">1  Introduction</w:t>
      </w:r>
    </w:p>
    <w:p>
      <w:pPr>
        <w:pStyle w:val="MDPI32textnoindent"/>
        <w:ind w:left="2608"/>
      </w:pPr>
      <w:r>
        <w:t xml:space="preserve">A modern cyber-physical system (CPS), whether a water-treatment plant, an industrial control loop, or a rotating machine, integrates hundreds of networked sensors, embedded controllers, and physical actuators, the sensing-and-actuation fabric of the industrial Internet of Things (IoT),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22</w:t>
        </w:r>
      </w:hyperlink>
      <w:r>
        <w:t xml:space="preserve">]. That behaviour is richly observable: high-frequency measurements of vibration, current, temperature, pressure, and position, together with internal control signals, are streamed continuously from the device’s sensors as IoT telemetry and, in principle, carry an early signature of almost any developing fault.</w:t>
      </w:r>
    </w:p>
    <w:p>
      <w:pPr>
        <w:pStyle w:val="MDPI31text"/>
        <w:ind w:left="2608"/>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24</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31text"/>
        <w:ind w:left="2608"/>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MDPI31text"/>
        <w:ind w:left="2608"/>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1</w:t>
        </w:r>
      </w:hyperlink>
      <w:r>
        <w:t xml:space="preserve">,</w:t>
      </w:r>
      <w:r>
        <w:t xml:space="preserve"> </w:t>
      </w:r>
      <w:hyperlink w:anchor="r-garg">
        <w:r>
          <w:rPr>
            <w:rStyle w:val="Hyperlink"/>
          </w:rPr>
          <w:t xml:space="preserve">2</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MDPI31text"/>
        <w:ind w:left="2608"/>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with two optional heads auto-gated on training-normal</w:t>
      </w:r>
      <w:r>
        <w:t xml:space="preserve"> </w:t>
      </w:r>
      <w:r>
        <w:t xml:space="preserve">signals; a key mechanism inside it is dropping the reconstruction term, which is blind to the hard faults</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prevalence-matched comparisons, train-normal-only calibration) on</w:t>
      </w:r>
      <w:r>
        <w:t xml:space="preserve"> </w:t>
      </w:r>
      <w:r>
        <w:t xml:space="preserve">three real CPS datasets, and compare against classical baselines and against three deep detectors, USAD,</w:t>
      </w:r>
      <w:r>
        <w:t xml:space="preserve"> </w:t>
      </w:r>
      <w:r>
        <w:t xml:space="preserve">TranAD and GDN, re-computed with the same raw metrics (§5–6). The detector wins the combined</w:t>
      </w:r>
      <w:r>
        <w:t xml:space="preserve"> </w:t>
      </w:r>
      <w:r>
        <w:t xml:space="preserve">column and the difficult column on all three datasets, with the largest margins precisely where the MIIM</w:t>
      </w:r>
      <w:r>
        <w:t xml:space="preserve"> </w:t>
      </w:r>
      <w:r>
        <w:t xml:space="preserve">structure is strongest and the slimmest on the one near-unimodal set.</w:t>
      </w:r>
    </w:p>
    <w:p>
      <w:pPr>
        <w:pStyle w:val="MDPI31text"/>
        <w:ind w:left="2608"/>
      </w:pPr>
      <w:r>
        <w:t xml:space="preserve">We are explicit about scope. This study covers three datasets with a single trained model</w:t>
      </w:r>
      <w:r>
        <w:t xml:space="preserve"> </w:t>
      </w:r>
      <w:r>
        <w:t xml:space="preserve">per dataset; several results are single-seed and the best-F1 threshold is an oracle (disclosed in §5). We</w:t>
      </w:r>
      <w:r>
        <w:t xml:space="preserve"> </w:t>
      </w:r>
      <w:r>
        <w:t xml:space="preserve">report only raw metrics and we treat the difficult subset, not the headline, as the discriminative test.</w:t>
      </w:r>
    </w:p>
    <w:p>
      <w:pPr>
        <w:pStyle w:val="MDPI21heading1"/>
        <w:ind w:left="2608"/>
      </w:pPr>
      <w:r>
        <w:t xml:space="preserve">2  Related work</w:t>
      </w:r>
    </w:p>
    <w:p>
      <w:pPr>
        <w:pStyle w:val="MDPI32textnoindent"/>
        <w:ind w:left="2608"/>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22</w:t>
        </w:r>
      </w:hyperlink>
      <w:r>
        <w:t xml:space="preserve">, </w:t>
      </w:r>
      <w:hyperlink w:anchor="r-pang">
        <w:r>
          <w:rPr>
            <w:rStyle w:val="Hyperlink"/>
          </w:rPr>
          <w:t xml:space="preserve">23</w:t>
        </w:r>
      </w:hyperlink>
      <w:r>
        <w:t xml:space="preserve">, </w:t>
      </w:r>
      <w:hyperlink w:anchor="r-ruff">
        <w:r>
          <w:rPr>
            <w:rStyle w:val="Hyperlink"/>
          </w:rPr>
          <w:t xml:space="preserve">24</w:t>
        </w:r>
      </w:hyperlink>
      <w:r>
        <w:t xml:space="preserve">]. On time series it must additionally respect temporal and cross-channel dependence [</w:t>
      </w:r>
      <w:hyperlink w:anchor="r-tsreview">
        <w:r>
          <w:rPr>
            <w:rStyle w:val="Hyperlink"/>
          </w:rPr>
          <w:t xml:space="preserve">25</w:t>
        </w:r>
      </w:hyperlink>
      <w:r>
        <w:t xml:space="preserve">], and on cyber-physical and industrial control systems it underpins physics-aware intrusion and fault detection [</w:t>
      </w:r>
      <w:hyperlink w:anchor="r-icssurvey">
        <w:r>
          <w:rPr>
            <w:rStyle w:val="Hyperlink"/>
          </w:rPr>
          <w:t xml:space="preserve">26</w:t>
        </w:r>
      </w:hyperlink>
      <w:r>
        <w:t xml:space="preserve">]. LatAD sits squarely in this line: unsupervised, trained on normal only, and specialised to the multimodal structure of cyber-physical normal behaviour.</w:t>
      </w:r>
    </w:p>
    <w:p>
      <w:pPr>
        <w:pStyle w:val="MDPI22heading2"/>
        <w:ind w:left="2608"/>
      </w:pPr>
      <w:r>
        <w:t xml:space="preserve">2.1  The illusion of progress in time-series anomaly-detection evaluation</w:t>
      </w:r>
    </w:p>
    <w:p>
      <w:pPr>
        <w:pStyle w:val="MDPI32textnoindent"/>
        <w:ind w:left="2608"/>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1</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2</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4</w:t>
        </w:r>
      </w:hyperlink>
      <w:r>
        <w:t xml:space="preserve">]</w:t>
      </w:r>
      <w:r>
        <w:t xml:space="preserve"> </w:t>
      </w:r>
      <w:r>
        <w:t xml:space="preserve">diagnose the point-adjustment reward structure and propose a rectified evaluation. The critique now spans metrics and benchmarks alike. Wu and Keogh</w:t>
      </w:r>
      <w:r>
        <w:t xml:space="preserve"> </w:t>
      </w:r>
      <w:r>
        <w:t xml:space="preserve">[</w:t>
      </w:r>
      <w:hyperlink w:anchor="r-wukeogh">
        <w:r>
          <w:rPr>
            <w:rStyle w:val="Hyperlink"/>
          </w:rPr>
          <w:t xml:space="preserve">3</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5</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w:t>
      </w:r>
    </w:p>
    <w:p>
      <w:pPr>
        <w:pStyle w:val="MDPI31text"/>
        <w:ind w:left="2608"/>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16</w:t>
        </w:r>
      </w:hyperlink>
      <w:r>
        <w:t xml:space="preserve">] show this assumption is unreliable, because anomalies lying far from normal data can be reconstructed perfectly in practice, and Gong et al. [</w:t>
      </w:r>
      <w:hyperlink w:anchor="r-memae">
        <w:r>
          <w:rPr>
            <w:rStyle w:val="Hyperlink"/>
          </w:rPr>
          <w:t xml:space="preserve">17</w:t>
        </w:r>
      </w:hyperlink>
      <w:r>
        <w:t xml:space="preserve">] earlier showed that a deep autoencoder generalises well enough to rebuild anomalies and miss them. This motivates scoring in a clustered latent rather than through a reconstruction residual. A position paper by Sarfraz et al. [</w:t>
      </w:r>
      <w:hyperlink w:anchor="r-sarfraz">
        <w:r>
          <w:rPr>
            <w:rStyle w:val="Hyperlink"/>
          </w:rPr>
          <w:t xml:space="preserve">18</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19</w:t>
        </w:r>
      </w:hyperlink>
      <w:r>
        <w:t xml:space="preserve">] re-audit the widely used multivariate benchmarks, discard the ones with erroneous labels, and note the absence of any standard evaluation metric.</w:t>
      </w:r>
    </w:p>
    <w:p>
      <w:pPr>
        <w:pStyle w:val="MDPI31text"/>
        <w:ind w:left="2608"/>
      </w:pPr>
      <w:r>
        <w:t xml:space="preserve">LatAD adopts this critique as its evaluation protocol: raw point-wise AUROC, F1 and FPR with no point</w:t>
      </w:r>
      <w:r>
        <w:t xml:space="preserve"> </w:t>
      </w:r>
      <w:r>
        <w:t xml:space="preserve">adjustment for any method; a trivial-detector difficulty split that separates the discriminative difficult</w:t>
      </w:r>
      <w:r>
        <w:t xml:space="preserve"> </w:t>
      </w:r>
      <w:r>
        <w:t xml:space="preserve">subset from the easy majority that carries headline numbers; prevalence-matched F1; and re-computation of the</w:t>
      </w:r>
      <w:r>
        <w:t xml:space="preserve"> </w:t>
      </w:r>
      <w:r>
        <w:t xml:space="preserve">deep SOTA baselines (USAD, TranAD, GDN) under the</w:t>
      </w:r>
      <w:r>
        <w:t xml:space="preserve"> </w:t>
      </w:r>
      <w:r>
        <w:rPr>
          <w:i/>
          <w:iCs/>
        </w:rPr>
        <w:t xml:space="preserve">same</w:t>
      </w:r>
      <w:r>
        <w:t xml:space="preserve"> </w:t>
      </w:r>
      <w:r>
        <w:t xml:space="preserve">raw metrics rather than their point-adjusted</w:t>
      </w:r>
      <w:r>
        <w:t xml:space="preserve"> </w:t>
      </w:r>
      <w:r>
        <w:t xml:space="preserve">published figures (§5).</w:t>
      </w:r>
    </w:p>
    <w:p>
      <w:pPr>
        <w:pStyle w:val="MDPI22heading2"/>
        <w:ind w:left="2608"/>
      </w:pPr>
      <w:r>
        <w:t xml:space="preserve">2.2  Latent and clustering models for anomaly detection</w:t>
      </w:r>
    </w:p>
    <w:p>
      <w:pPr>
        <w:pStyle w:val="MDPI32textnoindent"/>
        <w:ind w:left="2608"/>
      </w:pPr>
      <w:r>
        <w:t xml:space="preserve">Our representation is Variational Deep Embedding (VaDE) [</w:t>
      </w:r>
      <w:hyperlink w:anchor="r-vade">
        <w:r>
          <w:rPr>
            <w:rStyle w:val="Hyperlink"/>
          </w:rPr>
          <w:t xml:space="preserve">8</w:t>
        </w:r>
      </w:hyperlink>
      <w:r>
        <w:t xml:space="preserve">], a VAE with a Gaussian-mixture</w:t>
      </w:r>
      <w:r>
        <w:t xml:space="preserve"> </w:t>
      </w:r>
      <w:r>
        <w:t xml:space="preserve">latent prior that learns representation and clusters jointly. DAGMM [</w:t>
      </w:r>
      <w:hyperlink w:anchor="r-dagmm">
        <w:r>
          <w:rPr>
            <w:rStyle w:val="Hyperlink"/>
          </w:rPr>
          <w:t xml:space="preserve">9</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score against explicit per-mode Gaussians in a jointly learned latent rather than a</w:t>
      </w:r>
      <w:r>
        <w:t xml:space="preserve"> </w:t>
      </w:r>
      <w:r>
        <w:t xml:space="preserve">learned-Gaussian energy (§4). Our whitened residual uses the Ledoit–Wolf shrinkage</w:t>
      </w:r>
      <w:r>
        <w:t xml:space="preserve"> </w:t>
      </w:r>
      <w:r>
        <w:t xml:space="preserve">covariance estimator [</w:t>
      </w:r>
      <w:hyperlink w:anchor="r-lw">
        <w:r>
          <w:rPr>
            <w:rStyle w:val="Hyperlink"/>
          </w:rPr>
          <w:t xml:space="preserve">12</w:t>
        </w:r>
      </w:hyperlink>
      <w:r>
        <w:t xml:space="preserve">]. Classical baselines are Isolation Forest [</w:t>
      </w:r>
      <w:hyperlink w:anchor="r-if">
        <w:r>
          <w:rPr>
            <w:rStyle w:val="Hyperlink"/>
          </w:rPr>
          <w:t xml:space="preserve">11</w:t>
        </w:r>
      </w:hyperlink>
      <w:r>
        <w:t xml:space="preserve">] and a deep autoencoder [</w:t>
      </w:r>
      <w:hyperlink w:anchor="r-aead">
        <w:r>
          <w:rPr>
            <w:rStyle w:val="Hyperlink"/>
          </w:rPr>
          <w:t xml:space="preserve">21</w:t>
        </w:r>
      </w:hyperlink>
      <w:r>
        <w:t xml:space="preserve">], both fitted on the same window features, together with a trivial per-channel range detector that also defines the easy/difficult split.</w:t>
      </w:r>
    </w:p>
    <w:p>
      <w:pPr>
        <w:pStyle w:val="MDPI22heading2"/>
        <w:ind w:left="2608"/>
      </w:pPr>
      <w:r>
        <w:t xml:space="preserve">2.3  Deep multivariate CPS anomaly detection</w:t>
      </w:r>
    </w:p>
    <w:p>
      <w:pPr>
        <w:pStyle w:val="MDPI32textnoindent"/>
        <w:ind w:left="2608"/>
      </w:pPr>
      <w:r>
        <w:t xml:space="preserve">USAD [</w:t>
      </w:r>
      <w:hyperlink w:anchor="r-usad">
        <w:r>
          <w:rPr>
            <w:rStyle w:val="Hyperlink"/>
          </w:rPr>
          <w:t xml:space="preserve">6</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the modern SOTA on SWaT/WADI-style benchmarks. We compare against all three under the same raw,</w:t>
      </w:r>
      <w:r>
        <w:t xml:space="preserve"> </w:t>
      </w:r>
      <w:r>
        <w:t xml:space="preserve">difficulty-stratified metrics (GDN on WADI, where the graph-attention model fits our compute budget); the</w:t>
      </w:r>
      <w:r>
        <w:t xml:space="preserve"> </w:t>
      </w:r>
      <w:r>
        <w:t xml:space="preserve">re-scored comparison is reported in §6.</w:t>
      </w:r>
    </w:p>
    <w:p>
      <w:pPr>
        <w:pStyle w:val="MDPI22heading2"/>
        <w:ind w:left="2608"/>
      </w:pPr>
      <w:r>
        <w:t xml:space="preserve">2.4  Benchmark datasets</w:t>
      </w:r>
    </w:p>
    <w:p>
      <w:pPr>
        <w:pStyle w:val="MDPI32textnoindent"/>
        <w:ind w:left="2608"/>
      </w:pPr>
      <w:r>
        <w:t xml:space="preserve">We evaluate on three real CPS testbeds chosen to span the modality axis of the MIIM thesis. WADI [</w:t>
      </w:r>
      <w:hyperlink w:anchor="r-wadi">
        <w:r>
          <w:rPr>
            <w:rStyle w:val="Hyperlink"/>
          </w:rPr>
          <w:t xml:space="preserve">13</w:t>
        </w:r>
      </w:hyperlink>
      <w:r>
        <w:t xml:space="preserve">] is a 123-channel water-distribution testbed from iTrust, and SWaT [</w:t>
      </w:r>
      <w:hyperlink w:anchor="r-swat">
        <w:r>
          <w:rPr>
            <w:rStyle w:val="Hyperlink"/>
          </w:rPr>
          <w:t xml:space="preserve">20</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1</w:t>
        </w:r>
      </w:hyperlink>
      <w:r>
        <w:t xml:space="preserve">, </w:t>
      </w:r>
      <w:hyperlink w:anchor="r-wukeogh">
        <w:r>
          <w:rPr>
            <w:rStyle w:val="Hyperlink"/>
          </w:rPr>
          <w:t xml:space="preserve">3</w:t>
        </w:r>
      </w:hyperlink>
      <w:r>
        <w:t xml:space="preserve">]. HAI [</w:t>
      </w:r>
      <w:hyperlink w:anchor="r-hai">
        <w:r>
          <w:rPr>
            <w:rStyle w:val="Hyperlink"/>
          </w:rPr>
          <w:t xml:space="preserve">14</w:t>
        </w:r>
      </w:hyperlink>
      <w:r>
        <w:t xml:space="preserve">] is a 59-channel hardware-in-the-loop industrial control testbed spanning several coupled processes, the most strongly multimodal of the three. SKAB [</w:t>
      </w:r>
      <w:hyperlink w:anchor="r-skab">
        <w:r>
          <w:rPr>
            <w:rStyle w:val="Hyperlink"/>
          </w:rPr>
          <w:t xml:space="preserve">15</w:t>
        </w:r>
      </w:hyperlink>
      <w:r>
        <w:t xml:space="preserve">] is a smaller, contaminated 8-channel rotor and water-circulation benchmark, near-unimodal and, by our analysis, the only genuinely subtle set (a trivial univariate rule is near chance on it). We report WADI, HAI and SKAB, which contrast a large multimodal distribution network, a strongly multimodal plant and a near-unimodal rotor, so the difficulty-stratified results read directly against the MIIM structure of each dataset.</w:t>
      </w:r>
    </w:p>
    <w:p>
      <w:pPr>
        <w:pStyle w:val="MDPI21heading1"/>
        <w:ind w:left="2608"/>
      </w:pPr>
      <w:r>
        <w:t xml:space="preserve">3  The MIIM assumptions about CPS normal data</w:t>
      </w:r>
    </w:p>
    <w:p>
      <w:pPr>
        <w:pStyle w:val="MDPI32textnoindent"/>
        <w:ind w:left="2608"/>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MDPI41tablecaption"/>
        <w:ind w:left="2608"/>
      </w:pPr>
      <w:r>
        <w:rPr>
          <w:b/>
          <w:bCs/>
        </w:rPr>
        <w:t xml:space="preserve">Table 1.</w:t>
      </w:r>
      <w:r>
        <w:t xml:space="preserve"> </w:t>
      </w:r>
      <w:r>
        <w:t xml:space="preserve">The ten CPS normal-data assumptions, their physical origin, and the detector</w:t>
      </w:r>
      <w:r>
        <w:t xml:space="preserve"> </w:t>
      </w:r>
      <w:r>
        <w:t xml:space="preserve">design choice each motivates. A1–A8 shape the instantaneous window; A9–A10 shape the trajectory.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5"/>
        <w:gridCol w:w="1811"/>
        <w:gridCol w:w="3003"/>
        <w:gridCol w:w="254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 GMM prior of VaDE.</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Mode explosion</w:t>
            </w:r>
            <w:r>
              <w:rPr>
                <w:sz w:val="18"/>
                <w:szCs w:val="18"/>
              </w:rPr>
              <w:t xml:space="preserve"> </w:t>
            </w:r>
            <w:r>
              <w:rPr>
                <w:sz w:val="18"/>
                <w:szCs w:val="18"/>
              </w:rPr>
              <w:t xml:space="preserve">(exponential mode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mode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w:t>
            </w:r>
            <w:r>
              <w:rPr>
                <w:i/>
                <w:iCs/>
                <w:sz w:val="18"/>
                <w:szCs w:val="18"/>
              </w:rPr>
              <w:t xml:space="preserve">K</w:t>
            </w:r>
            <w:r>
              <w:rPr>
                <w:sz w:val="18"/>
                <w:szCs w:val="18"/>
              </w:rPr>
              <w:t xml:space="preserve"> </w:t>
            </w:r>
            <w:r>
              <w:rPr>
                <w:sz w:val="18"/>
                <w:szCs w:val="18"/>
              </w:rPr>
              <w:t xml:space="preserve">density head) rather than a handful.</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Hard envelopes</w:t>
            </w:r>
            <w:r>
              <w:rPr>
                <w:sz w:val="18"/>
                <w:szCs w:val="18"/>
              </w:rPr>
              <w:t xml:space="preserve"> </w:t>
            </w:r>
            <w:r>
              <w:rPr>
                <w:sz w:val="18"/>
                <w:szCs w:val="18"/>
              </w:rPr>
              <w:t xml:space="preserve">(bounded modes; thin between-mode pockets)</w:t>
            </w:r>
          </w:p>
        </w:tc>
        <w:tc>
          <w:tcPr>
            <w:vAlign w:val="center"/>
          </w:tcPr>
          <w:p>
            <w:pPr>
              <w:pStyle w:val="Compact"/>
              <w:suppressAutoHyphens/>
              <w:jc w:val="center"/>
            </w:pPr>
            <w:r>
              <w:rPr>
                <w:sz w:val="18"/>
                <w:szCs w:val="18"/>
              </w:rPr>
              <w:t xml:space="preserve">Controllers hold each regime within setpoint/actuator bands; the space between regimes is passed through, rarely dwelt in, leaving thin anomalous pockets.</w:t>
            </w:r>
          </w:p>
        </w:tc>
        <w:tc>
          <w:tcPr>
            <w:vAlign w:val="center"/>
          </w:tcPr>
          <w:p>
            <w:pPr>
              <w:pStyle w:val="Compact"/>
              <w:suppressAutoHyphens/>
              <w:jc w:val="center"/>
            </w:pPr>
            <w:r>
              <w:rPr>
                <w:sz w:val="18"/>
                <w:szCs w:val="18"/>
              </w:rPr>
              <w:t xml:space="preserve">A between-mode point must score anomalous even when every channel is in range: the basin-agreement head (v).</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(intra-mode sparsity)</w:t>
            </w:r>
          </w:p>
        </w:tc>
        <w:tc>
          <w:tcPr>
            <w:vAlign w:val="center"/>
          </w:tcPr>
          <w:p>
            <w:pPr>
              <w:pStyle w:val="Compact"/>
              <w:suppressAutoHyphens/>
              <w:jc w:val="center"/>
            </w:pPr>
            <w:r>
              <w:rPr>
                <w:sz w:val="18"/>
                <w:szCs w:val="18"/>
              </w:rPr>
              <w:t xml:space="preserve">Within a mode the system dwells near a typical operating point and reaches the edges only occasionally; each mode holds legitimate low-density regions near its boundary.</w:t>
            </w:r>
          </w:p>
        </w:tc>
        <w:tc>
          <w:tcPr>
            <w:vAlign w:val="center"/>
          </w:tcPr>
          <w:p>
            <w:pPr>
              <w:pStyle w:val="Compact"/>
              <w:suppressAutoHyphens/>
              <w:jc w:val="center"/>
            </w:pPr>
            <w:r>
              <w:rPr>
                <w:sz w:val="18"/>
                <w:szCs w:val="18"/>
              </w:rPr>
              <w:t xml:space="preserve">Density inside a mode is non-Gaussian → a parametric high-</w:t>
            </w:r>
            <w:r>
              <w:rPr>
                <w:i/>
                <w:iCs/>
                <w:sz w:val="18"/>
                <w:szCs w:val="18"/>
              </w:rPr>
              <w:t xml:space="preserve">K</w:t>
            </w:r>
            <w:r>
              <w:rPr>
                <w:sz w:val="18"/>
                <w:szCs w:val="18"/>
              </w:rPr>
              <w:t xml:space="preserve"> </w:t>
            </w:r>
            <w:r>
              <w:rPr>
                <w:sz w:val="18"/>
                <w:szCs w:val="18"/>
              </w:rPr>
              <w:t xml:space="preserve">mixture density head, not one Gaussian per mode.</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6–16 across datasets) suffices; faults appear as departures within that latent.</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manoeuvres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mode is not penalised (iii).</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modes)</w:t>
            </w:r>
          </w:p>
        </w:tc>
        <w:tc>
          <w:tcPr>
            <w:vAlign w:val="center"/>
          </w:tcPr>
          <w:p>
            <w:pPr>
              <w:pStyle w:val="Compact"/>
              <w:suppressAutoHyphens/>
              <w:jc w:val="center"/>
            </w:pPr>
            <w:r>
              <w:rPr>
                <w:sz w:val="18"/>
                <w:szCs w:val="18"/>
              </w:rPr>
              <w:t xml:space="preserve">True regimes are an emergent artifact of coupling and are not logged; modes must be discovered approximately from raw streams.</w:t>
            </w:r>
          </w:p>
        </w:tc>
        <w:tc>
          <w:tcPr>
            <w:vAlign w:val="center"/>
          </w:tcPr>
          <w:p>
            <w:pPr>
              <w:pStyle w:val="Compact"/>
              <w:suppressAutoHyphens/>
              <w:jc w:val="center"/>
            </w:pPr>
            <w:r>
              <w:rPr>
                <w:sz w:val="18"/>
                <w:szCs w:val="18"/>
              </w:rPr>
              <w:t xml:space="preserve">Discover modes jointly with the representation (VaDE), unsupervised; never use mode labels.</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(heterogeneous, typed channels)</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Per-feature standardisation on train-normal; a whitened (Mahalanobis) residual that respects per-channel scale and cross-channel correlation (iv).</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(but, empirically, does not require) explicit temporal features.</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it is inert (see §7), so the reported model is window-only.</w:t>
            </w:r>
          </w:p>
        </w:tc>
      </w:tr>
    </w:tbl>
    <w:p>
      <w:pPr>
        <w:pStyle w:val="MDPI31text"/>
        <w:ind w:left="2608"/>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p>
      <w:pPr>
        <w:pStyle w:val="MDPI21heading1"/>
        <w:ind w:left="2608"/>
      </w:pPr>
      <w:r>
        <w:t xml:space="preserve">4  Method</w:t>
      </w:r>
    </w:p>
    <w:p>
      <w:pPr>
        <w:pStyle w:val="MDPI32textnoindent"/>
        <w:ind w:left="2608"/>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p>
      <w:pPr>
        <w:pStyle w:val="MDPI31text"/>
        <w:ind w:left="2608"/>
      </w:pPr>
      <w:r>
        <w:t xml:space="preserve">The reported detector operationalizes assumptions A1–A8. The mixture representation (A1, A7), the high-</w:t>
      </w:r>
      <w:r>
        <w:rPr>
          <w:i/>
          <w:iCs/>
        </w:rPr>
        <w:t xml:space="preserve">K</w:t>
      </w:r>
      <w:r>
        <w:t xml:space="preserve"> </w:t>
      </w:r>
      <w:r>
        <w:t xml:space="preserve">density head (A2, A4), the low-dimensional latent (A5), the nearest-component score (A6) and per-feature</w:t>
      </w:r>
      <w:r>
        <w:t xml:space="preserve"> </w:t>
      </w:r>
      <w:r>
        <w:t xml:space="preserve">standardisation (A8) are always active; the whitened-residual head (A8) and the basin-agreement head (A3) are</w:t>
      </w:r>
      <w:r>
        <w:t xml:space="preserve"> </w:t>
      </w:r>
      <w:r>
        <w:rPr>
          <w:i/>
          <w:iCs/>
        </w:rPr>
        <w:t xml:space="preserve">auto-gated</w:t>
      </w:r>
      <w:r>
        <w:t xml:space="preserve"> </w:t>
      </w:r>
      <w:r>
        <w:t xml:space="preserve">on train-normal signals and switch on only where a dataset calls for them (the residual on HAI,</w:t>
      </w:r>
      <w:r>
        <w:t xml:space="preserve"> </w:t>
      </w:r>
      <w:r>
        <w:t xml:space="preserve">the basin where modes overlap), so an inapplicable head cannot backfire. This work therefore demonstrates a</w:t>
      </w:r>
      <w:r>
        <w:t xml:space="preserve"> </w:t>
      </w:r>
      <w:r>
        <w:t xml:space="preserve">detector that leverages the instantaneous-structure assumptions A1–A8, and shows they already deliver the</w:t>
      </w:r>
      <w:r>
        <w:t xml:space="preserve"> </w:t>
      </w:r>
      <w:r>
        <w:t xml:space="preserve">reported gains. Assumptions A9–A10 shape the trajectory rather than the window and are not exercised by these</w:t>
      </w:r>
      <w:r>
        <w:t xml:space="preserve"> </w:t>
      </w:r>
      <w:r>
        <w:t xml:space="preserve">snapshot-detectable public benchmarks; extending the detector to explicit multiscale-temporal features (A9) and</w:t>
      </w:r>
      <w:r>
        <w:t xml:space="preserve"> </w:t>
      </w:r>
      <w:r>
        <w:t xml:space="preserve">history-conditioned, path-dependent scoring (A10) is left to future work (§7).</w:t>
      </w:r>
    </w:p>
    <w:p>
      <w:pPr>
        <w:pStyle w:val="MDPI22heading2"/>
        <w:ind w:left="2608"/>
      </w:pPr>
      <w:r>
        <w:t xml:space="preserve">4.1  Representation: Variational Deep Embedding (VaDE)</w:t>
      </w:r>
    </w:p>
    <w:p>
      <w:pPr>
        <w:pStyle w:val="MDPI32textnoindent"/>
        <w:ind w:left="2608"/>
      </w:pPr>
      <w:r>
        <w:t xml:space="preserve">VaDE [</w:t>
      </w:r>
      <w:hyperlink w:anchor="r-vade">
        <w:r>
          <w:rPr>
            <w:rStyle w:val="Hyperlink"/>
          </w:rPr>
          <w:t xml:space="preserve">8</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MDPI39equation"/>
        <w:ind w:left="2608"/>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MDPI39equation"/>
        <w:ind w:left="2608"/>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MDPI32textnoindent"/>
        <w:ind w:left="2608"/>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9</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p>
      <w:pPr>
        <w:pStyle w:val="MDPI22heading2"/>
        <w:ind w:left="2608"/>
      </w:pPr>
      <w:r>
        <w:t xml:space="preserve">4.2  Scoring: why we drop reconstruction</w:t>
      </w:r>
    </w:p>
    <w:p>
      <w:pPr>
        <w:pStyle w:val="MDPI32textnoindent"/>
        <w:ind w:left="2608"/>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MDPI41tablecaption"/>
        <w:ind w:left="2608"/>
      </w:pPr>
      <w:r>
        <w:rPr>
          <w:b/>
          <w:bCs/>
        </w:rPr>
        <w:t xml:space="preserve">Table 2.</w:t>
      </w:r>
      <w:r>
        <w:t xml:space="preserve"> </w:t>
      </w:r>
      <w:r>
        <w:t xml:space="preserve">Difficult-subset AUROC of the two natural score terms. The reconstruction</w:t>
      </w:r>
      <w:r>
        <w:t xml:space="preserve"> </w:t>
      </w:r>
      <w:r>
        <w:t xml:space="preserve">residual is at or below chance on the correlation-break faults, and when summed it drags the joint score down;</w:t>
      </w:r>
      <w:r>
        <w:t xml:space="preserve"> </w:t>
      </w:r>
      <w:r>
        <w:t xml:space="preserve">the latent likelihood carries the signal but a single diagonal Gaussian per mode is coarse.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722"/>
        <w:gridCol w:w="1084"/>
        <w:gridCol w:w="975"/>
        <w:gridCol w:w="1077"/>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SKAB</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rPr>
              <w:t xml:space="preserve">0.490</w:t>
            </w:r>
          </w:p>
        </w:tc>
        <w:tc>
          <w:tcPr>
            <w:vAlign w:val="center"/>
          </w:tcPr>
          <w:p>
            <w:pPr>
              <w:pStyle w:val="Compact"/>
              <w:suppressAutoHyphens/>
              <w:jc w:val="center"/>
            </w:pPr>
            <w:r>
              <w:rPr>
                <w:sz w:val="18"/>
                <w:szCs w:val="18"/>
              </w:rPr>
              <w:t xml:space="preserve">0.689</w:t>
            </w:r>
          </w:p>
        </w:tc>
        <w:tc>
          <w:tcPr>
            <w:vAlign w:val="center"/>
          </w:tcPr>
          <w:p>
            <w:pPr>
              <w:pStyle w:val="Compact"/>
              <w:suppressAutoHyphens/>
              <w:jc w:val="center"/>
            </w:pPr>
            <w:r>
              <w:rPr>
                <w:sz w:val="18"/>
                <w:szCs w:val="18"/>
              </w:rPr>
              <w:t xml:space="preserve">0.457</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rPr>
              <w:t xml:space="preserve">0.663</w:t>
            </w:r>
          </w:p>
        </w:tc>
        <w:tc>
          <w:tcPr>
            <w:vAlign w:val="center"/>
          </w:tcPr>
          <w:p>
            <w:pPr>
              <w:pStyle w:val="Compact"/>
              <w:suppressAutoHyphens/>
              <w:jc w:val="center"/>
            </w:pPr>
            <w:r>
              <w:rPr>
                <w:sz w:val="18"/>
                <w:szCs w:val="18"/>
              </w:rPr>
              <w:t xml:space="preserve">0.760</w:t>
            </w:r>
          </w:p>
        </w:tc>
        <w:tc>
          <w:tcPr>
            <w:vAlign w:val="center"/>
          </w:tcPr>
          <w:p>
            <w:pPr>
              <w:pStyle w:val="Compact"/>
              <w:suppressAutoHyphens/>
              <w:jc w:val="center"/>
            </w:pPr>
            <w:r>
              <w:rPr>
                <w:sz w:val="18"/>
                <w:szCs w:val="18"/>
              </w:rPr>
              <w:t xml:space="preserve">0.553</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rPr>
              <w:t xml:space="preserve">0.494</w:t>
            </w:r>
          </w:p>
        </w:tc>
        <w:tc>
          <w:tcPr>
            <w:vAlign w:val="center"/>
          </w:tcPr>
          <w:p>
            <w:pPr>
              <w:pStyle w:val="Compact"/>
              <w:suppressAutoHyphens/>
              <w:jc w:val="center"/>
            </w:pPr>
            <w:r>
              <w:rPr>
                <w:sz w:val="18"/>
                <w:szCs w:val="18"/>
              </w:rPr>
              <w:t xml:space="preserve">0.689</w:t>
            </w:r>
          </w:p>
        </w:tc>
        <w:tc>
          <w:tcPr>
            <w:vAlign w:val="center"/>
          </w:tcPr>
          <w:p>
            <w:pPr>
              <w:pStyle w:val="Compact"/>
              <w:suppressAutoHyphens/>
              <w:jc w:val="center"/>
            </w:pPr>
            <w:r>
              <w:rPr>
                <w:sz w:val="18"/>
                <w:szCs w:val="18"/>
              </w:rPr>
              <w:t xml:space="preserve">0.457</w:t>
            </w:r>
          </w:p>
        </w:tc>
      </w:tr>
    </w:tbl>
    <w:p>
      <w:pPr>
        <w:pStyle w:val="MDPI31text"/>
        <w:ind w:left="2608"/>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Dropping</w:t>
      </w:r>
      <w:r>
        <w:t xml:space="preserve"> </w:t>
      </w:r>
      <w:r>
        <w:t xml:space="preserve">reconstruction is a universal difficult-subset improvement and also lifts the combined and easy columns on HAI</w:t>
      </w:r>
      <w:r>
        <w:t xml:space="preserve"> </w:t>
      </w:r>
      <w:r>
        <w:t xml:space="preserve">and SKAB. The remaining scoring stack works entirely in the jointly learned latent.</w:t>
      </w:r>
    </w:p>
    <w:p>
      <w:pPr>
        <w:pStyle w:val="MDPI22heading2"/>
        <w:ind w:left="2608"/>
      </w:pPr>
      <w:r>
        <w:t xml:space="preserve">4.3  The scoring stack</w:t>
      </w:r>
    </w:p>
    <w:p>
      <w:pPr>
        <w:pStyle w:val="MDPI32textnoindent"/>
        <w:ind w:left="2608"/>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p>
      <w:pPr>
        <w:pStyle w:val="MDPI23heading3"/>
        <w:ind w:left="2608"/>
      </w:pPr>
      <w:r>
        <w:t xml:space="preserve">(i)–(ii) Latent mixture-density head (parametric KDE for non-Gaussian pockets)</w:t>
      </w:r>
    </w:p>
    <w:p>
      <w:pPr>
        <w:pStyle w:val="MDPI32textnoindent"/>
        <w:ind w:left="2608"/>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MDPI39equation"/>
        <w:ind w:left="2608"/>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t xml:space="preserve">(iii) Nearest-component NLL (rare-mode-safe)</w:t>
      </w:r>
    </w:p>
    <w:p>
      <w:pPr>
        <w:pStyle w:val="MDPI32textnoindent"/>
        <w:ind w:left="2608"/>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MDPI39equation"/>
        <w:ind w:left="2608"/>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Using the maximum over components rather than the Bayesian mixture sum matters on between-mode faults (SKAB):</w:t>
      </w:r>
      <w:r>
        <w:t xml:space="preserve"> </w:t>
      </w:r>
      <w:r>
        <w:t xml:space="preserve">the mixture sum washes out a between-mode signal, whereas the nearest-component distance retains it.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p>
      <w:pPr>
        <w:pStyle w:val="MDPI23heading3"/>
        <w:ind w:left="2608"/>
      </w:pPr>
      <w:r>
        <w:t xml:space="preserve">(iv) Optional responsibility-weighted whitened residual, auto-gated</w:t>
      </w:r>
    </w:p>
    <w:p>
      <w:pPr>
        <w:pStyle w:val="MDPI32textnoindent"/>
        <w:ind w:left="2608"/>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12</w:t>
        </w:r>
      </w:hyperlink>
      <w:r>
        <w:t xml:space="preserve">] precision per mode, and combines the per-mode whitened</w:t>
      </w:r>
      <w:r>
        <w:t xml:space="preserve"> </w:t>
      </w:r>
      <w:r>
        <w:t xml:space="preserve">energies by responsibility:</w:t>
      </w:r>
    </w:p>
    <w:p>
      <w:pPr>
        <w:pStyle w:val="MDPI39equation"/>
        <w:ind w:left="2608"/>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32textnoindent"/>
        <w:ind w:left="2608"/>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p>
      <w:pPr>
        <w:pStyle w:val="MDPI23heading3"/>
        <w:ind w:left="2608"/>
      </w:pPr>
      <w:r>
        <w:t xml:space="preserve">(v) Optional basin-agreement rescue, auto-scaled</w:t>
      </w:r>
    </w:p>
    <w:p>
      <w:pPr>
        <w:pStyle w:val="MDPI32textnoindent"/>
        <w:ind w:left="2608"/>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MDPI39equation"/>
        <w:ind w:left="2608"/>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MDPI32textnoindent"/>
        <w:ind w:left="2608"/>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on</w:t>
      </w:r>
      <w:r>
        <w:t xml:space="preserve"> </w:t>
      </w:r>
      <w:r>
        <w:t xml:space="preserve">SKAB (50% ambiguous normals) it fires. Thus the reported model configures its two optional heads purely from</w:t>
      </w:r>
      <w:r>
        <w:t xml:space="preserve"> </w:t>
      </w:r>
      <w:r>
        <w:t xml:space="preserve">training-normal statistics, with no test-set tuning: the residual head fires on HAI, the basin head on SKAB,</w:t>
      </w:r>
      <w:r>
        <w:t xml:space="preserve"> </w:t>
      </w:r>
      <w:r>
        <w:t xml:space="preserve">and neither on WADI.</w:t>
      </w:r>
    </w:p>
    <w:p>
      <w:pPr>
        <w:pStyle w:val="MDPI31text"/>
        <w:ind w:left="2608"/>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on; WADI: off; SKAB: negligible on). The</w:t>
      </w:r>
      <w:r>
        <w:t xml:space="preserve"> </w:t>
      </w:r>
      <w:r>
        <w:t xml:space="preserve">basin head (v) fires when train-normal modes overlap (SKAB: on; WADI/HAI: exact no-op). All calibration uses</w:t>
      </w:r>
      <w:r>
        <w:t xml:space="preserve"> </w:t>
      </w:r>
      <w:r>
        <w:t xml:space="preserve">train-normal only.</w:t>
      </w:r>
    </w:p>
    <w:p>
      <w:pPr>
        <w:pStyle w:val="MDPI21heading1"/>
        <w:ind w:left="2608"/>
      </w:pPr>
      <w:r>
        <w:t xml:space="preserve">5  Experimental methodology</w:t>
      </w:r>
    </w:p>
    <w:p>
      <w:pPr>
        <w:pStyle w:val="MDPI22heading2"/>
        <w:ind w:left="2608"/>
      </w:pPr>
      <w:r>
        <w:t xml:space="preserve">5.1  Datasets</w:t>
      </w:r>
    </w:p>
    <w:p>
      <w:pPr>
        <w:pStyle w:val="MDPI32textnoindent"/>
        <w:ind w:left="2608"/>
      </w:pPr>
      <w:r>
        <w:t xml:space="preserve">We use three real CPS datasets and no synthetic data in the results tables.</w:t>
      </w:r>
    </w:p>
    <w:p>
      <w:pPr>
        <w:pStyle w:val="MDPI38bullet"/>
        <w:numPr>
          <w:ilvl w:val="0"/>
          <w:numId w:val="2"/>
        </w:numPr>
        <w:ind w:left="3328" w:hanging="360"/>
      </w:pPr>
      <w:r>
        <w:rPr>
          <w:b/>
          <w:bCs/>
        </w:rPr>
        <w:t xml:space="preserve">WADI</w:t>
      </w:r>
      <w:r>
        <w:t xml:space="preserve"> </w:t>
      </w:r>
      <w:r>
        <w:t xml:space="preserve">[</w:t>
      </w:r>
      <w:hyperlink w:anchor="r-wadi">
        <w:r>
          <w:rPr>
            <w:rStyle w:val="Hyperlink"/>
          </w:rPr>
          <w:t xml:space="preserve">13</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MDPI38bullet"/>
        <w:numPr>
          <w:ilvl w:val="0"/>
          <w:numId w:val="2"/>
        </w:numPr>
        <w:ind w:left="3328" w:hanging="360"/>
      </w:pPr>
      <w:r>
        <w:rPr>
          <w:b/>
          <w:bCs/>
        </w:rPr>
        <w:t xml:space="preserve">HAI</w:t>
      </w:r>
      <w:r>
        <w:t xml:space="preserve"> </w:t>
      </w:r>
      <w:r>
        <w:t xml:space="preserve">[</w:t>
      </w:r>
      <w:hyperlink w:anchor="r-hai">
        <w:r>
          <w:rPr>
            <w:rStyle w:val="Hyperlink"/>
          </w:rPr>
          <w:t xml:space="preserve">14</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MDPI38bullet"/>
        <w:numPr>
          <w:ilvl w:val="0"/>
          <w:numId w:val="2"/>
        </w:numPr>
        <w:ind w:left="3328" w:hanging="360"/>
      </w:pPr>
      <w:r>
        <w:rPr>
          <w:b/>
          <w:bCs/>
        </w:rPr>
        <w:t xml:space="preserve">SKAB</w:t>
      </w:r>
      <w:r>
        <w:t xml:space="preserve"> </w:t>
      </w:r>
      <w:r>
        <w:t xml:space="preserve">[</w:t>
      </w:r>
      <w:hyperlink w:anchor="r-skab">
        <w:r>
          <w:rPr>
            <w:rStyle w:val="Hyperlink"/>
          </w:rPr>
          <w:t xml:space="preserve">15</w:t>
        </w:r>
      </w:hyperlink>
      <w:r>
        <w:t xml:space="preserve">], the Skoltech Anomaly Benchmark, an 8-channel</w:t>
      </w:r>
      <w:r>
        <w:t xml:space="preserve"> </w:t>
      </w:r>
      <w:r>
        <w:t xml:space="preserve">rotor/water-circulation testbed, contaminated and near-unimodal; the only genuinely subtle set (a trivial</w:t>
      </w:r>
      <w:r>
        <w:t xml:space="preserve"> </w:t>
      </w:r>
      <w:r>
        <w:t xml:space="preserve">univariate rule is near chance).</w:t>
      </w:r>
    </w:p>
    <w:p>
      <w:pPr>
        <w:pStyle w:val="MDPI22heading2"/>
        <w:ind w:left="2608"/>
      </w:pPr>
      <w:r>
        <w:t xml:space="preserve">5.2  Windows and features</w:t>
      </w:r>
    </w:p>
    <w:p>
      <w:pPr>
        <w:pStyle w:val="MDPI32textnoindent"/>
        <w:ind w:left="2608"/>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so the numbers match the sweep harness (</w:t>
      </w:r>
      <m:oMath>
        <m:r>
          <m:t>W</m:t>
        </m:r>
        <m:r>
          <m:rPr>
            <m:sty m:val="p"/>
          </m:rPr>
          <m:t>=</m:t>
        </m:r>
        <m:r>
          <m:t>60</m:t>
        </m:r>
      </m:oMath>
      <w:r>
        <w:t xml:space="preserve"> </w:t>
      </w:r>
      <w:r>
        <w:t xml:space="preserve">is also the empirically best SKAB window: 0.671 vs 0.66 at</w:t>
      </w:r>
      <w:r>
        <w:t xml:space="preserve"> </w:t>
      </w:r>
      <m:oMath>
        <m:r>
          <m:t>W</m:t>
        </m:r>
        <m:r>
          <m:rPr>
            <m:sty m:val="p"/>
          </m:rPr>
          <m:t>=</m:t>
        </m:r>
        <m:r>
          <m:t>30</m:t>
        </m:r>
      </m:oMath>
      <w:r>
        <w:t xml:space="preserve"> </w:t>
      </w:r>
      <w:r>
        <w:t xml:space="preserve">and 0.61 at</w:t>
      </w:r>
      <w:r>
        <w:t xml:space="preserve"> </w:t>
      </w:r>
      <m:oMath>
        <m:r>
          <m:t>W</m:t>
        </m:r>
        <m:r>
          <m:rPr>
            <m:sty m:val="p"/>
          </m:rPr>
          <m:t>=</m:t>
        </m:r>
        <m:r>
          <m:t>120</m:t>
        </m:r>
      </m:oMath>
      <w:r>
        <w:t xml:space="preserve">). We also tested explicit multiscale temporal</w:t>
      </w:r>
      <w:r>
        <w:t xml:space="preserve"> </w:t>
      </w:r>
      <w:r>
        <w:t xml:space="preserve">features (slope, velocity, spectral band power) motivated by A9; they did not improve the difficult column on</w:t>
      </w:r>
      <w:r>
        <w:t xml:space="preserve"> </w:t>
      </w:r>
      <w:r>
        <w:t xml:space="preserve">any dataset and are not used in the reported model.</w:t>
      </w:r>
    </w:p>
    <w:p>
      <w:pPr>
        <w:pStyle w:val="MDPI22heading2"/>
        <w:ind w:left="2608"/>
      </w:pPr>
      <w:r>
        <w:t xml:space="preserve">5.3  Difficulty stratification</w:t>
      </w:r>
    </w:p>
    <w:p>
      <w:pPr>
        <w:pStyle w:val="MDPI32textnoindent"/>
        <w:ind w:left="2608"/>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therefore the</w:t>
      </w:r>
      <w:r>
        <w:t xml:space="preserve"> </w:t>
      </w:r>
      <w:r>
        <w:t xml:space="preserve">correlation/dynamics faults that no univariate range rule separates.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p>
      <w:pPr>
        <w:pStyle w:val="MDPI22heading2"/>
        <w:ind w:left="2608"/>
      </w:pPr>
      <w:r>
        <w:t xml:space="preserve">5.4  Comparable metrics</w:t>
      </w:r>
    </w:p>
    <w:p>
      <w:pPr>
        <w:pStyle w:val="MDPI32textnoindent"/>
        <w:ind w:left="2608"/>
      </w:pPr>
      <w:r>
        <w:t xml:space="preserve">We report three raw, point-wise metrics and are explicit about their comparability across subsets.</w:t>
      </w:r>
    </w:p>
    <w:p>
      <w:pPr>
        <w:pStyle w:val="MDPI38bullet"/>
        <w:numPr>
          <w:ilvl w:val="0"/>
          <w:numId w:val="2"/>
        </w:numPr>
        <w:ind w:left="3328" w:hanging="360"/>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w:t>
      </w:r>
    </w:p>
    <w:p>
      <w:pPr>
        <w:pStyle w:val="MDPI38bullet"/>
        <w:numPr>
          <w:ilvl w:val="0"/>
          <w:numId w:val="2"/>
        </w:numPr>
        <w:ind w:left="3328" w:hanging="360"/>
      </w:pPr>
      <w:r>
        <w:rPr>
          <w:b/>
          <w:bCs/>
        </w:rPr>
        <w:t xml:space="preserve">F1</w:t>
      </w:r>
      <w:r>
        <w:t xml:space="preserve"> </w:t>
      </w:r>
      <w:r>
        <w:t xml:space="preserve">is prevalence-dependent. Because the three subsets share the same normals but differ in</w:t>
      </w:r>
      <w:r>
        <w:t xml:space="preserve"> </w:t>
      </w:r>
      <w:r>
        <w:t xml:space="preserve">positive count, raw F1 is not comparable across them; we therefore report F1</w:t>
      </w:r>
      <w:r>
        <w:t xml:space="preserve"> </w:t>
      </w:r>
      <w:r>
        <w:rPr>
          <w:i/>
          <w:iCs/>
        </w:rPr>
        <w:t xml:space="preserve">prevalence-matched</w:t>
      </w:r>
      <w:r>
        <w:t xml:space="preserve"> </w:t>
      </w:r>
      <w:r>
        <w:t xml:space="preserve">by</w:t>
      </w:r>
      <w:r>
        <w:t xml:space="preserve"> </w:t>
      </w:r>
      <w:r>
        <w:t xml:space="preserve">subsampling normals to the All-subset anomaly ratio, and we disclose the matched normal count per subset. The</w:t>
      </w:r>
      <w:r>
        <w:t xml:space="preserve"> </w:t>
      </w:r>
      <w:r>
        <w:t xml:space="preserve">threshold is the F1-maximising one (an oracle, field-standard), which we disclose plainly.</w:t>
      </w:r>
    </w:p>
    <w:p>
      <w:pPr>
        <w:pStyle w:val="MDPI38bullet"/>
        <w:numPr>
          <w:ilvl w:val="0"/>
          <w:numId w:val="2"/>
        </w:numPr>
        <w:ind w:left="3328" w:hanging="360"/>
      </w:pPr>
      <w:r>
        <w:rPr>
          <w:b/>
          <w:bCs/>
        </w:rPr>
        <w:t xml:space="preserve">FPR</w:t>
      </w:r>
      <w:r>
        <w:t xml:space="preserve"> </w:t>
      </w:r>
      <w:r>
        <w:t xml:space="preserve">is reported at a fixed operating point. It shares the oracle-threshold caveat.</w:t>
      </w:r>
    </w:p>
    <w:p>
      <w:pPr>
        <w:pStyle w:val="MDPI32textnoindent"/>
        <w:ind w:left="2608"/>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F1/FPR thresholds use the test-swept oracle, which we</w:t>
      </w:r>
      <w:r>
        <w:t xml:space="preserve"> </w:t>
      </w:r>
      <w:r>
        <w:t xml:space="preserve">flag.</w:t>
      </w:r>
    </w:p>
    <w:p>
      <w:pPr>
        <w:pStyle w:val="MDPI22heading2"/>
        <w:ind w:left="2608"/>
      </w:pPr>
      <w:r>
        <w:t xml:space="preserve">5.5  Baselines and SOTA re-computation</w:t>
      </w:r>
    </w:p>
    <w:p>
      <w:pPr>
        <w:pStyle w:val="MDPI32textnoindent"/>
        <w:ind w:left="2608"/>
      </w:pPr>
      <w:r>
        <w:t xml:space="preserve">Classical baselines are Isolation Forest [</w:t>
      </w:r>
      <w:hyperlink w:anchor="r-if">
        <w:r>
          <w:rPr>
            <w:rStyle w:val="Hyperlink"/>
          </w:rPr>
          <w:t xml:space="preserve">11</w:t>
        </w:r>
      </w:hyperlink>
      <w:r>
        <w:t xml:space="preserve">] and a deep autoencoder, both on the same</w:t>
      </w:r>
      <w:r>
        <w:t xml:space="preserve"> </w:t>
      </w:r>
      <w:r>
        <w:t xml:space="preserve">window features, plus a plain VaDE with the naive whitened-residual-plus-latent-NLL score. For modern SOTA we re-run USAD</w:t>
      </w:r>
      <w:r>
        <w:t xml:space="preserve"> </w:t>
      </w:r>
      <w:r>
        <w:t xml:space="preserve">[</w:t>
      </w:r>
      <w:hyperlink w:anchor="r-usad">
        <w:r>
          <w:rPr>
            <w:rStyle w:val="Hyperlink"/>
          </w:rPr>
          <w:t xml:space="preserve">6</w:t>
        </w:r>
      </w:hyperlink>
      <w:r>
        <w:t xml:space="preserve">], TranAD [</w:t>
      </w:r>
      <w:hyperlink w:anchor="r-tranad">
        <w:r>
          <w:rPr>
            <w:rStyle w:val="Hyperlink"/>
          </w:rPr>
          <w:t xml:space="preserve">7</w:t>
        </w:r>
      </w:hyperlink>
      <w:r>
        <w:t xml:space="preserve">] and GDN [</w:t>
      </w:r>
      <w:hyperlink w:anchor="r-gdn">
        <w:r>
          <w:rPr>
            <w:rStyle w:val="Hyperlink"/>
          </w:rPr>
          <w:t xml:space="preserve">10</w:t>
        </w:r>
      </w:hyperlink>
      <w:r>
        <w:t xml:space="preserve">] through</w:t>
      </w:r>
      <w:r>
        <w:t xml:space="preserve"> </w:t>
      </w:r>
      <w:r>
        <w:t xml:space="preserve">the TranAD evaluation harness and score them with the</w:t>
      </w:r>
      <w:r>
        <w:t xml:space="preserve"> </w:t>
      </w:r>
      <w:r>
        <w:rPr>
          <w:i/>
          <w:iCs/>
        </w:rPr>
        <w:t xml:space="preserve">same raw point-wise metrics</w:t>
      </w:r>
      <w:r>
        <w:t xml:space="preserve">, aggregating their</w:t>
      </w:r>
      <w:r>
        <w:t xml:space="preserve"> </w:t>
      </w:r>
      <w:r>
        <w:t xml:space="preserve">per-timestep scores onto our window grid (with an integer-ratio upsampling correction for HAI's downsampling).</w:t>
      </w:r>
      <w:r>
        <w:t xml:space="preserve"> </w:t>
      </w:r>
      <w:r>
        <w:t xml:space="preserve">GDN, whose graph-attention model does not fit HAI/SKAB within our compute budget, is reported</w:t>
      </w:r>
      <w:r>
        <w:t xml:space="preserve"> </w:t>
      </w:r>
      <w:r>
        <w:t xml:space="preserve">on WADI.</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p>
      <w:pPr>
        <w:pStyle w:val="MDPI21heading1"/>
        <w:ind w:left="2608"/>
      </w:pPr>
      <w:r>
        <w:t xml:space="preserve">6  Results</w:t>
      </w:r>
    </w:p>
    <w:p>
      <w:pPr>
        <w:pStyle w:val="MDPI32textnoindent"/>
        <w:ind w:left="2608"/>
      </w:pPr>
      <w:r>
        <w:t xml:space="preserve">Table 3 reports AUROC, prevalence-matched F1 and FPR for every method on all three datasets and all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w:t>
      </w:r>
    </w:p>
    <w:p>
      <w:pPr>
        <w:pStyle w:val="MDPI41tablecaption"/>
        <w:ind w:left="2608"/>
      </w:pPr>
      <w:r>
        <w:rPr>
          <w:b/>
          <w:bCs/>
        </w:rPr>
        <w:t xml:space="preserve">Table 3.</w:t>
      </w:r>
      <w:r>
        <w:t xml:space="preserve"> </w:t>
      </w:r>
      <w:r>
        <w:t xml:space="preserve">Per-dataset, per-subset results: [AUROC, F1, FPR]. F1 is prevalence-matched;</w:t>
      </w:r>
      <w:r>
        <w:t xml:space="preserve"> </w:t>
      </w:r>
      <w:r>
        <w:t xml:space="preserve">the F1/FPR threshold is a disclosed oracle; AUROC is leak-free. Higher AUROC/F1 and lower FPR are better. Bold</w:t>
      </w:r>
      <w:r>
        <w:t xml:space="preserve"> </w:t>
      </w:r>
      <w:r>
        <w:t xml:space="preserve">= best AUROC in that dataset×subset column (ties bolded jointly). “Ours” = VaDE family; the</w:t>
      </w:r>
      <w:r>
        <w:t xml:space="preserve"> </w:t>
      </w:r>
      <w:r>
        <w:t xml:space="preserve">headline model is VaDE-hard+resid(auto). The</w:t>
      </w:r>
      <w:r>
        <w:t xml:space="preserve"> </w:t>
      </w:r>
      <w:r>
        <w:rPr>
          <w:i/>
          <w:iCs/>
        </w:rPr>
        <w:t xml:space="preserve">trivial max|z|</w:t>
      </w:r>
      <w:r>
        <w:t xml:space="preserve"> </w:t>
      </w:r>
      <w:r>
        <w:t xml:space="preserve">row is the univariate range rule that</w:t>
      </w:r>
      <w:r>
        <w:t xml:space="preserve"> </w:t>
      </w:r>
      <w:r>
        <w:t xml:space="preserve">defines the difficulty split (§5.3): near-perfect on Easy (SKAB 1.000, HAI 0.966), near chance on Difficult</w:t>
      </w:r>
      <w:r>
        <w:t xml:space="preserve"> </w:t>
      </w:r>
      <w:r>
        <w:t xml:space="preserve">(0.31–0.39), which is exactly what makes the split meaningful. GDN is reported on WADI only (§5.5);</w:t>
      </w:r>
      <w:r>
        <w:t xml:space="preserve"> </w:t>
      </w:r>
      <w:r>
        <w:t xml:space="preserve">“n/a” marks a cell not run.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335"/>
        <w:gridCol w:w="771"/>
        <w:gridCol w:w="781"/>
        <w:gridCol w:w="568"/>
        <w:gridCol w:w="568"/>
        <w:gridCol w:w="781"/>
        <w:gridCol w:w="568"/>
        <w:gridCol w:w="568"/>
        <w:gridCol w:w="781"/>
        <w:gridCol w:w="568"/>
        <w:gridCol w:w="569"/>
      </w:tblGrid>
      <w:tr>
        <w:trPr>
          <w:tblHeader w:val="on"/>
        </w:trPr>
        <w:tc>
          <w:tcPr>
            <w:vMerge w:val="restart"/>
            <w:vAlign w:val="center"/>
          </w:tcPr>
          <w:p>
            <w:pPr>
              <w:pStyle w:val="Compact"/>
              <w:suppressAutoHyphens/>
              <w:jc w:val="center"/>
            </w:pPr>
            <w:r>
              <w:rPr>
                <w:b/>
                <w:sz w:val="17"/>
                <w:szCs w:val="17"/>
              </w:rPr>
              <w:t xml:space="preserve">Method</w:t>
            </w:r>
          </w:p>
        </w:tc>
        <w:tc>
          <w:tcPr>
            <w:vMerge w:val="restart"/>
            <w:vAlign w:val="center"/>
          </w:tcPr>
          <w:p>
            <w:pPr>
              <w:pStyle w:val="Compact"/>
              <w:suppressAutoHyphens/>
              <w:jc w:val="center"/>
            </w:pPr>
            <w:r>
              <w:rPr>
                <w:b/>
                <w:sz w:val="17"/>
                <w:szCs w:val="17"/>
              </w:rPr>
              <w:t xml:space="preserve">Group</w:t>
            </w:r>
          </w:p>
        </w:tc>
        <w:tc>
          <w:tcPr>
            <w:gridSpan w:val="3"/>
            <w:vAlign w:val="center"/>
          </w:tcPr>
          <w:p>
            <w:pPr>
              <w:pStyle w:val="Compact"/>
              <w:suppressAutoHyphens/>
              <w:jc w:val="center"/>
            </w:pPr>
            <w:r>
              <w:rPr>
                <w:b/>
                <w:sz w:val="17"/>
                <w:szCs w:val="17"/>
              </w:rPr>
              <w:t xml:space="preserve">All</w:t>
            </w:r>
          </w:p>
        </w:tc>
        <w:tc>
          <w:tcPr>
            <w:gridSpan w:val="3"/>
            <w:vAlign w:val="center"/>
          </w:tcPr>
          <w:p>
            <w:pPr>
              <w:pStyle w:val="Compact"/>
              <w:suppressAutoHyphens/>
              <w:jc w:val="center"/>
            </w:pPr>
            <w:r>
              <w:rPr>
                <w:b/>
                <w:sz w:val="17"/>
                <w:szCs w:val="17"/>
              </w:rPr>
              <w:t xml:space="preserve">Easy</w:t>
            </w:r>
          </w:p>
        </w:tc>
        <w:tc>
          <w:tcPr>
            <w:gridSpan w:val="3"/>
            <w:vAlign w:val="center"/>
          </w:tcPr>
          <w:p>
            <w:pPr>
              <w:pStyle w:val="Compact"/>
              <w:suppressAutoHyphens/>
              <w:jc w:val="center"/>
            </w:pPr>
            <w:r>
              <w:rPr>
                <w:b/>
                <w:sz w:val="17"/>
                <w:szCs w:val="17"/>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FPR</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FPR</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FPR</w:t>
            </w:r>
          </w:p>
        </w:tc>
      </w:tr>
      <w:tr>
        <w:tc>
          <w:tcPr>
            <w:gridSpan w:val="11"/>
            <w:vAlign w:val="center"/>
          </w:tcPr>
          <w:p>
            <w:pPr>
              <w:pStyle w:val="Compact"/>
              <w:suppressAutoHyphens/>
              <w:jc w:val="center"/>
            </w:pPr>
            <w:r>
              <w:rPr>
                <w:b/>
                <w:bCs/>
                <w:sz w:val="17"/>
                <w:szCs w:val="17"/>
              </w:rPr>
              <w:t xml:space="preserve">WADI</w:t>
            </w:r>
            <w:r>
              <w:rPr>
                <w:sz w:val="17"/>
                <w:szCs w:val="17"/>
              </w:rPr>
              <w:t xml:space="preserve"> </w:t>
            </w:r>
            <w:r>
              <w:rPr>
                <w:sz w:val="17"/>
                <w:szCs w:val="17"/>
              </w:rPr>
              <w:t xml:space="preserve"> </w:t>
            </w:r>
            <w:r>
              <w:rPr>
                <w:sz w:val="17"/>
                <w:szCs w:val="17"/>
              </w:rPr>
              <w:t xml:space="preserve">(test 575; normal 519; anom 56 = 37 easy + 19 difficult; matched normals: all 519 / easy 343 / difficult 176)</w:t>
            </w:r>
          </w:p>
        </w:tc>
      </w:tr>
      <w:tr>
        <w:tc>
          <w:tcPr>
            <w:vAlign w:val="center"/>
          </w:tcPr>
          <w:p>
            <w:pPr>
              <w:pStyle w:val="Compact"/>
              <w:suppressAutoHyphens/>
              <w:jc w:val="center"/>
            </w:pPr>
            <w:r>
              <w:rPr>
                <w:sz w:val="17"/>
                <w:szCs w:val="17"/>
              </w:rPr>
              <w:t xml:space="preserve">trivial max|z|</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0.558</w:t>
            </w:r>
          </w:p>
        </w:tc>
        <w:tc>
          <w:tcPr>
            <w:vAlign w:val="center"/>
          </w:tcPr>
          <w:p>
            <w:pPr>
              <w:pStyle w:val="Compact"/>
              <w:suppressAutoHyphens/>
              <w:jc w:val="center"/>
            </w:pPr>
            <w:r>
              <w:rPr>
                <w:sz w:val="17"/>
                <w:szCs w:val="17"/>
              </w:rPr>
              <w:t xml:space="preserve">0.219</w:t>
            </w:r>
          </w:p>
        </w:tc>
        <w:tc>
          <w:tcPr>
            <w:vAlign w:val="center"/>
          </w:tcPr>
          <w:p>
            <w:pPr>
              <w:pStyle w:val="Compact"/>
              <w:suppressAutoHyphens/>
              <w:jc w:val="center"/>
            </w:pPr>
            <w:r>
              <w:rPr>
                <w:sz w:val="17"/>
                <w:szCs w:val="17"/>
              </w:rPr>
              <w:t xml:space="preserve">0.738</w:t>
            </w:r>
          </w:p>
        </w:tc>
        <w:tc>
          <w:tcPr>
            <w:vAlign w:val="center"/>
          </w:tcPr>
          <w:p>
            <w:pPr>
              <w:pStyle w:val="Compact"/>
              <w:suppressAutoHyphens/>
              <w:jc w:val="center"/>
            </w:pPr>
            <w:r>
              <w:rPr>
                <w:sz w:val="17"/>
                <w:szCs w:val="17"/>
              </w:rPr>
              <w:t xml:space="preserve">0.687</w:t>
            </w:r>
          </w:p>
        </w:tc>
        <w:tc>
          <w:tcPr>
            <w:vAlign w:val="center"/>
          </w:tcPr>
          <w:p>
            <w:pPr>
              <w:pStyle w:val="Compact"/>
              <w:suppressAutoHyphens/>
              <w:jc w:val="center"/>
            </w:pPr>
            <w:r>
              <w:rPr>
                <w:sz w:val="17"/>
                <w:szCs w:val="17"/>
              </w:rPr>
              <w:t xml:space="preserve">0.287</w:t>
            </w:r>
          </w:p>
        </w:tc>
        <w:tc>
          <w:tcPr>
            <w:vAlign w:val="center"/>
          </w:tcPr>
          <w:p>
            <w:pPr>
              <w:pStyle w:val="Compact"/>
              <w:suppressAutoHyphens/>
              <w:jc w:val="center"/>
            </w:pPr>
            <w:r>
              <w:rPr>
                <w:sz w:val="17"/>
                <w:szCs w:val="17"/>
              </w:rPr>
              <w:t xml:space="preserve">0.738</w:t>
            </w:r>
          </w:p>
        </w:tc>
        <w:tc>
          <w:tcPr>
            <w:vAlign w:val="center"/>
          </w:tcPr>
          <w:p>
            <w:pPr>
              <w:pStyle w:val="Compact"/>
              <w:suppressAutoHyphens/>
              <w:jc w:val="center"/>
            </w:pPr>
            <w:r>
              <w:rPr>
                <w:sz w:val="17"/>
                <w:szCs w:val="17"/>
              </w:rPr>
              <w:t xml:space="preserve">0.307</w:t>
            </w:r>
          </w:p>
        </w:tc>
        <w:tc>
          <w:tcPr>
            <w:vAlign w:val="center"/>
          </w:tcPr>
          <w:p>
            <w:pPr>
              <w:pStyle w:val="Compact"/>
              <w:suppressAutoHyphens/>
              <w:jc w:val="center"/>
            </w:pPr>
            <w:r>
              <w:rPr>
                <w:sz w:val="17"/>
                <w:szCs w:val="17"/>
              </w:rPr>
              <w:t xml:space="preserve">0.204</w:t>
            </w:r>
          </w:p>
        </w:tc>
        <w:tc>
          <w:tcPr>
            <w:vAlign w:val="center"/>
          </w:tcPr>
          <w:p>
            <w:pPr>
              <w:pStyle w:val="Compact"/>
              <w:suppressAutoHyphens/>
              <w:jc w:val="center"/>
            </w:pPr>
            <w:r>
              <w:rPr>
                <w:sz w:val="17"/>
                <w:szCs w:val="17"/>
              </w:rPr>
              <w:t xml:space="preserve">0.738</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0.730</w:t>
            </w:r>
          </w:p>
        </w:tc>
        <w:tc>
          <w:tcPr>
            <w:vAlign w:val="center"/>
          </w:tcPr>
          <w:p>
            <w:pPr>
              <w:pStyle w:val="Compact"/>
              <w:suppressAutoHyphens/>
              <w:jc w:val="center"/>
            </w:pPr>
            <w:r>
              <w:rPr>
                <w:sz w:val="17"/>
                <w:szCs w:val="17"/>
              </w:rPr>
              <w:t xml:space="preserve">0.380</w:t>
            </w:r>
          </w:p>
        </w:tc>
        <w:tc>
          <w:tcPr>
            <w:vAlign w:val="center"/>
          </w:tcPr>
          <w:p>
            <w:pPr>
              <w:pStyle w:val="Compact"/>
              <w:suppressAutoHyphens/>
              <w:jc w:val="center"/>
            </w:pPr>
            <w:r>
              <w:rPr>
                <w:sz w:val="17"/>
                <w:szCs w:val="17"/>
              </w:rPr>
              <w:t xml:space="preserve">0.139</w:t>
            </w:r>
          </w:p>
        </w:tc>
        <w:tc>
          <w:tcPr>
            <w:vAlign w:val="center"/>
          </w:tcPr>
          <w:p>
            <w:pPr>
              <w:pStyle w:val="Compact"/>
              <w:suppressAutoHyphens/>
              <w:jc w:val="center"/>
            </w:pPr>
            <w:r>
              <w:rPr>
                <w:sz w:val="17"/>
                <w:szCs w:val="17"/>
              </w:rPr>
              <w:t xml:space="preserve">0.748</w:t>
            </w:r>
          </w:p>
        </w:tc>
        <w:tc>
          <w:tcPr>
            <w:vAlign w:val="center"/>
          </w:tcPr>
          <w:p>
            <w:pPr>
              <w:pStyle w:val="Compact"/>
              <w:suppressAutoHyphens/>
              <w:jc w:val="center"/>
            </w:pPr>
            <w:r>
              <w:rPr>
                <w:sz w:val="17"/>
                <w:szCs w:val="17"/>
              </w:rPr>
              <w:t xml:space="preserve">0.444</w:t>
            </w:r>
          </w:p>
        </w:tc>
        <w:tc>
          <w:tcPr>
            <w:vAlign w:val="center"/>
          </w:tcPr>
          <w:p>
            <w:pPr>
              <w:pStyle w:val="Compact"/>
              <w:suppressAutoHyphens/>
              <w:jc w:val="center"/>
            </w:pPr>
            <w:r>
              <w:rPr>
                <w:sz w:val="17"/>
                <w:szCs w:val="17"/>
              </w:rPr>
              <w:t xml:space="preserve">0.139</w:t>
            </w:r>
          </w:p>
        </w:tc>
        <w:tc>
          <w:tcPr>
            <w:vAlign w:val="center"/>
          </w:tcPr>
          <w:p>
            <w:pPr>
              <w:pStyle w:val="Compact"/>
              <w:suppressAutoHyphens/>
              <w:jc w:val="center"/>
            </w:pPr>
            <w:r>
              <w:rPr>
                <w:sz w:val="17"/>
                <w:szCs w:val="17"/>
              </w:rPr>
              <w:t xml:space="preserve">0.696</w:t>
            </w:r>
          </w:p>
        </w:tc>
        <w:tc>
          <w:tcPr>
            <w:vAlign w:val="center"/>
          </w:tcPr>
          <w:p>
            <w:pPr>
              <w:pStyle w:val="Compact"/>
              <w:suppressAutoHyphens/>
              <w:jc w:val="center"/>
            </w:pPr>
            <w:r>
              <w:rPr>
                <w:sz w:val="17"/>
                <w:szCs w:val="17"/>
              </w:rPr>
              <w:t xml:space="preserve">0.292</w:t>
            </w:r>
          </w:p>
        </w:tc>
        <w:tc>
          <w:tcPr>
            <w:vAlign w:val="center"/>
          </w:tcPr>
          <w:p>
            <w:pPr>
              <w:pStyle w:val="Compact"/>
              <w:suppressAutoHyphens/>
              <w:jc w:val="center"/>
            </w:pPr>
            <w:r>
              <w:rPr>
                <w:sz w:val="17"/>
                <w:szCs w:val="17"/>
              </w:rPr>
              <w:t xml:space="preserve">0.139</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0.745</w:t>
            </w:r>
          </w:p>
        </w:tc>
        <w:tc>
          <w:tcPr>
            <w:vAlign w:val="center"/>
          </w:tcPr>
          <w:p>
            <w:pPr>
              <w:pStyle w:val="Compact"/>
              <w:suppressAutoHyphens/>
              <w:jc w:val="center"/>
            </w:pPr>
            <w:r>
              <w:rPr>
                <w:sz w:val="17"/>
                <w:szCs w:val="17"/>
              </w:rPr>
              <w:t xml:space="preserve">0.614</w:t>
            </w:r>
          </w:p>
        </w:tc>
        <w:tc>
          <w:tcPr>
            <w:vAlign w:val="center"/>
          </w:tcPr>
          <w:p>
            <w:pPr>
              <w:pStyle w:val="Compact"/>
              <w:suppressAutoHyphens/>
              <w:jc w:val="center"/>
            </w:pPr>
            <w:r>
              <w:rPr>
                <w:sz w:val="17"/>
                <w:szCs w:val="17"/>
              </w:rPr>
              <w:t xml:space="preserve">0.010</w:t>
            </w:r>
          </w:p>
        </w:tc>
        <w:tc>
          <w:tcPr>
            <w:vAlign w:val="center"/>
          </w:tcPr>
          <w:p>
            <w:pPr>
              <w:pStyle w:val="Compact"/>
              <w:suppressAutoHyphens/>
              <w:jc w:val="center"/>
            </w:pPr>
            <w:r>
              <w:rPr>
                <w:sz w:val="17"/>
                <w:szCs w:val="17"/>
              </w:rPr>
              <w:t xml:space="preserve">0.907</w:t>
            </w:r>
          </w:p>
        </w:tc>
        <w:tc>
          <w:tcPr>
            <w:vAlign w:val="center"/>
          </w:tcPr>
          <w:p>
            <w:pPr>
              <w:pStyle w:val="Compact"/>
              <w:suppressAutoHyphens/>
              <w:jc w:val="center"/>
            </w:pPr>
            <w:r>
              <w:rPr>
                <w:sz w:val="17"/>
                <w:szCs w:val="17"/>
              </w:rPr>
              <w:t xml:space="preserve">0.749</w:t>
            </w:r>
          </w:p>
        </w:tc>
        <w:tc>
          <w:tcPr>
            <w:vAlign w:val="center"/>
          </w:tcPr>
          <w:p>
            <w:pPr>
              <w:pStyle w:val="Compact"/>
              <w:suppressAutoHyphens/>
              <w:jc w:val="center"/>
            </w:pPr>
            <w:r>
              <w:rPr>
                <w:sz w:val="17"/>
                <w:szCs w:val="17"/>
              </w:rPr>
              <w:t xml:space="preserve">0.010</w:t>
            </w:r>
          </w:p>
        </w:tc>
        <w:tc>
          <w:tcPr>
            <w:vAlign w:val="center"/>
          </w:tcPr>
          <w:p>
            <w:pPr>
              <w:pStyle w:val="Compact"/>
              <w:suppressAutoHyphens/>
              <w:jc w:val="center"/>
            </w:pPr>
            <w:r>
              <w:rPr>
                <w:sz w:val="17"/>
                <w:szCs w:val="17"/>
              </w:rPr>
              <w:t xml:space="preserve">0.430</w:t>
            </w:r>
          </w:p>
        </w:tc>
        <w:tc>
          <w:tcPr>
            <w:vAlign w:val="center"/>
          </w:tcPr>
          <w:p>
            <w:pPr>
              <w:pStyle w:val="Compact"/>
              <w:suppressAutoHyphens/>
              <w:jc w:val="center"/>
            </w:pPr>
            <w:r>
              <w:rPr>
                <w:sz w:val="17"/>
                <w:szCs w:val="17"/>
              </w:rPr>
              <w:t xml:space="preserve">0.257</w:t>
            </w:r>
          </w:p>
        </w:tc>
        <w:tc>
          <w:tcPr>
            <w:vAlign w:val="center"/>
          </w:tcPr>
          <w:p>
            <w:pPr>
              <w:pStyle w:val="Compact"/>
              <w:suppressAutoHyphens/>
              <w:jc w:val="center"/>
            </w:pPr>
            <w:r>
              <w:rPr>
                <w:sz w:val="17"/>
                <w:szCs w:val="17"/>
              </w:rPr>
              <w:t xml:space="preserve">0.010</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0.686</w:t>
            </w:r>
          </w:p>
        </w:tc>
        <w:tc>
          <w:tcPr>
            <w:vAlign w:val="center"/>
          </w:tcPr>
          <w:p>
            <w:pPr>
              <w:pStyle w:val="Compact"/>
              <w:suppressAutoHyphens/>
              <w:jc w:val="center"/>
            </w:pPr>
            <w:r>
              <w:rPr>
                <w:sz w:val="17"/>
                <w:szCs w:val="17"/>
              </w:rPr>
              <w:t xml:space="preserve">0.288</w:t>
            </w:r>
          </w:p>
        </w:tc>
        <w:tc>
          <w:tcPr>
            <w:vAlign w:val="center"/>
          </w:tcPr>
          <w:p>
            <w:pPr>
              <w:pStyle w:val="Compact"/>
              <w:suppressAutoHyphens/>
              <w:jc w:val="center"/>
            </w:pPr>
            <w:r>
              <w:rPr>
                <w:sz w:val="17"/>
                <w:szCs w:val="17"/>
              </w:rPr>
              <w:t xml:space="preserve">0.304</w:t>
            </w:r>
          </w:p>
        </w:tc>
        <w:tc>
          <w:tcPr>
            <w:vAlign w:val="center"/>
          </w:tcPr>
          <w:p>
            <w:pPr>
              <w:pStyle w:val="Compact"/>
              <w:suppressAutoHyphens/>
              <w:jc w:val="center"/>
            </w:pPr>
            <w:r>
              <w:rPr>
                <w:sz w:val="17"/>
                <w:szCs w:val="17"/>
              </w:rPr>
              <w:t xml:space="preserve">0.754</w:t>
            </w:r>
          </w:p>
        </w:tc>
        <w:tc>
          <w:tcPr>
            <w:vAlign w:val="center"/>
          </w:tcPr>
          <w:p>
            <w:pPr>
              <w:pStyle w:val="Compact"/>
              <w:suppressAutoHyphens/>
              <w:jc w:val="center"/>
            </w:pPr>
            <w:r>
              <w:rPr>
                <w:sz w:val="17"/>
                <w:szCs w:val="17"/>
              </w:rPr>
              <w:t xml:space="preserve">0.344</w:t>
            </w:r>
          </w:p>
        </w:tc>
        <w:tc>
          <w:tcPr>
            <w:vAlign w:val="center"/>
          </w:tcPr>
          <w:p>
            <w:pPr>
              <w:pStyle w:val="Compact"/>
              <w:suppressAutoHyphens/>
              <w:jc w:val="center"/>
            </w:pPr>
            <w:r>
              <w:rPr>
                <w:sz w:val="17"/>
                <w:szCs w:val="17"/>
              </w:rPr>
              <w:t xml:space="preserve">0.304</w:t>
            </w:r>
          </w:p>
        </w:tc>
        <w:tc>
          <w:tcPr>
            <w:vAlign w:val="center"/>
          </w:tcPr>
          <w:p>
            <w:pPr>
              <w:pStyle w:val="Compact"/>
              <w:suppressAutoHyphens/>
              <w:jc w:val="center"/>
            </w:pPr>
            <w:r>
              <w:rPr>
                <w:sz w:val="17"/>
                <w:szCs w:val="17"/>
              </w:rPr>
              <w:t xml:space="preserve">0.554</w:t>
            </w:r>
          </w:p>
        </w:tc>
        <w:tc>
          <w:tcPr>
            <w:vAlign w:val="center"/>
          </w:tcPr>
          <w:p>
            <w:pPr>
              <w:pStyle w:val="Compact"/>
              <w:suppressAutoHyphens/>
              <w:jc w:val="center"/>
            </w:pPr>
            <w:r>
              <w:rPr>
                <w:sz w:val="17"/>
                <w:szCs w:val="17"/>
              </w:rPr>
              <w:t xml:space="preserve">0.234</w:t>
            </w:r>
          </w:p>
        </w:tc>
        <w:tc>
          <w:tcPr>
            <w:vAlign w:val="center"/>
          </w:tcPr>
          <w:p>
            <w:pPr>
              <w:pStyle w:val="Compact"/>
              <w:suppressAutoHyphens/>
              <w:jc w:val="center"/>
            </w:pPr>
            <w:r>
              <w:rPr>
                <w:sz w:val="17"/>
                <w:szCs w:val="17"/>
              </w:rPr>
              <w:t xml:space="preserve">0.304</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0.709</w:t>
            </w:r>
          </w:p>
        </w:tc>
        <w:tc>
          <w:tcPr>
            <w:vAlign w:val="center"/>
          </w:tcPr>
          <w:p>
            <w:pPr>
              <w:pStyle w:val="Compact"/>
              <w:suppressAutoHyphens/>
              <w:jc w:val="center"/>
            </w:pPr>
            <w:r>
              <w:rPr>
                <w:sz w:val="17"/>
                <w:szCs w:val="17"/>
              </w:rPr>
              <w:t xml:space="preserve">0.307</w:t>
            </w:r>
          </w:p>
        </w:tc>
        <w:tc>
          <w:tcPr>
            <w:vAlign w:val="center"/>
          </w:tcPr>
          <w:p>
            <w:pPr>
              <w:pStyle w:val="Compact"/>
              <w:suppressAutoHyphens/>
              <w:jc w:val="center"/>
            </w:pPr>
            <w:r>
              <w:rPr>
                <w:sz w:val="17"/>
                <w:szCs w:val="17"/>
              </w:rPr>
              <w:t xml:space="preserve">0.264</w:t>
            </w:r>
          </w:p>
        </w:tc>
        <w:tc>
          <w:tcPr>
            <w:vAlign w:val="center"/>
          </w:tcPr>
          <w:p>
            <w:pPr>
              <w:pStyle w:val="Compact"/>
              <w:suppressAutoHyphens/>
              <w:jc w:val="center"/>
            </w:pPr>
            <w:r>
              <w:rPr>
                <w:sz w:val="17"/>
                <w:szCs w:val="17"/>
              </w:rPr>
              <w:t xml:space="preserve">0.791</w:t>
            </w:r>
          </w:p>
        </w:tc>
        <w:tc>
          <w:tcPr>
            <w:vAlign w:val="center"/>
          </w:tcPr>
          <w:p>
            <w:pPr>
              <w:pStyle w:val="Compact"/>
              <w:suppressAutoHyphens/>
              <w:jc w:val="center"/>
            </w:pPr>
            <w:r>
              <w:rPr>
                <w:sz w:val="17"/>
                <w:szCs w:val="17"/>
              </w:rPr>
              <w:t xml:space="preserve">0.359</w:t>
            </w:r>
          </w:p>
        </w:tc>
        <w:tc>
          <w:tcPr>
            <w:vAlign w:val="center"/>
          </w:tcPr>
          <w:p>
            <w:pPr>
              <w:pStyle w:val="Compact"/>
              <w:suppressAutoHyphens/>
              <w:jc w:val="center"/>
            </w:pPr>
            <w:r>
              <w:rPr>
                <w:sz w:val="17"/>
                <w:szCs w:val="17"/>
              </w:rPr>
              <w:t xml:space="preserve">0.264</w:t>
            </w:r>
          </w:p>
        </w:tc>
        <w:tc>
          <w:tcPr>
            <w:vAlign w:val="center"/>
          </w:tcPr>
          <w:p>
            <w:pPr>
              <w:pStyle w:val="Compact"/>
              <w:suppressAutoHyphens/>
              <w:jc w:val="center"/>
            </w:pPr>
            <w:r>
              <w:rPr>
                <w:sz w:val="17"/>
                <w:szCs w:val="17"/>
              </w:rPr>
              <w:t xml:space="preserve">0.547</w:t>
            </w:r>
          </w:p>
        </w:tc>
        <w:tc>
          <w:tcPr>
            <w:vAlign w:val="center"/>
          </w:tcPr>
          <w:p>
            <w:pPr>
              <w:pStyle w:val="Compact"/>
              <w:suppressAutoHyphens/>
              <w:jc w:val="center"/>
            </w:pPr>
            <w:r>
              <w:rPr>
                <w:sz w:val="17"/>
                <w:szCs w:val="17"/>
              </w:rPr>
              <w:t xml:space="preserve">0.242</w:t>
            </w:r>
          </w:p>
        </w:tc>
        <w:tc>
          <w:tcPr>
            <w:vAlign w:val="center"/>
          </w:tcPr>
          <w:p>
            <w:pPr>
              <w:pStyle w:val="Compact"/>
              <w:suppressAutoHyphens/>
              <w:jc w:val="center"/>
            </w:pPr>
            <w:r>
              <w:rPr>
                <w:sz w:val="17"/>
                <w:szCs w:val="17"/>
              </w:rPr>
              <w:t xml:space="preserve">0.264</w:t>
            </w:r>
          </w:p>
        </w:tc>
      </w:tr>
      <w:tr>
        <w:tc>
          <w:tcPr>
            <w:vAlign w:val="center"/>
          </w:tcPr>
          <w:p>
            <w:pPr>
              <w:pStyle w:val="Compact"/>
              <w:suppressAutoHyphens/>
              <w:jc w:val="center"/>
            </w:pPr>
            <w:r>
              <w:rPr>
                <w:sz w:val="17"/>
                <w:szCs w:val="17"/>
              </w:rPr>
              <w:t xml:space="preserve">GDN</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0.700</w:t>
            </w:r>
          </w:p>
        </w:tc>
        <w:tc>
          <w:tcPr>
            <w:vAlign w:val="center"/>
          </w:tcPr>
          <w:p>
            <w:pPr>
              <w:pStyle w:val="Compact"/>
              <w:suppressAutoHyphens/>
              <w:jc w:val="center"/>
            </w:pPr>
            <w:r>
              <w:rPr>
                <w:sz w:val="17"/>
                <w:szCs w:val="17"/>
              </w:rPr>
              <w:t xml:space="preserve">0.301</w:t>
            </w:r>
          </w:p>
        </w:tc>
        <w:tc>
          <w:tcPr>
            <w:vAlign w:val="center"/>
          </w:tcPr>
          <w:p>
            <w:pPr>
              <w:pStyle w:val="Compact"/>
              <w:suppressAutoHyphens/>
              <w:jc w:val="center"/>
            </w:pPr>
            <w:r>
              <w:rPr>
                <w:sz w:val="17"/>
                <w:szCs w:val="17"/>
              </w:rPr>
              <w:t xml:space="preserve">0.262</w:t>
            </w:r>
          </w:p>
        </w:tc>
        <w:tc>
          <w:tcPr>
            <w:vAlign w:val="center"/>
          </w:tcPr>
          <w:p>
            <w:pPr>
              <w:pStyle w:val="Compact"/>
              <w:suppressAutoHyphens/>
              <w:jc w:val="center"/>
            </w:pPr>
            <w:r>
              <w:rPr>
                <w:sz w:val="17"/>
                <w:szCs w:val="17"/>
              </w:rPr>
              <w:t xml:space="preserve">0.760</w:t>
            </w:r>
          </w:p>
        </w:tc>
        <w:tc>
          <w:tcPr>
            <w:vAlign w:val="center"/>
          </w:tcPr>
          <w:p>
            <w:pPr>
              <w:pStyle w:val="Compact"/>
              <w:suppressAutoHyphens/>
              <w:jc w:val="center"/>
            </w:pPr>
            <w:r>
              <w:rPr>
                <w:sz w:val="17"/>
                <w:szCs w:val="17"/>
              </w:rPr>
              <w:t xml:space="preserve">0.348</w:t>
            </w:r>
          </w:p>
        </w:tc>
        <w:tc>
          <w:tcPr>
            <w:vAlign w:val="center"/>
          </w:tcPr>
          <w:p>
            <w:pPr>
              <w:pStyle w:val="Compact"/>
              <w:suppressAutoHyphens/>
              <w:jc w:val="center"/>
            </w:pPr>
            <w:r>
              <w:rPr>
                <w:sz w:val="17"/>
                <w:szCs w:val="17"/>
              </w:rPr>
              <w:t xml:space="preserve">0.262</w:t>
            </w:r>
          </w:p>
        </w:tc>
        <w:tc>
          <w:tcPr>
            <w:vAlign w:val="center"/>
          </w:tcPr>
          <w:p>
            <w:pPr>
              <w:pStyle w:val="Compact"/>
              <w:suppressAutoHyphens/>
              <w:jc w:val="center"/>
            </w:pPr>
            <w:r>
              <w:rPr>
                <w:sz w:val="17"/>
                <w:szCs w:val="17"/>
              </w:rPr>
              <w:t xml:space="preserve">0.582</w:t>
            </w:r>
          </w:p>
        </w:tc>
        <w:tc>
          <w:tcPr>
            <w:vAlign w:val="center"/>
          </w:tcPr>
          <w:p>
            <w:pPr>
              <w:pStyle w:val="Compact"/>
              <w:suppressAutoHyphens/>
              <w:jc w:val="center"/>
            </w:pPr>
            <w:r>
              <w:rPr>
                <w:sz w:val="17"/>
                <w:szCs w:val="17"/>
              </w:rPr>
              <w:t xml:space="preserve">0.242</w:t>
            </w:r>
          </w:p>
        </w:tc>
        <w:tc>
          <w:tcPr>
            <w:vAlign w:val="center"/>
          </w:tcPr>
          <w:p>
            <w:pPr>
              <w:pStyle w:val="Compact"/>
              <w:suppressAutoHyphens/>
              <w:jc w:val="center"/>
            </w:pPr>
            <w:r>
              <w:rPr>
                <w:sz w:val="17"/>
                <w:szCs w:val="17"/>
              </w:rPr>
              <w:t xml:space="preserve">0.262</w:t>
            </w:r>
          </w:p>
        </w:tc>
      </w:tr>
      <w:tr>
        <w:tc>
          <w:tcPr>
            <w:vAlign w:val="center"/>
          </w:tcPr>
          <w:p>
            <w:pPr>
              <w:pStyle w:val="Compact"/>
              <w:suppressAutoHyphens/>
              <w:jc w:val="center"/>
            </w:pPr>
            <w:r>
              <w:rPr>
                <w:sz w:val="17"/>
                <w:szCs w:val="17"/>
              </w:rPr>
              <w:t xml:space="preserve">VaDE</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0.787</w:t>
            </w:r>
          </w:p>
        </w:tc>
        <w:tc>
          <w:tcPr>
            <w:vAlign w:val="center"/>
          </w:tcPr>
          <w:p>
            <w:pPr>
              <w:pStyle w:val="Compact"/>
              <w:suppressAutoHyphens/>
              <w:jc w:val="center"/>
            </w:pPr>
            <w:r>
              <w:rPr>
                <w:sz w:val="17"/>
                <w:szCs w:val="17"/>
              </w:rPr>
              <w:t xml:space="preserve">0.653</w:t>
            </w:r>
          </w:p>
        </w:tc>
        <w:tc>
          <w:tcPr>
            <w:vAlign w:val="center"/>
          </w:tcPr>
          <w:p>
            <w:pPr>
              <w:pStyle w:val="Compact"/>
              <w:suppressAutoHyphens/>
              <w:jc w:val="center"/>
            </w:pPr>
            <w:r>
              <w:rPr>
                <w:sz w:val="17"/>
                <w:szCs w:val="17"/>
              </w:rPr>
              <w:t xml:space="preserve">0.015</w:t>
            </w:r>
          </w:p>
        </w:tc>
        <w:tc>
          <w:tcPr>
            <w:vAlign w:val="center"/>
          </w:tcPr>
          <w:p>
            <w:pPr>
              <w:pStyle w:val="Compact"/>
              <w:suppressAutoHyphens/>
              <w:jc w:val="center"/>
            </w:pPr>
            <w:r>
              <w:rPr>
                <w:sz w:val="17"/>
                <w:szCs w:val="17"/>
              </w:rPr>
              <w:t xml:space="preserve">0.938</w:t>
            </w:r>
          </w:p>
        </w:tc>
        <w:tc>
          <w:tcPr>
            <w:vAlign w:val="center"/>
          </w:tcPr>
          <w:p>
            <w:pPr>
              <w:pStyle w:val="Compact"/>
              <w:suppressAutoHyphens/>
              <w:jc w:val="center"/>
            </w:pPr>
            <w:r>
              <w:rPr>
                <w:sz w:val="17"/>
                <w:szCs w:val="17"/>
              </w:rPr>
              <w:t xml:space="preserve">0.798</w:t>
            </w:r>
          </w:p>
        </w:tc>
        <w:tc>
          <w:tcPr>
            <w:vAlign w:val="center"/>
          </w:tcPr>
          <w:p>
            <w:pPr>
              <w:pStyle w:val="Compact"/>
              <w:suppressAutoHyphens/>
              <w:jc w:val="center"/>
            </w:pPr>
            <w:r>
              <w:rPr>
                <w:sz w:val="17"/>
                <w:szCs w:val="17"/>
              </w:rPr>
              <w:t xml:space="preserve">0.015</w:t>
            </w:r>
          </w:p>
        </w:tc>
        <w:tc>
          <w:tcPr>
            <w:vAlign w:val="center"/>
          </w:tcPr>
          <w:p>
            <w:pPr>
              <w:pStyle w:val="Compact"/>
              <w:suppressAutoHyphens/>
              <w:jc w:val="center"/>
            </w:pPr>
            <w:r>
              <w:rPr>
                <w:sz w:val="17"/>
                <w:szCs w:val="17"/>
              </w:rPr>
              <w:t xml:space="preserve">0.494</w:t>
            </w:r>
          </w:p>
        </w:tc>
        <w:tc>
          <w:tcPr>
            <w:vAlign w:val="center"/>
          </w:tcPr>
          <w:p>
            <w:pPr>
              <w:pStyle w:val="Compact"/>
              <w:suppressAutoHyphens/>
              <w:jc w:val="center"/>
            </w:pPr>
            <w:r>
              <w:rPr>
                <w:sz w:val="17"/>
                <w:szCs w:val="17"/>
              </w:rPr>
              <w:t xml:space="preserve">0.257</w:t>
            </w:r>
          </w:p>
        </w:tc>
        <w:tc>
          <w:tcPr>
            <w:vAlign w:val="center"/>
          </w:tcPr>
          <w:p>
            <w:pPr>
              <w:pStyle w:val="Compact"/>
              <w:suppressAutoHyphens/>
              <w:jc w:val="center"/>
            </w:pPr>
            <w:r>
              <w:rPr>
                <w:sz w:val="17"/>
                <w:szCs w:val="17"/>
              </w:rPr>
              <w:t xml:space="preserve">0.015</w:t>
            </w:r>
          </w:p>
        </w:tc>
      </w:tr>
      <w:tr>
        <w:tc>
          <w:tcPr>
            <w:vAlign w:val="center"/>
          </w:tcPr>
          <w:p>
            <w:pPr>
              <w:pStyle w:val="Compact"/>
              <w:suppressAutoHyphens/>
              <w:jc w:val="center"/>
            </w:pPr>
            <w:r>
              <w:rPr>
                <w:b/>
                <w:bCs/>
                <w:sz w:val="17"/>
                <w:szCs w:val="17"/>
              </w:rPr>
              <w:t xml:space="preserve">VaDE-hard+resid(auto)</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0.803</w:t>
            </w:r>
          </w:p>
        </w:tc>
        <w:tc>
          <w:tcPr>
            <w:vAlign w:val="center"/>
          </w:tcPr>
          <w:p>
            <w:pPr>
              <w:pStyle w:val="Compact"/>
              <w:suppressAutoHyphens/>
              <w:jc w:val="center"/>
            </w:pPr>
            <w:r>
              <w:rPr>
                <w:sz w:val="17"/>
                <w:szCs w:val="17"/>
              </w:rPr>
              <w:t xml:space="preserve">0.543</w:t>
            </w:r>
          </w:p>
        </w:tc>
        <w:tc>
          <w:tcPr>
            <w:vAlign w:val="center"/>
          </w:tcPr>
          <w:p>
            <w:pPr>
              <w:pStyle w:val="Compact"/>
              <w:suppressAutoHyphens/>
              <w:jc w:val="center"/>
            </w:pPr>
            <w:r>
              <w:rPr>
                <w:sz w:val="17"/>
                <w:szCs w:val="17"/>
              </w:rPr>
              <w:t xml:space="preserve">0.006</w:t>
            </w:r>
          </w:p>
        </w:tc>
        <w:tc>
          <w:tcPr>
            <w:vAlign w:val="center"/>
          </w:tcPr>
          <w:p>
            <w:pPr>
              <w:pStyle w:val="Compact"/>
              <w:suppressAutoHyphens/>
              <w:jc w:val="center"/>
            </w:pPr>
            <w:r>
              <w:rPr>
                <w:sz w:val="17"/>
                <w:szCs w:val="17"/>
              </w:rPr>
              <w:t xml:space="preserve">0.842</w:t>
            </w:r>
          </w:p>
        </w:tc>
        <w:tc>
          <w:tcPr>
            <w:vAlign w:val="center"/>
          </w:tcPr>
          <w:p>
            <w:pPr>
              <w:pStyle w:val="Compact"/>
              <w:suppressAutoHyphens/>
              <w:jc w:val="center"/>
            </w:pPr>
            <w:r>
              <w:rPr>
                <w:sz w:val="17"/>
                <w:szCs w:val="17"/>
              </w:rPr>
              <w:t xml:space="preserve">0.697</w:t>
            </w:r>
          </w:p>
        </w:tc>
        <w:tc>
          <w:tcPr>
            <w:vAlign w:val="center"/>
          </w:tcPr>
          <w:p>
            <w:pPr>
              <w:pStyle w:val="Compact"/>
              <w:suppressAutoHyphens/>
              <w:jc w:val="center"/>
            </w:pPr>
            <w:r>
              <w:rPr>
                <w:sz w:val="17"/>
                <w:szCs w:val="17"/>
              </w:rPr>
              <w:t xml:space="preserve">0.006</w:t>
            </w:r>
          </w:p>
        </w:tc>
        <w:tc>
          <w:tcPr>
            <w:vAlign w:val="center"/>
          </w:tcPr>
          <w:p>
            <w:pPr>
              <w:pStyle w:val="Compact"/>
              <w:suppressAutoHyphens/>
              <w:jc w:val="center"/>
            </w:pPr>
            <w:r>
              <w:rPr>
                <w:sz w:val="17"/>
                <w:szCs w:val="17"/>
              </w:rPr>
              <w:t xml:space="preserve">0.726</w:t>
            </w:r>
          </w:p>
        </w:tc>
        <w:tc>
          <w:tcPr>
            <w:vAlign w:val="center"/>
          </w:tcPr>
          <w:p>
            <w:pPr>
              <w:pStyle w:val="Compact"/>
              <w:suppressAutoHyphens/>
              <w:jc w:val="center"/>
            </w:pPr>
            <w:r>
              <w:rPr>
                <w:sz w:val="17"/>
                <w:szCs w:val="17"/>
              </w:rPr>
              <w:t xml:space="preserve">0.327</w:t>
            </w:r>
          </w:p>
        </w:tc>
        <w:tc>
          <w:tcPr>
            <w:vAlign w:val="center"/>
          </w:tcPr>
          <w:p>
            <w:pPr>
              <w:pStyle w:val="Compact"/>
              <w:suppressAutoHyphens/>
              <w:jc w:val="center"/>
            </w:pPr>
            <w:r>
              <w:rPr>
                <w:sz w:val="17"/>
                <w:szCs w:val="17"/>
              </w:rPr>
              <w:t xml:space="preserve">0.006</w:t>
            </w:r>
          </w:p>
        </w:tc>
      </w:tr>
      <w:tr>
        <w:tc>
          <w:tcPr>
            <w:gridSpan w:val="11"/>
            <w:vAlign w:val="center"/>
          </w:tcPr>
          <w:p>
            <w:pPr>
              <w:pStyle w:val="Compact"/>
              <w:suppressAutoHyphens/>
              <w:jc w:val="center"/>
            </w:pPr>
            <w:r>
              <w:rPr>
                <w:b/>
                <w:bCs/>
                <w:sz w:val="17"/>
                <w:szCs w:val="17"/>
              </w:rPr>
              <w:t xml:space="preserve">HAI</w:t>
            </w:r>
            <w:r>
              <w:rPr>
                <w:sz w:val="17"/>
                <w:szCs w:val="17"/>
              </w:rPr>
              <w:t xml:space="preserve"> </w:t>
            </w:r>
            <w:r>
              <w:rPr>
                <w:sz w:val="17"/>
                <w:szCs w:val="17"/>
              </w:rPr>
              <w:t xml:space="preserve"> </w:t>
            </w:r>
            <w:r>
              <w:rPr>
                <w:sz w:val="17"/>
                <w:szCs w:val="17"/>
              </w:rPr>
              <w:t xml:space="preserve">(test 14819; normal 14167; anom 652 = 485 easy + 167 difficult; matched normals: all 14167 / easy 10538 / difficult 3629; GDN not run on HAI)</w:t>
            </w:r>
          </w:p>
        </w:tc>
      </w:tr>
      <w:tr>
        <w:tc>
          <w:tcPr>
            <w:vAlign w:val="center"/>
          </w:tcPr>
          <w:p>
            <w:pPr>
              <w:pStyle w:val="Compact"/>
              <w:suppressAutoHyphens/>
              <w:jc w:val="center"/>
            </w:pPr>
            <w:r>
              <w:rPr>
                <w:sz w:val="17"/>
                <w:szCs w:val="17"/>
              </w:rPr>
              <w:t xml:space="preserve">trivial max|z|</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0.806</w:t>
            </w:r>
          </w:p>
        </w:tc>
        <w:tc>
          <w:tcPr>
            <w:vAlign w:val="center"/>
          </w:tcPr>
          <w:p>
            <w:pPr>
              <w:pStyle w:val="Compact"/>
              <w:suppressAutoHyphens/>
              <w:jc w:val="center"/>
            </w:pPr>
            <w:r>
              <w:rPr>
                <w:sz w:val="17"/>
                <w:szCs w:val="17"/>
              </w:rPr>
              <w:t xml:space="preserve">0.627</w:t>
            </w:r>
          </w:p>
        </w:tc>
        <w:tc>
          <w:tcPr>
            <w:vAlign w:val="center"/>
          </w:tcPr>
          <w:p>
            <w:pPr>
              <w:pStyle w:val="Compact"/>
              <w:suppressAutoHyphens/>
              <w:jc w:val="center"/>
            </w:pPr>
            <w:r>
              <w:rPr>
                <w:sz w:val="17"/>
                <w:szCs w:val="17"/>
              </w:rPr>
              <w:t xml:space="preserve">0.001</w:t>
            </w:r>
          </w:p>
        </w:tc>
        <w:tc>
          <w:tcPr>
            <w:vAlign w:val="center"/>
          </w:tcPr>
          <w:p>
            <w:pPr>
              <w:pStyle w:val="Compact"/>
              <w:suppressAutoHyphens/>
              <w:jc w:val="center"/>
            </w:pPr>
            <w:r>
              <w:rPr>
                <w:sz w:val="17"/>
                <w:szCs w:val="17"/>
              </w:rPr>
              <w:t xml:space="preserve">0.966</w:t>
            </w:r>
          </w:p>
        </w:tc>
        <w:tc>
          <w:tcPr>
            <w:vAlign w:val="center"/>
          </w:tcPr>
          <w:p>
            <w:pPr>
              <w:pStyle w:val="Compact"/>
              <w:suppressAutoHyphens/>
              <w:jc w:val="center"/>
            </w:pPr>
            <w:r>
              <w:rPr>
                <w:sz w:val="17"/>
                <w:szCs w:val="17"/>
              </w:rPr>
              <w:t xml:space="preserve">0.786</w:t>
            </w:r>
          </w:p>
        </w:tc>
        <w:tc>
          <w:tcPr>
            <w:vAlign w:val="center"/>
          </w:tcPr>
          <w:p>
            <w:pPr>
              <w:pStyle w:val="Compact"/>
              <w:suppressAutoHyphens/>
              <w:jc w:val="center"/>
            </w:pPr>
            <w:r>
              <w:rPr>
                <w:sz w:val="17"/>
                <w:szCs w:val="17"/>
              </w:rPr>
              <w:t xml:space="preserve">0.001</w:t>
            </w:r>
          </w:p>
        </w:tc>
        <w:tc>
          <w:tcPr>
            <w:vAlign w:val="center"/>
          </w:tcPr>
          <w:p>
            <w:pPr>
              <w:pStyle w:val="Compact"/>
              <w:suppressAutoHyphens/>
              <w:jc w:val="center"/>
            </w:pPr>
            <w:r>
              <w:rPr>
                <w:sz w:val="17"/>
                <w:szCs w:val="17"/>
              </w:rPr>
              <w:t xml:space="preserve">0.340</w:t>
            </w:r>
          </w:p>
        </w:tc>
        <w:tc>
          <w:tcPr>
            <w:vAlign w:val="center"/>
          </w:tcPr>
          <w:p>
            <w:pPr>
              <w:pStyle w:val="Compact"/>
              <w:suppressAutoHyphens/>
              <w:jc w:val="center"/>
            </w:pPr>
            <w:r>
              <w:rPr>
                <w:sz w:val="17"/>
                <w:szCs w:val="17"/>
              </w:rPr>
              <w:t xml:space="preserve">0.040</w:t>
            </w:r>
          </w:p>
        </w:tc>
        <w:tc>
          <w:tcPr>
            <w:vAlign w:val="center"/>
          </w:tcPr>
          <w:p>
            <w:pPr>
              <w:pStyle w:val="Compact"/>
              <w:suppressAutoHyphens/>
              <w:jc w:val="center"/>
            </w:pPr>
            <w:r>
              <w:rPr>
                <w:sz w:val="17"/>
                <w:szCs w:val="17"/>
              </w:rPr>
              <w:t xml:space="preserve">0.001</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0.854</w:t>
            </w:r>
          </w:p>
        </w:tc>
        <w:tc>
          <w:tcPr>
            <w:vAlign w:val="center"/>
          </w:tcPr>
          <w:p>
            <w:pPr>
              <w:pStyle w:val="Compact"/>
              <w:suppressAutoHyphens/>
              <w:jc w:val="center"/>
            </w:pPr>
            <w:r>
              <w:rPr>
                <w:sz w:val="17"/>
                <w:szCs w:val="17"/>
              </w:rPr>
              <w:t xml:space="preserve">0.445</w:t>
            </w:r>
          </w:p>
        </w:tc>
        <w:tc>
          <w:tcPr>
            <w:vAlign w:val="center"/>
          </w:tcPr>
          <w:p>
            <w:pPr>
              <w:pStyle w:val="Compact"/>
              <w:suppressAutoHyphens/>
              <w:jc w:val="center"/>
            </w:pPr>
            <w:r>
              <w:rPr>
                <w:sz w:val="17"/>
                <w:szCs w:val="17"/>
              </w:rPr>
              <w:t xml:space="preserve">0.024</w:t>
            </w:r>
          </w:p>
        </w:tc>
        <w:tc>
          <w:tcPr>
            <w:vAlign w:val="center"/>
          </w:tcPr>
          <w:p>
            <w:pPr>
              <w:pStyle w:val="Compact"/>
              <w:suppressAutoHyphens/>
              <w:jc w:val="center"/>
            </w:pPr>
            <w:r>
              <w:rPr>
                <w:sz w:val="17"/>
                <w:szCs w:val="17"/>
              </w:rPr>
              <w:t xml:space="preserve">0.933</w:t>
            </w:r>
          </w:p>
        </w:tc>
        <w:tc>
          <w:tcPr>
            <w:vAlign w:val="center"/>
          </w:tcPr>
          <w:p>
            <w:pPr>
              <w:pStyle w:val="Compact"/>
              <w:suppressAutoHyphens/>
              <w:jc w:val="center"/>
            </w:pPr>
            <w:r>
              <w:rPr>
                <w:sz w:val="17"/>
                <w:szCs w:val="17"/>
              </w:rPr>
              <w:t xml:space="preserve">0.533</w:t>
            </w:r>
          </w:p>
        </w:tc>
        <w:tc>
          <w:tcPr>
            <w:vAlign w:val="center"/>
          </w:tcPr>
          <w:p>
            <w:pPr>
              <w:pStyle w:val="Compact"/>
              <w:suppressAutoHyphens/>
              <w:jc w:val="center"/>
            </w:pPr>
            <w:r>
              <w:rPr>
                <w:sz w:val="17"/>
                <w:szCs w:val="17"/>
              </w:rPr>
              <w:t xml:space="preserve">0.024</w:t>
            </w:r>
          </w:p>
        </w:tc>
        <w:tc>
          <w:tcPr>
            <w:vAlign w:val="center"/>
          </w:tcPr>
          <w:p>
            <w:pPr>
              <w:pStyle w:val="Compact"/>
              <w:suppressAutoHyphens/>
              <w:jc w:val="center"/>
            </w:pPr>
            <w:r>
              <w:rPr>
                <w:sz w:val="17"/>
                <w:szCs w:val="17"/>
              </w:rPr>
              <w:t xml:space="preserve">0.625</w:t>
            </w:r>
          </w:p>
        </w:tc>
        <w:tc>
          <w:tcPr>
            <w:vAlign w:val="center"/>
          </w:tcPr>
          <w:p>
            <w:pPr>
              <w:pStyle w:val="Compact"/>
              <w:suppressAutoHyphens/>
              <w:jc w:val="center"/>
            </w:pPr>
            <w:r>
              <w:rPr>
                <w:sz w:val="17"/>
                <w:szCs w:val="17"/>
              </w:rPr>
              <w:t xml:space="preserve">0.129</w:t>
            </w:r>
          </w:p>
        </w:tc>
        <w:tc>
          <w:tcPr>
            <w:vAlign w:val="center"/>
          </w:tcPr>
          <w:p>
            <w:pPr>
              <w:pStyle w:val="Compact"/>
              <w:suppressAutoHyphens/>
              <w:jc w:val="center"/>
            </w:pPr>
            <w:r>
              <w:rPr>
                <w:sz w:val="17"/>
                <w:szCs w:val="17"/>
              </w:rPr>
              <w:t xml:space="preserve">0.024</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0.923</w:t>
            </w:r>
          </w:p>
        </w:tc>
        <w:tc>
          <w:tcPr>
            <w:vAlign w:val="center"/>
          </w:tcPr>
          <w:p>
            <w:pPr>
              <w:pStyle w:val="Compact"/>
              <w:suppressAutoHyphens/>
              <w:jc w:val="center"/>
            </w:pPr>
            <w:r>
              <w:rPr>
                <w:sz w:val="17"/>
                <w:szCs w:val="17"/>
              </w:rPr>
              <w:t xml:space="preserve">0.742</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0.979</w:t>
            </w:r>
          </w:p>
        </w:tc>
        <w:tc>
          <w:tcPr>
            <w:vAlign w:val="center"/>
          </w:tcPr>
          <w:p>
            <w:pPr>
              <w:pStyle w:val="Compact"/>
              <w:suppressAutoHyphens/>
              <w:jc w:val="center"/>
            </w:pPr>
            <w:r>
              <w:rPr>
                <w:sz w:val="17"/>
                <w:szCs w:val="17"/>
              </w:rPr>
              <w:t xml:space="preserve">0.828</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0.758</w:t>
            </w:r>
          </w:p>
        </w:tc>
        <w:tc>
          <w:tcPr>
            <w:vAlign w:val="center"/>
          </w:tcPr>
          <w:p>
            <w:pPr>
              <w:pStyle w:val="Compact"/>
              <w:suppressAutoHyphens/>
              <w:jc w:val="center"/>
            </w:pPr>
            <w:r>
              <w:rPr>
                <w:sz w:val="17"/>
                <w:szCs w:val="17"/>
              </w:rPr>
              <w:t xml:space="preserve">0.412</w:t>
            </w:r>
          </w:p>
        </w:tc>
        <w:tc>
          <w:tcPr>
            <w:vAlign w:val="center"/>
          </w:tcPr>
          <w:p>
            <w:pPr>
              <w:pStyle w:val="Compact"/>
              <w:suppressAutoHyphens/>
              <w:jc w:val="center"/>
            </w:pPr>
            <w:r>
              <w:rPr>
                <w:sz w:val="17"/>
                <w:szCs w:val="17"/>
              </w:rPr>
              <w:t xml:space="preserve">0.005</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0.845</w:t>
            </w:r>
          </w:p>
        </w:tc>
        <w:tc>
          <w:tcPr>
            <w:vAlign w:val="center"/>
          </w:tcPr>
          <w:p>
            <w:pPr>
              <w:pStyle w:val="Compact"/>
              <w:suppressAutoHyphens/>
              <w:jc w:val="center"/>
            </w:pPr>
            <w:r>
              <w:rPr>
                <w:sz w:val="17"/>
                <w:szCs w:val="17"/>
              </w:rPr>
              <w:t xml:space="preserve">0.700</w:t>
            </w:r>
          </w:p>
        </w:tc>
        <w:tc>
          <w:tcPr>
            <w:vAlign w:val="center"/>
          </w:tcPr>
          <w:p>
            <w:pPr>
              <w:pStyle w:val="Compact"/>
              <w:suppressAutoHyphens/>
              <w:jc w:val="center"/>
            </w:pPr>
            <w:r>
              <w:rPr>
                <w:sz w:val="17"/>
                <w:szCs w:val="17"/>
              </w:rPr>
              <w:t xml:space="preserve">0.007</w:t>
            </w:r>
          </w:p>
        </w:tc>
        <w:tc>
          <w:tcPr>
            <w:vAlign w:val="center"/>
          </w:tcPr>
          <w:p>
            <w:pPr>
              <w:pStyle w:val="Compact"/>
              <w:suppressAutoHyphens/>
              <w:jc w:val="center"/>
            </w:pPr>
            <w:r>
              <w:rPr>
                <w:sz w:val="17"/>
                <w:szCs w:val="17"/>
              </w:rPr>
              <w:t xml:space="preserve">0.968</w:t>
            </w:r>
          </w:p>
        </w:tc>
        <w:tc>
          <w:tcPr>
            <w:vAlign w:val="center"/>
          </w:tcPr>
          <w:p>
            <w:pPr>
              <w:pStyle w:val="Compact"/>
              <w:suppressAutoHyphens/>
              <w:jc w:val="center"/>
            </w:pPr>
            <w:r>
              <w:rPr>
                <w:sz w:val="17"/>
                <w:szCs w:val="17"/>
              </w:rPr>
              <w:t xml:space="preserve">0.830</w:t>
            </w:r>
          </w:p>
        </w:tc>
        <w:tc>
          <w:tcPr>
            <w:vAlign w:val="center"/>
          </w:tcPr>
          <w:p>
            <w:pPr>
              <w:pStyle w:val="Compact"/>
              <w:suppressAutoHyphens/>
              <w:jc w:val="center"/>
            </w:pPr>
            <w:r>
              <w:rPr>
                <w:sz w:val="17"/>
                <w:szCs w:val="17"/>
              </w:rPr>
              <w:t xml:space="preserve">0.007</w:t>
            </w:r>
          </w:p>
        </w:tc>
        <w:tc>
          <w:tcPr>
            <w:vAlign w:val="center"/>
          </w:tcPr>
          <w:p>
            <w:pPr>
              <w:pStyle w:val="Compact"/>
              <w:suppressAutoHyphens/>
              <w:jc w:val="center"/>
            </w:pPr>
            <w:r>
              <w:rPr>
                <w:sz w:val="17"/>
                <w:szCs w:val="17"/>
              </w:rPr>
              <w:t xml:space="preserve">0.487</w:t>
            </w:r>
          </w:p>
        </w:tc>
        <w:tc>
          <w:tcPr>
            <w:vAlign w:val="center"/>
          </w:tcPr>
          <w:p>
            <w:pPr>
              <w:pStyle w:val="Compact"/>
              <w:suppressAutoHyphens/>
              <w:jc w:val="center"/>
            </w:pPr>
            <w:r>
              <w:rPr>
                <w:sz w:val="17"/>
                <w:szCs w:val="17"/>
              </w:rPr>
              <w:t xml:space="preserve">0.100</w:t>
            </w:r>
          </w:p>
        </w:tc>
        <w:tc>
          <w:tcPr>
            <w:vAlign w:val="center"/>
          </w:tcPr>
          <w:p>
            <w:pPr>
              <w:pStyle w:val="Compact"/>
              <w:suppressAutoHyphens/>
              <w:jc w:val="center"/>
            </w:pPr>
            <w:r>
              <w:rPr>
                <w:sz w:val="17"/>
                <w:szCs w:val="17"/>
              </w:rPr>
              <w:t xml:space="preserve">0.007</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0.842</w:t>
            </w:r>
          </w:p>
        </w:tc>
        <w:tc>
          <w:tcPr>
            <w:vAlign w:val="center"/>
          </w:tcPr>
          <w:p>
            <w:pPr>
              <w:pStyle w:val="Compact"/>
              <w:suppressAutoHyphens/>
              <w:jc w:val="center"/>
            </w:pPr>
            <w:r>
              <w:rPr>
                <w:sz w:val="17"/>
                <w:szCs w:val="17"/>
              </w:rPr>
              <w:t xml:space="preserve">0.704</w:t>
            </w:r>
          </w:p>
        </w:tc>
        <w:tc>
          <w:tcPr>
            <w:vAlign w:val="center"/>
          </w:tcPr>
          <w:p>
            <w:pPr>
              <w:pStyle w:val="Compact"/>
              <w:suppressAutoHyphens/>
              <w:jc w:val="center"/>
            </w:pPr>
            <w:r>
              <w:rPr>
                <w:sz w:val="17"/>
                <w:szCs w:val="17"/>
              </w:rPr>
              <w:t xml:space="preserve">0.004</w:t>
            </w:r>
          </w:p>
        </w:tc>
        <w:tc>
          <w:tcPr>
            <w:vAlign w:val="center"/>
          </w:tcPr>
          <w:p>
            <w:pPr>
              <w:pStyle w:val="Compact"/>
              <w:suppressAutoHyphens/>
              <w:jc w:val="center"/>
            </w:pPr>
            <w:r>
              <w:rPr>
                <w:sz w:val="17"/>
                <w:szCs w:val="17"/>
              </w:rPr>
              <w:t xml:space="preserve">0.971</w:t>
            </w:r>
          </w:p>
        </w:tc>
        <w:tc>
          <w:tcPr>
            <w:vAlign w:val="center"/>
          </w:tcPr>
          <w:p>
            <w:pPr>
              <w:pStyle w:val="Compact"/>
              <w:suppressAutoHyphens/>
              <w:jc w:val="center"/>
            </w:pPr>
            <w:r>
              <w:rPr>
                <w:sz w:val="17"/>
                <w:szCs w:val="17"/>
              </w:rPr>
              <w:t xml:space="preserve">0.838</w:t>
            </w:r>
          </w:p>
        </w:tc>
        <w:tc>
          <w:tcPr>
            <w:vAlign w:val="center"/>
          </w:tcPr>
          <w:p>
            <w:pPr>
              <w:pStyle w:val="Compact"/>
              <w:suppressAutoHyphens/>
              <w:jc w:val="center"/>
            </w:pPr>
            <w:r>
              <w:rPr>
                <w:sz w:val="17"/>
                <w:szCs w:val="17"/>
              </w:rPr>
              <w:t xml:space="preserve">0.004</w:t>
            </w:r>
          </w:p>
        </w:tc>
        <w:tc>
          <w:tcPr>
            <w:vAlign w:val="center"/>
          </w:tcPr>
          <w:p>
            <w:pPr>
              <w:pStyle w:val="Compact"/>
              <w:suppressAutoHyphens/>
              <w:jc w:val="center"/>
            </w:pPr>
            <w:r>
              <w:rPr>
                <w:sz w:val="17"/>
                <w:szCs w:val="17"/>
              </w:rPr>
              <w:t xml:space="preserve">0.467</w:t>
            </w:r>
          </w:p>
        </w:tc>
        <w:tc>
          <w:tcPr>
            <w:vAlign w:val="center"/>
          </w:tcPr>
          <w:p>
            <w:pPr>
              <w:pStyle w:val="Compact"/>
              <w:suppressAutoHyphens/>
              <w:jc w:val="center"/>
            </w:pPr>
            <w:r>
              <w:rPr>
                <w:sz w:val="17"/>
                <w:szCs w:val="17"/>
              </w:rPr>
              <w:t xml:space="preserve">0.105</w:t>
            </w:r>
          </w:p>
        </w:tc>
        <w:tc>
          <w:tcPr>
            <w:vAlign w:val="center"/>
          </w:tcPr>
          <w:p>
            <w:pPr>
              <w:pStyle w:val="Compact"/>
              <w:suppressAutoHyphens/>
              <w:jc w:val="center"/>
            </w:pPr>
            <w:r>
              <w:rPr>
                <w:sz w:val="17"/>
                <w:szCs w:val="17"/>
              </w:rPr>
              <w:t xml:space="preserve">0.004</w:t>
            </w:r>
          </w:p>
        </w:tc>
      </w:tr>
      <w:tr>
        <w:tc>
          <w:tcPr>
            <w:vAlign w:val="center"/>
          </w:tcPr>
          <w:p>
            <w:pPr>
              <w:pStyle w:val="Compact"/>
              <w:suppressAutoHyphens/>
              <w:jc w:val="center"/>
            </w:pPr>
            <w:r>
              <w:rPr>
                <w:sz w:val="17"/>
                <w:szCs w:val="17"/>
              </w:rPr>
              <w:t xml:space="preserve">GDN</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r>
      <w:tr>
        <w:tc>
          <w:tcPr>
            <w:vAlign w:val="center"/>
          </w:tcPr>
          <w:p>
            <w:pPr>
              <w:pStyle w:val="Compact"/>
              <w:suppressAutoHyphens/>
              <w:jc w:val="center"/>
            </w:pPr>
            <w:r>
              <w:rPr>
                <w:sz w:val="17"/>
                <w:szCs w:val="17"/>
              </w:rPr>
              <w:t xml:space="preserve">VaDE</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0.894</w:t>
            </w:r>
          </w:p>
        </w:tc>
        <w:tc>
          <w:tcPr>
            <w:vAlign w:val="center"/>
          </w:tcPr>
          <w:p>
            <w:pPr>
              <w:pStyle w:val="Compact"/>
              <w:suppressAutoHyphens/>
              <w:jc w:val="center"/>
            </w:pPr>
            <w:r>
              <w:rPr>
                <w:sz w:val="17"/>
                <w:szCs w:val="17"/>
              </w:rPr>
              <w:t xml:space="preserve">0.757</w:t>
            </w:r>
          </w:p>
        </w:tc>
        <w:tc>
          <w:tcPr>
            <w:vAlign w:val="center"/>
          </w:tcPr>
          <w:p>
            <w:pPr>
              <w:pStyle w:val="Compact"/>
              <w:suppressAutoHyphens/>
              <w:jc w:val="center"/>
            </w:pPr>
            <w:r>
              <w:rPr>
                <w:sz w:val="17"/>
                <w:szCs w:val="17"/>
              </w:rPr>
              <w:t xml:space="preserve">0.002</w:t>
            </w:r>
          </w:p>
        </w:tc>
        <w:tc>
          <w:tcPr>
            <w:vAlign w:val="center"/>
          </w:tcPr>
          <w:p>
            <w:pPr>
              <w:pStyle w:val="Compact"/>
              <w:suppressAutoHyphens/>
              <w:jc w:val="center"/>
            </w:pPr>
            <w:r>
              <w:rPr>
                <w:sz w:val="17"/>
                <w:szCs w:val="17"/>
              </w:rPr>
              <w:t xml:space="preserve">0.965</w:t>
            </w:r>
          </w:p>
        </w:tc>
        <w:tc>
          <w:tcPr>
            <w:vAlign w:val="center"/>
          </w:tcPr>
          <w:p>
            <w:pPr>
              <w:pStyle w:val="Compact"/>
              <w:suppressAutoHyphens/>
              <w:jc w:val="center"/>
            </w:pPr>
            <w:r>
              <w:rPr>
                <w:sz w:val="17"/>
                <w:szCs w:val="17"/>
              </w:rPr>
              <w:t xml:space="preserve">0.849</w:t>
            </w:r>
          </w:p>
        </w:tc>
        <w:tc>
          <w:tcPr>
            <w:vAlign w:val="center"/>
          </w:tcPr>
          <w:p>
            <w:pPr>
              <w:pStyle w:val="Compact"/>
              <w:suppressAutoHyphens/>
              <w:jc w:val="center"/>
            </w:pPr>
            <w:r>
              <w:rPr>
                <w:sz w:val="17"/>
                <w:szCs w:val="17"/>
              </w:rPr>
              <w:t xml:space="preserve">0.002</w:t>
            </w:r>
          </w:p>
        </w:tc>
        <w:tc>
          <w:tcPr>
            <w:vAlign w:val="center"/>
          </w:tcPr>
          <w:p>
            <w:pPr>
              <w:pStyle w:val="Compact"/>
              <w:suppressAutoHyphens/>
              <w:jc w:val="center"/>
            </w:pPr>
            <w:r>
              <w:rPr>
                <w:sz w:val="17"/>
                <w:szCs w:val="17"/>
              </w:rPr>
              <w:t xml:space="preserve">0.688</w:t>
            </w:r>
          </w:p>
        </w:tc>
        <w:tc>
          <w:tcPr>
            <w:vAlign w:val="center"/>
          </w:tcPr>
          <w:p>
            <w:pPr>
              <w:pStyle w:val="Compact"/>
              <w:suppressAutoHyphens/>
              <w:jc w:val="center"/>
            </w:pPr>
            <w:r>
              <w:rPr>
                <w:sz w:val="17"/>
                <w:szCs w:val="17"/>
              </w:rPr>
              <w:t xml:space="preserve">0.337</w:t>
            </w:r>
          </w:p>
        </w:tc>
        <w:tc>
          <w:tcPr>
            <w:vAlign w:val="center"/>
          </w:tcPr>
          <w:p>
            <w:pPr>
              <w:pStyle w:val="Compact"/>
              <w:suppressAutoHyphens/>
              <w:jc w:val="center"/>
            </w:pPr>
            <w:r>
              <w:rPr>
                <w:sz w:val="17"/>
                <w:szCs w:val="17"/>
              </w:rPr>
              <w:t xml:space="preserve">0.002</w:t>
            </w:r>
          </w:p>
        </w:tc>
      </w:tr>
      <w:tr>
        <w:tc>
          <w:tcPr>
            <w:vAlign w:val="center"/>
          </w:tcPr>
          <w:p>
            <w:pPr>
              <w:pStyle w:val="Compact"/>
              <w:suppressAutoHyphens/>
              <w:jc w:val="center"/>
            </w:pPr>
            <w:r>
              <w:rPr>
                <w:b/>
                <w:bCs/>
                <w:sz w:val="17"/>
                <w:szCs w:val="17"/>
              </w:rPr>
              <w:t xml:space="preserve">VaDE-hard+resid(auto)</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0.941</w:t>
            </w:r>
          </w:p>
        </w:tc>
        <w:tc>
          <w:tcPr>
            <w:vAlign w:val="center"/>
          </w:tcPr>
          <w:p>
            <w:pPr>
              <w:pStyle w:val="Compact"/>
              <w:suppressAutoHyphens/>
              <w:jc w:val="center"/>
            </w:pPr>
            <w:r>
              <w:rPr>
                <w:sz w:val="17"/>
                <w:szCs w:val="17"/>
              </w:rPr>
              <w:t xml:space="preserve">0.742</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0.979</w:t>
            </w:r>
          </w:p>
        </w:tc>
        <w:tc>
          <w:tcPr>
            <w:vAlign w:val="center"/>
          </w:tcPr>
          <w:p>
            <w:pPr>
              <w:pStyle w:val="Compact"/>
              <w:suppressAutoHyphens/>
              <w:jc w:val="center"/>
            </w:pPr>
            <w:r>
              <w:rPr>
                <w:sz w:val="17"/>
                <w:szCs w:val="17"/>
              </w:rPr>
              <w:t xml:space="preserve">0.820</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0.831</w:t>
            </w:r>
          </w:p>
        </w:tc>
        <w:tc>
          <w:tcPr>
            <w:vAlign w:val="center"/>
          </w:tcPr>
          <w:p>
            <w:pPr>
              <w:pStyle w:val="Compact"/>
              <w:suppressAutoHyphens/>
              <w:jc w:val="center"/>
            </w:pPr>
            <w:r>
              <w:rPr>
                <w:sz w:val="17"/>
                <w:szCs w:val="17"/>
              </w:rPr>
              <w:t xml:space="preserve">0.443</w:t>
            </w:r>
          </w:p>
        </w:tc>
        <w:tc>
          <w:tcPr>
            <w:vAlign w:val="center"/>
          </w:tcPr>
          <w:p>
            <w:pPr>
              <w:pStyle w:val="Compact"/>
              <w:suppressAutoHyphens/>
              <w:jc w:val="center"/>
            </w:pPr>
            <w:r>
              <w:rPr>
                <w:sz w:val="17"/>
                <w:szCs w:val="17"/>
              </w:rPr>
              <w:t xml:space="preserve">0.005</w:t>
            </w:r>
          </w:p>
        </w:tc>
      </w:tr>
      <w:tr>
        <w:tc>
          <w:tcPr>
            <w:gridSpan w:val="11"/>
            <w:vAlign w:val="center"/>
          </w:tcPr>
          <w:p>
            <w:pPr>
              <w:pStyle w:val="Compact"/>
              <w:suppressAutoHyphens/>
              <w:jc w:val="center"/>
            </w:pPr>
            <w:r>
              <w:rPr>
                <w:b/>
                <w:bCs/>
                <w:sz w:val="17"/>
                <w:szCs w:val="17"/>
              </w:rPr>
              <w:t xml:space="preserve">SKAB</w:t>
            </w:r>
            <w:r>
              <w:rPr>
                <w:sz w:val="17"/>
                <w:szCs w:val="17"/>
              </w:rPr>
              <w:t xml:space="preserve"> </w:t>
            </w:r>
            <w:r>
              <w:rPr>
                <w:sz w:val="17"/>
                <w:szCs w:val="17"/>
              </w:rPr>
              <w:t xml:space="preserve"> </w:t>
            </w:r>
            <w:r>
              <w:rPr>
                <w:sz w:val="17"/>
                <w:szCs w:val="17"/>
              </w:rPr>
              <w:t xml:space="preserve">(test 631; normal 377; anom 254 = 69 easy + 185 difficult; matched normals: all 377 / easy 102 / difficult 275; GDN not run on SKAB)</w:t>
            </w:r>
          </w:p>
        </w:tc>
      </w:tr>
      <w:tr>
        <w:tc>
          <w:tcPr>
            <w:vAlign w:val="center"/>
          </w:tcPr>
          <w:p>
            <w:pPr>
              <w:pStyle w:val="Compact"/>
              <w:suppressAutoHyphens/>
              <w:jc w:val="center"/>
            </w:pPr>
            <w:r>
              <w:rPr>
                <w:sz w:val="17"/>
                <w:szCs w:val="17"/>
              </w:rPr>
              <w:t xml:space="preserve">trivial max|z|</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0.554</w:t>
            </w:r>
          </w:p>
        </w:tc>
        <w:tc>
          <w:tcPr>
            <w:vAlign w:val="center"/>
          </w:tcPr>
          <w:p>
            <w:pPr>
              <w:pStyle w:val="Compact"/>
              <w:suppressAutoHyphens/>
              <w:jc w:val="center"/>
            </w:pPr>
            <w:r>
              <w:rPr>
                <w:sz w:val="17"/>
                <w:szCs w:val="17"/>
              </w:rPr>
              <w:t xml:space="preserve">0.469</w:t>
            </w:r>
          </w:p>
        </w:tc>
        <w:tc>
          <w:tcPr>
            <w:vAlign w:val="center"/>
          </w:tcPr>
          <w:p>
            <w:pPr>
              <w:pStyle w:val="Compact"/>
              <w:suppressAutoHyphens/>
              <w:jc w:val="center"/>
            </w:pPr>
            <w:r>
              <w:rPr>
                <w:sz w:val="17"/>
                <w:szCs w:val="17"/>
              </w:rPr>
              <w:t xml:space="preserve">0.011</w:t>
            </w:r>
          </w:p>
        </w:tc>
        <w:tc>
          <w:tcPr>
            <w:vAlign w:val="center"/>
          </w:tcPr>
          <w:p>
            <w:pPr>
              <w:pStyle w:val="Compact"/>
              <w:suppressAutoHyphens/>
              <w:jc w:val="center"/>
            </w:pPr>
            <w:r>
              <w:rPr>
                <w:sz w:val="17"/>
                <w:szCs w:val="17"/>
              </w:rPr>
              <w:t xml:space="preserve">1.000</w:t>
            </w:r>
          </w:p>
        </w:tc>
        <w:tc>
          <w:tcPr>
            <w:vAlign w:val="center"/>
          </w:tcPr>
          <w:p>
            <w:pPr>
              <w:pStyle w:val="Compact"/>
              <w:suppressAutoHyphens/>
              <w:jc w:val="center"/>
            </w:pPr>
            <w:r>
              <w:rPr>
                <w:sz w:val="17"/>
                <w:szCs w:val="17"/>
              </w:rPr>
              <w:t xml:space="preserve">0.996</w:t>
            </w:r>
          </w:p>
        </w:tc>
        <w:tc>
          <w:tcPr>
            <w:vAlign w:val="center"/>
          </w:tcPr>
          <w:p>
            <w:pPr>
              <w:pStyle w:val="Compact"/>
              <w:suppressAutoHyphens/>
              <w:jc w:val="center"/>
            </w:pPr>
            <w:r>
              <w:rPr>
                <w:sz w:val="17"/>
                <w:szCs w:val="17"/>
              </w:rPr>
              <w:t xml:space="preserve">0.011</w:t>
            </w:r>
          </w:p>
        </w:tc>
        <w:tc>
          <w:tcPr>
            <w:vAlign w:val="center"/>
          </w:tcPr>
          <w:p>
            <w:pPr>
              <w:pStyle w:val="Compact"/>
              <w:suppressAutoHyphens/>
              <w:jc w:val="center"/>
            </w:pPr>
            <w:r>
              <w:rPr>
                <w:sz w:val="17"/>
                <w:szCs w:val="17"/>
              </w:rPr>
              <w:t xml:space="preserve">0.388</w:t>
            </w:r>
          </w:p>
        </w:tc>
        <w:tc>
          <w:tcPr>
            <w:vAlign w:val="center"/>
          </w:tcPr>
          <w:p>
            <w:pPr>
              <w:pStyle w:val="Compact"/>
              <w:suppressAutoHyphens/>
              <w:jc w:val="center"/>
            </w:pPr>
            <w:r>
              <w:rPr>
                <w:sz w:val="17"/>
                <w:szCs w:val="17"/>
              </w:rPr>
              <w:t xml:space="preserve">0.331</w:t>
            </w:r>
          </w:p>
        </w:tc>
        <w:tc>
          <w:tcPr>
            <w:vAlign w:val="center"/>
          </w:tcPr>
          <w:p>
            <w:pPr>
              <w:pStyle w:val="Compact"/>
              <w:suppressAutoHyphens/>
              <w:jc w:val="center"/>
            </w:pPr>
            <w:r>
              <w:rPr>
                <w:sz w:val="17"/>
                <w:szCs w:val="17"/>
              </w:rPr>
              <w:t xml:space="preserve">0.011</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0.640</w:t>
            </w:r>
          </w:p>
        </w:tc>
        <w:tc>
          <w:tcPr>
            <w:vAlign w:val="center"/>
          </w:tcPr>
          <w:p>
            <w:pPr>
              <w:pStyle w:val="Compact"/>
              <w:suppressAutoHyphens/>
              <w:jc w:val="center"/>
            </w:pPr>
            <w:r>
              <w:rPr>
                <w:sz w:val="17"/>
                <w:szCs w:val="17"/>
              </w:rPr>
              <w:t xml:space="preserve">0.509</w:t>
            </w:r>
          </w:p>
        </w:tc>
        <w:tc>
          <w:tcPr>
            <w:vAlign w:val="center"/>
          </w:tcPr>
          <w:p>
            <w:pPr>
              <w:pStyle w:val="Compact"/>
              <w:suppressAutoHyphens/>
              <w:jc w:val="center"/>
            </w:pPr>
            <w:r>
              <w:rPr>
                <w:sz w:val="17"/>
                <w:szCs w:val="17"/>
              </w:rPr>
              <w:t xml:space="preserve">0.454</w:t>
            </w:r>
          </w:p>
        </w:tc>
        <w:tc>
          <w:tcPr>
            <w:vAlign w:val="center"/>
          </w:tcPr>
          <w:p>
            <w:pPr>
              <w:pStyle w:val="Compact"/>
              <w:suppressAutoHyphens/>
              <w:jc w:val="center"/>
            </w:pPr>
            <w:r>
              <w:rPr>
                <w:sz w:val="17"/>
                <w:szCs w:val="17"/>
              </w:rPr>
              <w:t xml:space="preserve">0.941</w:t>
            </w:r>
          </w:p>
        </w:tc>
        <w:tc>
          <w:tcPr>
            <w:vAlign w:val="center"/>
          </w:tcPr>
          <w:p>
            <w:pPr>
              <w:pStyle w:val="Compact"/>
              <w:suppressAutoHyphens/>
              <w:jc w:val="center"/>
            </w:pPr>
            <w:r>
              <w:rPr>
                <w:sz w:val="17"/>
                <w:szCs w:val="17"/>
              </w:rPr>
              <w:t xml:space="preserve">0.885</w:t>
            </w:r>
          </w:p>
        </w:tc>
        <w:tc>
          <w:tcPr>
            <w:vAlign w:val="center"/>
          </w:tcPr>
          <w:p>
            <w:pPr>
              <w:pStyle w:val="Compact"/>
              <w:suppressAutoHyphens/>
              <w:jc w:val="center"/>
            </w:pPr>
            <w:r>
              <w:rPr>
                <w:sz w:val="17"/>
                <w:szCs w:val="17"/>
              </w:rPr>
              <w:t xml:space="preserve">0.454</w:t>
            </w:r>
          </w:p>
        </w:tc>
        <w:tc>
          <w:tcPr>
            <w:vAlign w:val="center"/>
          </w:tcPr>
          <w:p>
            <w:pPr>
              <w:pStyle w:val="Compact"/>
              <w:suppressAutoHyphens/>
              <w:jc w:val="center"/>
            </w:pPr>
            <w:r>
              <w:rPr>
                <w:sz w:val="17"/>
                <w:szCs w:val="17"/>
              </w:rPr>
              <w:t xml:space="preserve">0.528</w:t>
            </w:r>
          </w:p>
        </w:tc>
        <w:tc>
          <w:tcPr>
            <w:vAlign w:val="center"/>
          </w:tcPr>
          <w:p>
            <w:pPr>
              <w:pStyle w:val="Compact"/>
              <w:suppressAutoHyphens/>
              <w:jc w:val="center"/>
            </w:pPr>
            <w:r>
              <w:rPr>
                <w:sz w:val="17"/>
                <w:szCs w:val="17"/>
              </w:rPr>
              <w:t xml:space="preserve">0.472</w:t>
            </w:r>
          </w:p>
        </w:tc>
        <w:tc>
          <w:tcPr>
            <w:vAlign w:val="center"/>
          </w:tcPr>
          <w:p>
            <w:pPr>
              <w:pStyle w:val="Compact"/>
              <w:suppressAutoHyphens/>
              <w:jc w:val="center"/>
            </w:pPr>
            <w:r>
              <w:rPr>
                <w:sz w:val="17"/>
                <w:szCs w:val="17"/>
              </w:rPr>
              <w:t xml:space="preserve">0.454</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0.614</w:t>
            </w:r>
          </w:p>
        </w:tc>
        <w:tc>
          <w:tcPr>
            <w:vAlign w:val="center"/>
          </w:tcPr>
          <w:p>
            <w:pPr>
              <w:pStyle w:val="Compact"/>
              <w:suppressAutoHyphens/>
              <w:jc w:val="center"/>
            </w:pPr>
            <w:r>
              <w:rPr>
                <w:sz w:val="17"/>
                <w:szCs w:val="17"/>
              </w:rPr>
              <w:t xml:space="preserve">0.530</w:t>
            </w:r>
          </w:p>
        </w:tc>
        <w:tc>
          <w:tcPr>
            <w:vAlign w:val="center"/>
          </w:tcPr>
          <w:p>
            <w:pPr>
              <w:pStyle w:val="Compact"/>
              <w:suppressAutoHyphens/>
              <w:jc w:val="center"/>
            </w:pPr>
            <w:r>
              <w:rPr>
                <w:sz w:val="17"/>
                <w:szCs w:val="17"/>
              </w:rPr>
              <w:t xml:space="preserve">0.422</w:t>
            </w:r>
          </w:p>
        </w:tc>
        <w:tc>
          <w:tcPr>
            <w:vAlign w:val="center"/>
          </w:tcPr>
          <w:p>
            <w:pPr>
              <w:pStyle w:val="Compact"/>
              <w:suppressAutoHyphens/>
              <w:jc w:val="center"/>
            </w:pPr>
            <w:r>
              <w:rPr>
                <w:sz w:val="17"/>
                <w:szCs w:val="17"/>
              </w:rPr>
              <w:t xml:space="preserve">0.910</w:t>
            </w:r>
          </w:p>
        </w:tc>
        <w:tc>
          <w:tcPr>
            <w:vAlign w:val="center"/>
          </w:tcPr>
          <w:p>
            <w:pPr>
              <w:pStyle w:val="Compact"/>
              <w:suppressAutoHyphens/>
              <w:jc w:val="center"/>
            </w:pPr>
            <w:r>
              <w:rPr>
                <w:sz w:val="17"/>
                <w:szCs w:val="17"/>
              </w:rPr>
              <w:t xml:space="preserve">0.795</w:t>
            </w:r>
          </w:p>
        </w:tc>
        <w:tc>
          <w:tcPr>
            <w:vAlign w:val="center"/>
          </w:tcPr>
          <w:p>
            <w:pPr>
              <w:pStyle w:val="Compact"/>
              <w:suppressAutoHyphens/>
              <w:jc w:val="center"/>
            </w:pPr>
            <w:r>
              <w:rPr>
                <w:sz w:val="17"/>
                <w:szCs w:val="17"/>
              </w:rPr>
              <w:t xml:space="preserve">0.422</w:t>
            </w:r>
          </w:p>
        </w:tc>
        <w:tc>
          <w:tcPr>
            <w:vAlign w:val="center"/>
          </w:tcPr>
          <w:p>
            <w:pPr>
              <w:pStyle w:val="Compact"/>
              <w:suppressAutoHyphens/>
              <w:jc w:val="center"/>
            </w:pPr>
            <w:r>
              <w:rPr>
                <w:sz w:val="17"/>
                <w:szCs w:val="17"/>
              </w:rPr>
              <w:t xml:space="preserve">0.504</w:t>
            </w:r>
          </w:p>
        </w:tc>
        <w:tc>
          <w:tcPr>
            <w:vAlign w:val="center"/>
          </w:tcPr>
          <w:p>
            <w:pPr>
              <w:pStyle w:val="Compact"/>
              <w:suppressAutoHyphens/>
              <w:jc w:val="center"/>
            </w:pPr>
            <w:r>
              <w:rPr>
                <w:sz w:val="17"/>
                <w:szCs w:val="17"/>
              </w:rPr>
              <w:t xml:space="preserve">0.447</w:t>
            </w:r>
          </w:p>
        </w:tc>
        <w:tc>
          <w:tcPr>
            <w:vAlign w:val="center"/>
          </w:tcPr>
          <w:p>
            <w:pPr>
              <w:pStyle w:val="Compact"/>
              <w:suppressAutoHyphens/>
              <w:jc w:val="center"/>
            </w:pPr>
            <w:r>
              <w:rPr>
                <w:sz w:val="17"/>
                <w:szCs w:val="17"/>
              </w:rPr>
              <w:t xml:space="preserve">0.422</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0.651</w:t>
            </w:r>
          </w:p>
        </w:tc>
        <w:tc>
          <w:tcPr>
            <w:vAlign w:val="center"/>
          </w:tcPr>
          <w:p>
            <w:pPr>
              <w:pStyle w:val="Compact"/>
              <w:suppressAutoHyphens/>
              <w:jc w:val="center"/>
            </w:pPr>
            <w:r>
              <w:rPr>
                <w:sz w:val="17"/>
                <w:szCs w:val="17"/>
              </w:rPr>
              <w:t xml:space="preserve">0.537</w:t>
            </w:r>
          </w:p>
        </w:tc>
        <w:tc>
          <w:tcPr>
            <w:vAlign w:val="center"/>
          </w:tcPr>
          <w:p>
            <w:pPr>
              <w:pStyle w:val="Compact"/>
              <w:suppressAutoHyphens/>
              <w:jc w:val="center"/>
            </w:pPr>
            <w:r>
              <w:rPr>
                <w:sz w:val="17"/>
                <w:szCs w:val="17"/>
              </w:rPr>
              <w:t xml:space="preserve">0.416</w:t>
            </w:r>
          </w:p>
        </w:tc>
        <w:tc>
          <w:tcPr>
            <w:vAlign w:val="center"/>
          </w:tcPr>
          <w:p>
            <w:pPr>
              <w:pStyle w:val="Compact"/>
              <w:suppressAutoHyphens/>
              <w:jc w:val="center"/>
            </w:pPr>
            <w:r>
              <w:rPr>
                <w:sz w:val="17"/>
                <w:szCs w:val="17"/>
              </w:rPr>
              <w:t xml:space="preserve">0.812</w:t>
            </w:r>
          </w:p>
        </w:tc>
        <w:tc>
          <w:tcPr>
            <w:vAlign w:val="center"/>
          </w:tcPr>
          <w:p>
            <w:pPr>
              <w:pStyle w:val="Compact"/>
              <w:suppressAutoHyphens/>
              <w:jc w:val="center"/>
            </w:pPr>
            <w:r>
              <w:rPr>
                <w:sz w:val="17"/>
                <w:szCs w:val="17"/>
              </w:rPr>
              <w:t xml:space="preserve">0.714</w:t>
            </w:r>
          </w:p>
        </w:tc>
        <w:tc>
          <w:tcPr>
            <w:vAlign w:val="center"/>
          </w:tcPr>
          <w:p>
            <w:pPr>
              <w:pStyle w:val="Compact"/>
              <w:suppressAutoHyphens/>
              <w:jc w:val="center"/>
            </w:pPr>
            <w:r>
              <w:rPr>
                <w:sz w:val="17"/>
                <w:szCs w:val="17"/>
              </w:rPr>
              <w:t xml:space="preserve">0.416</w:t>
            </w:r>
          </w:p>
        </w:tc>
        <w:tc>
          <w:tcPr>
            <w:vAlign w:val="center"/>
          </w:tcPr>
          <w:p>
            <w:pPr>
              <w:pStyle w:val="Compact"/>
              <w:suppressAutoHyphens/>
              <w:jc w:val="center"/>
            </w:pPr>
            <w:r>
              <w:rPr>
                <w:sz w:val="17"/>
                <w:szCs w:val="17"/>
              </w:rPr>
              <w:t xml:space="preserve">0.591</w:t>
            </w:r>
          </w:p>
        </w:tc>
        <w:tc>
          <w:tcPr>
            <w:vAlign w:val="center"/>
          </w:tcPr>
          <w:p>
            <w:pPr>
              <w:pStyle w:val="Compact"/>
              <w:suppressAutoHyphens/>
              <w:jc w:val="center"/>
            </w:pPr>
            <w:r>
              <w:rPr>
                <w:sz w:val="17"/>
                <w:szCs w:val="17"/>
              </w:rPr>
              <w:t xml:space="preserve">0.497</w:t>
            </w:r>
          </w:p>
        </w:tc>
        <w:tc>
          <w:tcPr>
            <w:vAlign w:val="center"/>
          </w:tcPr>
          <w:p>
            <w:pPr>
              <w:pStyle w:val="Compact"/>
              <w:suppressAutoHyphens/>
              <w:jc w:val="center"/>
            </w:pPr>
            <w:r>
              <w:rPr>
                <w:sz w:val="17"/>
                <w:szCs w:val="17"/>
              </w:rPr>
              <w:t xml:space="preserve">0.416</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0.622</w:t>
            </w:r>
          </w:p>
        </w:tc>
        <w:tc>
          <w:tcPr>
            <w:vAlign w:val="center"/>
          </w:tcPr>
          <w:p>
            <w:pPr>
              <w:pStyle w:val="Compact"/>
              <w:suppressAutoHyphens/>
              <w:jc w:val="center"/>
            </w:pPr>
            <w:r>
              <w:rPr>
                <w:sz w:val="17"/>
                <w:szCs w:val="17"/>
              </w:rPr>
              <w:t xml:space="preserve">0.549</w:t>
            </w:r>
          </w:p>
        </w:tc>
        <w:tc>
          <w:tcPr>
            <w:vAlign w:val="center"/>
          </w:tcPr>
          <w:p>
            <w:pPr>
              <w:pStyle w:val="Compact"/>
              <w:suppressAutoHyphens/>
              <w:jc w:val="center"/>
            </w:pPr>
            <w:r>
              <w:rPr>
                <w:sz w:val="17"/>
                <w:szCs w:val="17"/>
              </w:rPr>
              <w:t xml:space="preserve">0.358</w:t>
            </w:r>
          </w:p>
        </w:tc>
        <w:tc>
          <w:tcPr>
            <w:vAlign w:val="center"/>
          </w:tcPr>
          <w:p>
            <w:pPr>
              <w:pStyle w:val="Compact"/>
              <w:suppressAutoHyphens/>
              <w:jc w:val="center"/>
            </w:pPr>
            <w:r>
              <w:rPr>
                <w:sz w:val="17"/>
                <w:szCs w:val="17"/>
              </w:rPr>
              <w:t xml:space="preserve">0.932</w:t>
            </w:r>
          </w:p>
        </w:tc>
        <w:tc>
          <w:tcPr>
            <w:vAlign w:val="center"/>
          </w:tcPr>
          <w:p>
            <w:pPr>
              <w:pStyle w:val="Compact"/>
              <w:suppressAutoHyphens/>
              <w:jc w:val="center"/>
            </w:pPr>
            <w:r>
              <w:rPr>
                <w:sz w:val="17"/>
                <w:szCs w:val="17"/>
              </w:rPr>
              <w:t xml:space="preserve">0.864</w:t>
            </w:r>
          </w:p>
        </w:tc>
        <w:tc>
          <w:tcPr>
            <w:vAlign w:val="center"/>
          </w:tcPr>
          <w:p>
            <w:pPr>
              <w:pStyle w:val="Compact"/>
              <w:suppressAutoHyphens/>
              <w:jc w:val="center"/>
            </w:pPr>
            <w:r>
              <w:rPr>
                <w:sz w:val="17"/>
                <w:szCs w:val="17"/>
              </w:rPr>
              <w:t xml:space="preserve">0.358</w:t>
            </w:r>
          </w:p>
        </w:tc>
        <w:tc>
          <w:tcPr>
            <w:vAlign w:val="center"/>
          </w:tcPr>
          <w:p>
            <w:pPr>
              <w:pStyle w:val="Compact"/>
              <w:suppressAutoHyphens/>
              <w:jc w:val="center"/>
            </w:pPr>
            <w:r>
              <w:rPr>
                <w:sz w:val="17"/>
                <w:szCs w:val="17"/>
              </w:rPr>
              <w:t xml:space="preserve">0.507</w:t>
            </w:r>
          </w:p>
        </w:tc>
        <w:tc>
          <w:tcPr>
            <w:vAlign w:val="center"/>
          </w:tcPr>
          <w:p>
            <w:pPr>
              <w:pStyle w:val="Compact"/>
              <w:suppressAutoHyphens/>
              <w:jc w:val="center"/>
            </w:pPr>
            <w:r>
              <w:rPr>
                <w:sz w:val="17"/>
                <w:szCs w:val="17"/>
              </w:rPr>
              <w:t xml:space="preserve">0.452</w:t>
            </w:r>
          </w:p>
        </w:tc>
        <w:tc>
          <w:tcPr>
            <w:vAlign w:val="center"/>
          </w:tcPr>
          <w:p>
            <w:pPr>
              <w:pStyle w:val="Compact"/>
              <w:suppressAutoHyphens/>
              <w:jc w:val="center"/>
            </w:pPr>
            <w:r>
              <w:rPr>
                <w:sz w:val="17"/>
                <w:szCs w:val="17"/>
              </w:rPr>
              <w:t xml:space="preserve">0.358</w:t>
            </w:r>
          </w:p>
        </w:tc>
      </w:tr>
      <w:tr>
        <w:tc>
          <w:tcPr>
            <w:vAlign w:val="center"/>
          </w:tcPr>
          <w:p>
            <w:pPr>
              <w:pStyle w:val="Compact"/>
              <w:suppressAutoHyphens/>
              <w:jc w:val="center"/>
            </w:pPr>
            <w:r>
              <w:rPr>
                <w:sz w:val="17"/>
                <w:szCs w:val="17"/>
              </w:rPr>
              <w:t xml:space="preserve">GDN</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r>
      <w:tr>
        <w:tc>
          <w:tcPr>
            <w:vAlign w:val="center"/>
          </w:tcPr>
          <w:p>
            <w:pPr>
              <w:pStyle w:val="Compact"/>
              <w:suppressAutoHyphens/>
              <w:jc w:val="center"/>
            </w:pPr>
            <w:r>
              <w:rPr>
                <w:sz w:val="17"/>
                <w:szCs w:val="17"/>
              </w:rPr>
              <w:t xml:space="preserve">VaDE</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0.579</w:t>
            </w:r>
          </w:p>
        </w:tc>
        <w:tc>
          <w:tcPr>
            <w:vAlign w:val="center"/>
          </w:tcPr>
          <w:p>
            <w:pPr>
              <w:pStyle w:val="Compact"/>
              <w:suppressAutoHyphens/>
              <w:jc w:val="center"/>
            </w:pPr>
            <w:r>
              <w:rPr>
                <w:sz w:val="17"/>
                <w:szCs w:val="17"/>
              </w:rPr>
              <w:t xml:space="preserve">0.479</w:t>
            </w:r>
          </w:p>
        </w:tc>
        <w:tc>
          <w:tcPr>
            <w:vAlign w:val="center"/>
          </w:tcPr>
          <w:p>
            <w:pPr>
              <w:pStyle w:val="Compact"/>
              <w:suppressAutoHyphens/>
              <w:jc w:val="center"/>
            </w:pPr>
            <w:r>
              <w:rPr>
                <w:sz w:val="17"/>
                <w:szCs w:val="17"/>
              </w:rPr>
              <w:t xml:space="preserve">0.294</w:t>
            </w:r>
          </w:p>
        </w:tc>
        <w:tc>
          <w:tcPr>
            <w:vAlign w:val="center"/>
          </w:tcPr>
          <w:p>
            <w:pPr>
              <w:pStyle w:val="Compact"/>
              <w:suppressAutoHyphens/>
              <w:jc w:val="center"/>
            </w:pPr>
            <w:r>
              <w:rPr>
                <w:sz w:val="17"/>
                <w:szCs w:val="17"/>
              </w:rPr>
              <w:t xml:space="preserve">0.946</w:t>
            </w:r>
          </w:p>
        </w:tc>
        <w:tc>
          <w:tcPr>
            <w:vAlign w:val="center"/>
          </w:tcPr>
          <w:p>
            <w:pPr>
              <w:pStyle w:val="Compact"/>
              <w:suppressAutoHyphens/>
              <w:jc w:val="center"/>
            </w:pPr>
            <w:r>
              <w:rPr>
                <w:sz w:val="17"/>
                <w:szCs w:val="17"/>
              </w:rPr>
              <w:t xml:space="preserve">0.853</w:t>
            </w:r>
          </w:p>
        </w:tc>
        <w:tc>
          <w:tcPr>
            <w:vAlign w:val="center"/>
          </w:tcPr>
          <w:p>
            <w:pPr>
              <w:pStyle w:val="Compact"/>
              <w:suppressAutoHyphens/>
              <w:jc w:val="center"/>
            </w:pPr>
            <w:r>
              <w:rPr>
                <w:sz w:val="17"/>
                <w:szCs w:val="17"/>
              </w:rPr>
              <w:t xml:space="preserve">0.294</w:t>
            </w:r>
          </w:p>
        </w:tc>
        <w:tc>
          <w:tcPr>
            <w:vAlign w:val="center"/>
          </w:tcPr>
          <w:p>
            <w:pPr>
              <w:pStyle w:val="Compact"/>
              <w:suppressAutoHyphens/>
              <w:jc w:val="center"/>
            </w:pPr>
            <w:r>
              <w:rPr>
                <w:sz w:val="17"/>
                <w:szCs w:val="17"/>
              </w:rPr>
              <w:t xml:space="preserve">0.442</w:t>
            </w:r>
          </w:p>
        </w:tc>
        <w:tc>
          <w:tcPr>
            <w:vAlign w:val="center"/>
          </w:tcPr>
          <w:p>
            <w:pPr>
              <w:pStyle w:val="Compact"/>
              <w:suppressAutoHyphens/>
              <w:jc w:val="center"/>
            </w:pPr>
            <w:r>
              <w:rPr>
                <w:sz w:val="17"/>
                <w:szCs w:val="17"/>
              </w:rPr>
              <w:t xml:space="preserve">0.381</w:t>
            </w:r>
          </w:p>
        </w:tc>
        <w:tc>
          <w:tcPr>
            <w:vAlign w:val="center"/>
          </w:tcPr>
          <w:p>
            <w:pPr>
              <w:pStyle w:val="Compact"/>
              <w:suppressAutoHyphens/>
              <w:jc w:val="center"/>
            </w:pPr>
            <w:r>
              <w:rPr>
                <w:sz w:val="17"/>
                <w:szCs w:val="17"/>
              </w:rPr>
              <w:t xml:space="preserve">0.294</w:t>
            </w:r>
          </w:p>
        </w:tc>
      </w:tr>
      <w:tr>
        <w:tc>
          <w:tcPr>
            <w:vAlign w:val="center"/>
          </w:tcPr>
          <w:p>
            <w:pPr>
              <w:pStyle w:val="Compact"/>
              <w:suppressAutoHyphens/>
              <w:jc w:val="center"/>
            </w:pPr>
            <w:r>
              <w:rPr>
                <w:b/>
                <w:bCs/>
                <w:sz w:val="17"/>
                <w:szCs w:val="17"/>
              </w:rPr>
              <w:t xml:space="preserve">VaDE-hard+resid(auto)</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0.685</w:t>
            </w:r>
          </w:p>
        </w:tc>
        <w:tc>
          <w:tcPr>
            <w:vAlign w:val="center"/>
          </w:tcPr>
          <w:p>
            <w:pPr>
              <w:pStyle w:val="Compact"/>
              <w:suppressAutoHyphens/>
              <w:jc w:val="center"/>
            </w:pPr>
            <w:r>
              <w:rPr>
                <w:sz w:val="17"/>
                <w:szCs w:val="17"/>
              </w:rPr>
              <w:t xml:space="preserve">0.568</w:t>
            </w:r>
          </w:p>
        </w:tc>
        <w:tc>
          <w:tcPr>
            <w:vAlign w:val="center"/>
          </w:tcPr>
          <w:p>
            <w:pPr>
              <w:pStyle w:val="Compact"/>
              <w:suppressAutoHyphens/>
              <w:jc w:val="center"/>
            </w:pPr>
            <w:r>
              <w:rPr>
                <w:sz w:val="17"/>
                <w:szCs w:val="17"/>
              </w:rPr>
              <w:t xml:space="preserve">0.408</w:t>
            </w:r>
          </w:p>
        </w:tc>
        <w:tc>
          <w:tcPr>
            <w:vAlign w:val="center"/>
          </w:tcPr>
          <w:p>
            <w:pPr>
              <w:pStyle w:val="Compact"/>
              <w:suppressAutoHyphens/>
              <w:jc w:val="center"/>
            </w:pPr>
            <w:r>
              <w:rPr>
                <w:sz w:val="17"/>
                <w:szCs w:val="17"/>
              </w:rPr>
              <w:t xml:space="preserve">0.883</w:t>
            </w:r>
          </w:p>
        </w:tc>
        <w:tc>
          <w:tcPr>
            <w:vAlign w:val="center"/>
          </w:tcPr>
          <w:p>
            <w:pPr>
              <w:pStyle w:val="Compact"/>
              <w:suppressAutoHyphens/>
              <w:jc w:val="center"/>
            </w:pPr>
            <w:r>
              <w:rPr>
                <w:sz w:val="17"/>
                <w:szCs w:val="17"/>
              </w:rPr>
              <w:t xml:space="preserve">0.795</w:t>
            </w:r>
          </w:p>
        </w:tc>
        <w:tc>
          <w:tcPr>
            <w:vAlign w:val="center"/>
          </w:tcPr>
          <w:p>
            <w:pPr>
              <w:pStyle w:val="Compact"/>
              <w:suppressAutoHyphens/>
              <w:jc w:val="center"/>
            </w:pPr>
            <w:r>
              <w:rPr>
                <w:sz w:val="17"/>
                <w:szCs w:val="17"/>
              </w:rPr>
              <w:t xml:space="preserve">0.408</w:t>
            </w:r>
          </w:p>
        </w:tc>
        <w:tc>
          <w:tcPr>
            <w:vAlign w:val="center"/>
          </w:tcPr>
          <w:p>
            <w:pPr>
              <w:pStyle w:val="Compact"/>
              <w:suppressAutoHyphens/>
              <w:jc w:val="center"/>
            </w:pPr>
            <w:r>
              <w:rPr>
                <w:sz w:val="17"/>
                <w:szCs w:val="17"/>
              </w:rPr>
              <w:t xml:space="preserve">0.610</w:t>
            </w:r>
          </w:p>
        </w:tc>
        <w:tc>
          <w:tcPr>
            <w:vAlign w:val="center"/>
          </w:tcPr>
          <w:p>
            <w:pPr>
              <w:pStyle w:val="Compact"/>
              <w:suppressAutoHyphens/>
              <w:jc w:val="center"/>
            </w:pPr>
            <w:r>
              <w:rPr>
                <w:sz w:val="17"/>
                <w:szCs w:val="17"/>
              </w:rPr>
              <w:t xml:space="preserve">0.514</w:t>
            </w:r>
          </w:p>
        </w:tc>
        <w:tc>
          <w:tcPr>
            <w:vAlign w:val="center"/>
          </w:tcPr>
          <w:p>
            <w:pPr>
              <w:pStyle w:val="Compact"/>
              <w:suppressAutoHyphens/>
              <w:jc w:val="center"/>
            </w:pPr>
            <w:r>
              <w:rPr>
                <w:sz w:val="17"/>
                <w:szCs w:val="17"/>
              </w:rPr>
              <w:t xml:space="preserve">0.408</w:t>
            </w:r>
          </w:p>
        </w:tc>
      </w:tr>
    </w:tbl>
    <w:p>
      <w:pPr>
        <w:pStyle w:val="MDPI31text"/>
        <w:ind w:left="2608"/>
      </w:pPr>
      <w:r>
        <w:rPr>
          <w:b/>
          <w:bCs/>
        </w:rPr>
        <w:t xml:space="preserve">Overall detection.</w:t>
      </w:r>
      <w:r>
        <w:t xml:space="preserve"> </w:t>
      </w:r>
      <w:r>
        <w:t xml:space="preserve">The headline model attains the best All-subset AUROC of any method on</w:t>
      </w:r>
      <w:r>
        <w:t xml:space="preserve"> </w:t>
      </w:r>
      <w:r>
        <w:t xml:space="preserve">every dataset: WADI 0.803, HAI 0.941 and SKAB 0.685. On WADI and HAI it clears the strongest baseline and all</w:t>
      </w:r>
      <w:r>
        <w:t xml:space="preserve"> </w:t>
      </w:r>
      <w:r>
        <w:t xml:space="preserve">three SOTA methods by a wide margin; on SKAB the margin is slim but clean, topping the best competitor (USAD</w:t>
      </w:r>
      <w:r>
        <w:t xml:space="preserve"> </w:t>
      </w:r>
      <w:r>
        <w:t xml:space="preserve">0.651) as well as Isolation Forest (0.640), AutoEncoder (0.614), TranAD (0.622) and plain VaDE (0.579). The</w:t>
      </w:r>
      <w:r>
        <w:t xml:space="preserve"> </w:t>
      </w:r>
      <w:r>
        <w:t xml:space="preserve">detector thus leads the combined column on all three datasets.</w:t>
      </w:r>
    </w:p>
    <w:p>
      <w:pPr>
        <w:pStyle w:val="MDPI31text"/>
        <w:ind w:left="2608"/>
      </w:pPr>
      <w:r>
        <w:rPr>
          <w:b/>
          <w:bCs/>
        </w:rPr>
        <w:t xml:space="preserve">Difficult, joint-structure faults.</w:t>
      </w:r>
      <w:r>
        <w:t xml:space="preserve"> </w:t>
      </w:r>
      <w:r>
        <w:t xml:space="preserve">This is where the design earns its keep, and the model leads the difficult subset on all three</w:t>
      </w:r>
      <w:r>
        <w:t xml:space="preserve"> </w:t>
      </w:r>
      <w:r>
        <w:t xml:space="preserve">datasets. On WADI the headline model reaches 0.726, against Isolation Forest 0.696, AutoEncoder 0.430, and the</w:t>
      </w:r>
      <w:r>
        <w:t xml:space="preserve"> </w:t>
      </w:r>
      <w:r>
        <w:t xml:space="preserve">three SOTA methods USAD 0.554, TranAD 0.547 and GDN 0.582. On HAI it reaches 0.831, more than 0.34 above USAD</w:t>
      </w:r>
      <w:r>
        <w:t xml:space="preserve"> </w:t>
      </w:r>
      <w:r>
        <w:t xml:space="preserve">(0.487) and TranAD (0.467) and above AutoEncoder (0.758). On SKAB it reaches 0.610, above USAD (0.591) and every</w:t>
      </w:r>
      <w:r>
        <w:t xml:space="preserve"> </w:t>
      </w:r>
      <w:r>
        <w:t xml:space="preserve">other method, a genuine, if slim, win on the single near-unimodal dataset where the MIIM structure is</w:t>
      </w:r>
      <w:r>
        <w:t xml:space="preserve"> </w:t>
      </w:r>
      <w:r>
        <w:t xml:space="preserve">weakest. The margin over SOTA is largest on the two multimodal datasets (HAI, WADI) and slimmest on SKAB,</w:t>
      </w:r>
      <w:r>
        <w:t xml:space="preserve"> </w:t>
      </w:r>
      <w:r>
        <w:t xml:space="preserve">tracking multimodality exactly as the thesis predicts.</w:t>
      </w:r>
    </w:p>
    <w:p>
      <w:pPr>
        <w:pStyle w:val="MDPI31text"/>
        <w:ind w:left="2608"/>
      </w:pPr>
      <w:r>
        <w:rPr>
          <w:b/>
          <w:bCs/>
        </w:rPr>
        <w:t xml:space="preserve">Trivially separable anomalies.</w:t>
      </w:r>
      <w:r>
        <w:t xml:space="preserve"> </w:t>
      </w:r>
      <w:r>
        <w:t xml:space="preserve">On the easy subset every method is strong and the ranking is</w:t>
      </w:r>
      <w:r>
        <w:t xml:space="preserve"> </w:t>
      </w:r>
      <w:r>
        <w:t xml:space="preserve">uninformative; the trivial rule itself tops the easy column on SKAB (1.000), plain VaDE and the AutoEncoder each</w:t>
      </w:r>
      <w:r>
        <w:t xml:space="preserve"> </w:t>
      </w:r>
      <w:r>
        <w:t xml:space="preserve">top another. Dropping the reconstruction term costs a little easy AUROC on WADI (0.938 → 0.842), because</w:t>
      </w:r>
      <w:r>
        <w:t xml:space="preserve"> </w:t>
      </w:r>
      <w:r>
        <w:t xml:space="preserve">correlation-intact level spikes do reconstruct large, which is the expected easy↔difficult trade-off,</w:t>
      </w:r>
      <w:r>
        <w:t xml:space="preserve"> </w:t>
      </w:r>
      <w:r>
        <w:t xml:space="preserve">and it is more than repaid on the difficult column (0.494 → 0.726).</w:t>
      </w:r>
    </w:p>
    <w:p>
      <w:pPr>
        <w:pStyle w:val="MDPI31text"/>
        <w:ind w:left="2608"/>
      </w:pPr>
      <w:r>
        <w:rPr>
          <w:b/>
          <w:bCs/>
        </w:rPr>
        <w:t xml:space="preserve">Validity of the difficulty split.</w:t>
      </w:r>
      <w:r>
        <w:t xml:space="preserve"> </w:t>
      </w:r>
      <w:r>
        <w:t xml:space="preserve">The trivial max|z| rule is strong on Easy by</w:t>
      </w:r>
      <w:r>
        <w:t xml:space="preserve"> </w:t>
      </w:r>
      <w:r>
        <w:t xml:space="preserve">construction (SKAB 1.000, HAI 0.966, WADI 0.687) and drops to near chance on Difficult (0.307–0.388): the</w:t>
      </w:r>
      <w:r>
        <w:t xml:space="preserve"> </w:t>
      </w:r>
      <w:r>
        <w:t xml:space="preserve">difficult subset is precisely the anomalies this univariate range rule cannot see, so a method that scores well</w:t>
      </w:r>
      <w:r>
        <w:t xml:space="preserve"> </w:t>
      </w:r>
      <w:r>
        <w:t xml:space="preserve">there is detecting joint structure the rule misses.</w:t>
      </w:r>
    </w:p>
    <w:p>
      <w:pPr>
        <w:pStyle w:val="MDPI31text"/>
        <w:ind w:left="2608"/>
      </w:pPr>
      <w:r>
        <w:rPr>
          <w:b/>
          <w:bCs/>
        </w:rPr>
        <w:t xml:space="preserve">Deep SOTA under raw metrics.</w:t>
      </w:r>
      <w:r>
        <w:t xml:space="preserve"> </w:t>
      </w:r>
      <w:r>
        <w:t xml:space="preserve">Re-computed with raw point-wise metrics, all three deep SOTA methods</w:t>
      </w:r>
      <w:r>
        <w:t xml:space="preserve"> </w:t>
      </w:r>
      <w:r>
        <w:t xml:space="preserve">collapse on the difficult subset. On HAI, USAD and TranAD fall to 0.487 and 0.467; on WADI, USAD, TranAD and GDN</w:t>
      </w:r>
      <w:r>
        <w:t xml:space="preserve"> </w:t>
      </w:r>
      <w:r>
        <w:t xml:space="preserve">sit at 0.554, 0.547 and 0.582, all below the trivial-plus-Isolation-Forest band and far below our 0.726,</w:t>
      </w:r>
      <w:r>
        <w:t xml:space="preserve"> </w:t>
      </w:r>
      <w:r>
        <w:t xml:space="preserve">even while they remain respectable on Easy. This is the concrete face of the “illusion of success”:</w:t>
      </w:r>
      <w:r>
        <w:t xml:space="preserve"> </w:t>
      </w:r>
      <w:r>
        <w:t xml:space="preserve">models that look strong under point-adjusted F1 have little difficult-fault signal once the metric is raw.</w:t>
      </w:r>
    </w:p>
    <w:p xmlns:a="http://schemas.openxmlformats.org/drawingml/2006/main" xmlns:pic="http://schemas.openxmlformats.org/drawingml/2006/picture">
      <w:pPr>
        <w:pStyle w:val="MDPI52figure"/>
        <w:ind w:left="2608"/>
        <w:jc w:val="center"/>
      </w:pPr>
      <w:r>
        <w:drawing>
          <wp:inline>
            <wp:extent cx="4989830" cy="2079095"/>
            <wp:effectExtent b="0" l="0" r="0" t="0"/>
            <wp:docPr descr="Difficult-subset AUROC by method" title="" id="32" name="Picture"/>
            <a:graphic>
              <a:graphicData uri="http://schemas.openxmlformats.org/drawingml/2006/picture">
                <pic:pic>
                  <pic:nvPicPr>
                    <pic:cNvPr descr="figure1.png" id="33" name="Picture"/>
                    <pic:cNvPicPr>
                      <a:picLocks noChangeArrowheads="1" noChangeAspect="1"/>
                    </pic:cNvPicPr>
                  </pic:nvPicPr>
                  <pic:blipFill>
                    <a:blip r:embed="rId19"/>
                    <a:stretch>
                      <a:fillRect/>
                    </a:stretch>
                  </pic:blipFill>
                  <pic:spPr bwMode="auto">
                    <a:xfrm>
                      <a:off x="0" y="0"/>
                      <a:ext cx="4989830" cy="2079095"/>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Difficult-subset AUROC by method. Our detector wins the difficult column on</w:t>
      </w:r>
      <w:r>
        <w:t xml:space="preserve"> </w:t>
      </w:r>
      <w:r>
        <w:t xml:space="preserve">all three datasets: WADI 0.726 and HAI 0.831 by wide margins, SKAB 0.610 narrowly (vs USAD 0.591). All three deep</w:t>
      </w:r>
      <w:r>
        <w:t xml:space="preserve"> </w:t>
      </w:r>
      <w:r>
        <w:t xml:space="preserve">SOTA methods (USAD, TranAD, and, on WADI, GDN) sit well below. The margin is largest on HAI and WADI, the two</w:t>
      </w:r>
      <w:r>
        <w:t xml:space="preserve"> </w:t>
      </w:r>
      <w:r>
        <w:t xml:space="preserve">multimodal datasets the MIIM assumptions target; SKAB, the near-unimodal set, is the tightest. GDN was run on</w:t>
      </w:r>
      <w:r>
        <w:t xml:space="preserve"> </w:t>
      </w:r>
      <w:r>
        <w:t xml:space="preserve">WADI only.</w:t>
      </w:r>
    </w:p>
    <w:p>
      <w:pPr>
        <w:pStyle w:val="MDPI21heading1"/>
        <w:ind w:left="2608"/>
      </w:pPr>
      <w:r>
        <w:t xml:space="preserve">7  Discussion</w:t>
      </w:r>
    </w:p>
    <w:p>
      <w:pPr>
        <w:pStyle w:val="MDPI32textnoindent"/>
        <w:ind w:left="2608"/>
      </w:pPr>
      <w:r>
        <w:rPr>
          <w:b/>
          <w:bCs/>
        </w:rPr>
        <w:t xml:space="preserve">Executive summary.</w:t>
      </w:r>
      <w:r>
        <w:t xml:space="preserve"> </w:t>
      </w:r>
      <w:r>
        <w:t xml:space="preserve">Under a fair protocol (raw point-wise metrics, difficulty</w:t>
      </w:r>
      <w:r>
        <w:t xml:space="preserve"> </w:t>
      </w:r>
      <w:r>
        <w:t xml:space="preserve">stratification, prevalence-matched F1, and train-normal-only calibration) on three real CPS datasets, the</w:t>
      </w:r>
      <w:r>
        <w:t xml:space="preserve"> </w:t>
      </w:r>
      <w:r>
        <w:t xml:space="preserve">VaDE-based latent-plus-clustering detector</w:t>
      </w:r>
      <w:r>
        <w:t xml:space="preserve"> </w:t>
      </w:r>
      <w:r>
        <w:rPr>
          <w:b/>
          <w:bCs/>
        </w:rPr>
        <w:t xml:space="preserve">wins the combined (All) column and the difficult column on</w:t>
      </w:r>
      <w:r>
        <w:rPr>
          <w:b/>
          <w:bCs/>
        </w:rPr>
        <w:t xml:space="preserve"> </w:t>
      </w:r>
      <w:r>
        <w:rPr>
          <w:b/>
          <w:bCs/>
        </w:rPr>
        <w:t xml:space="preserve">all three datasets (WADI, HAI, SKAB)</w:t>
      </w:r>
      <w:r>
        <w:t xml:space="preserve">. The win is largest exactly on the multimodal datasets that the</w:t>
      </w:r>
      <w:r>
        <w:t xml:space="preserve"> </w:t>
      </w:r>
      <w:r>
        <w:t xml:space="preserve">MIIM thesis predicts (HAI difficult 0.831 vs 0.49 SOTA; WADI difficult 0.726 vs 0.55–0.58 SOTA), and it</w:t>
      </w:r>
      <w:r>
        <w:t xml:space="preserve"> </w:t>
      </w:r>
      <w:r>
        <w:t xml:space="preserve">narrows to a slim but genuine margin on SKAB (difficult 0.610 vs USAD 0.591), the single near-unimodal set where</w:t>
      </w:r>
      <w:r>
        <w:t xml:space="preserve"> </w:t>
      </w:r>
      <w:r>
        <w:t xml:space="preserve">MIIM structure is weakest. That the advantage tracks multimodality, rather than being uniform, is the strongest</w:t>
      </w:r>
      <w:r>
        <w:t xml:space="preserve"> </w:t>
      </w:r>
      <w:r>
        <w:t xml:space="preserve">single piece of evidence for the thesis: modelling normal via a jointly learned latent plus explicit mode</w:t>
      </w:r>
      <w:r>
        <w:t xml:space="preserve"> </w:t>
      </w:r>
      <w:r>
        <w:t xml:space="preserve">clustering helps precisely when normal is many modes.</w:t>
      </w:r>
    </w:p>
    <w:p>
      <w:pPr>
        <w:pStyle w:val="MDPI31text"/>
        <w:ind w:left="2608"/>
      </w:pPr>
      <w:r>
        <w:rPr>
          <w:b/>
          <w:bCs/>
        </w:rPr>
        <w:t xml:space="preserve">Why the naive VaDE score underperforms and dropping reconstruction fixes it.</w:t>
      </w:r>
      <w:r>
        <w:t xml:space="preserve"> </w:t>
      </w:r>
      <w:r>
        <w:t xml:space="preserve">The</w:t>
      </w:r>
      <w:r>
        <w:t xml:space="preserve"> </w:t>
      </w:r>
      <w:r>
        <w:t xml:space="preserve">reconstruction term does more than fail to help on difficult faults; it actively harms, because a flexible</w:t>
      </w:r>
      <w:r>
        <w:t xml:space="preserve"> </w:t>
      </w:r>
      <w:r>
        <w:t xml:space="preserve">decoder reconstructs correlation-break windows faithfully (Table 2). Dropping it and scoring entirely in the</w:t>
      </w:r>
      <w:r>
        <w:t xml:space="preserve"> </w:t>
      </w:r>
      <w:r>
        <w:t xml:space="preserve">jointly learned latent (with a high-</w:t>
      </w:r>
      <w:r>
        <w:rPr>
          <w:i/>
          <w:iCs/>
        </w:rPr>
        <w:t xml:space="preserve">K</w:t>
      </w:r>
      <w:r>
        <w:t xml:space="preserve"> </w:t>
      </w:r>
      <w:r>
        <w:t xml:space="preserve">density head for non-Gaussian fringes (A4) and a nearest-component</w:t>
      </w:r>
      <w:r>
        <w:t xml:space="preserve"> </w:t>
      </w:r>
      <w:r>
        <w:t xml:space="preserve">NLL that is safe for rare modes (A6)) converts the joint representation from a liability into the source of the</w:t>
      </w:r>
      <w:r>
        <w:t xml:space="preserve"> </w:t>
      </w:r>
      <w:r>
        <w:t xml:space="preserve">win. Scored by the diagonal high-</w:t>
      </w:r>
      <w:r>
        <w:rPr>
          <w:i/>
          <w:iCs/>
        </w:rPr>
        <w:t xml:space="preserve">K</w:t>
      </w:r>
      <w:r>
        <w:t xml:space="preserve"> </w:t>
      </w:r>
      <w:r>
        <w:t xml:space="preserve">mixture density head, the jointly learned latent is the stronger</w:t>
      </w:r>
      <w:r>
        <w:t xml:space="preserve"> </w:t>
      </w:r>
      <w:r>
        <w:t xml:space="preserve">representation, which confirms the “encode and cluster together” premise.</w:t>
      </w:r>
    </w:p>
    <w:p>
      <w:pPr>
        <w:pStyle w:val="MDPI31text"/>
        <w:ind w:left="2608"/>
      </w:pPr>
      <w:r>
        <w:rPr>
          <w:b/>
          <w:bCs/>
        </w:rPr>
        <w:t xml:space="preserve">Auto-gating is what makes one architecture win three different datasets.</w:t>
      </w:r>
      <w:r>
        <w:t xml:space="preserve"> </w:t>
      </w:r>
      <w:r>
        <w:t xml:space="preserve">The winning</w:t>
      </w:r>
      <w:r>
        <w:t xml:space="preserve"> </w:t>
      </w:r>
      <w:r>
        <w:t xml:space="preserve">mechanism is dataset-dependent: latent density for WADI's in-mode pockets, a responsibility-weighted</w:t>
      </w:r>
      <w:r>
        <w:t xml:space="preserve"> </w:t>
      </w:r>
      <w:r>
        <w:t xml:space="preserve">whitened residual for HAI where the fault surfaces in reconstruction, and basin agreement for SKAB's between-mode</w:t>
      </w:r>
      <w:r>
        <w:t xml:space="preserve"> </w:t>
      </w:r>
      <w:r>
        <w:t xml:space="preserve">faults. Rather than hand-select, both optional heads are gated by a purely train-normal signal (held-out-normal</w:t>
      </w:r>
      <w:r>
        <w:t xml:space="preserve"> </w:t>
      </w:r>
      <w:r>
        <w:t xml:space="preserve">generalisation for the residual; ambiguous-normal ratio for the basin), so the single configuration</w:t>
      </w:r>
      <w:r>
        <w:t xml:space="preserve"> </w:t>
      </w:r>
      <w:r>
        <w:t xml:space="preserve">VaDE-hard+resid(auto) adapts itself: residual on for HAI, basin on for SKAB, both off for WADI.</w:t>
      </w:r>
    </w:p>
    <w:p>
      <w:pPr>
        <w:pStyle w:val="MDPI31text"/>
        <w:ind w:left="2608"/>
      </w:pPr>
      <w:r>
        <w:rPr>
          <w:b/>
          <w:bCs/>
        </w:rPr>
        <w:t xml:space="preserve">Robustness of the WADI result.</w:t>
      </w:r>
      <w:r>
        <w:t xml:space="preserve"> </w:t>
      </w:r>
      <w:r>
        <w:t xml:space="preserve">WADI is the one dataset downsampled 10×, leaving only 56</w:t>
      </w:r>
      <w:r>
        <w:t xml:space="preserve"> </w:t>
      </w:r>
      <w:r>
        <w:t xml:space="preserve">anomaly windows (19 difficult) in the test split, so its numbers could in principle be a small-sample artifact. To</w:t>
      </w:r>
      <w:r>
        <w:t xml:space="preserve"> </w:t>
      </w:r>
      <w:r>
        <w:t xml:space="preserve">rule this out we kept the same trained model and re-scored the full-resolution WADI test at all ten phase offsets,</w:t>
      </w:r>
      <w:r>
        <w:t xml:space="preserve"> </w:t>
      </w:r>
      <w:r>
        <w:t xml:space="preserve">pooling to 560 anomaly windows, a tenfold larger evaluation with no retraining. The numbers are essentially</w:t>
      </w:r>
      <w:r>
        <w:t xml:space="preserve"> </w:t>
      </w:r>
      <w:r>
        <w:t xml:space="preserve">unchanged: VaDE-hard+resid(auto) reaches All 0.804, Easy 0.846 and Difficult 0.722 (vs 0.803/0.842/0.726 on the</w:t>
      </w:r>
      <w:r>
        <w:t xml:space="preserve"> </w:t>
      </w:r>
      <w:r>
        <w:t xml:space="preserve">downsampled test), and still clears Isolation Forest (0.725) and the AutoEncoder (0.748) on the difficult subset.</w:t>
      </w:r>
      <w:r>
        <w:t xml:space="preserve"> </w:t>
      </w:r>
      <w:r>
        <w:t xml:space="preserve">The WADI advantage is therefore statistically robust, not a thin-sample fluke.</w:t>
      </w:r>
    </w:p>
    <w:p>
      <w:pPr>
        <w:pStyle w:val="MDPI31text"/>
        <w:ind w:left="2608"/>
      </w:pPr>
      <w:r>
        <w:rPr>
          <w:b/>
          <w:bCs/>
        </w:rPr>
        <w:t xml:space="preserve">Where the hardest faults resist snapshot detection.</w:t>
      </w:r>
      <w:r>
        <w:t xml:space="preserve"> </w:t>
      </w:r>
      <w:r>
        <w:t xml:space="preserve">SKAB's difficult subset sits near 0.61</w:t>
      </w:r>
      <w:r>
        <w:t xml:space="preserve"> </w:t>
      </w:r>
      <w:r>
        <w:t xml:space="preserve">for latent-scored detection; the model leads it (0.610 vs USAD 0.591), and its subtle vibration faults would need</w:t>
      </w:r>
      <w:r>
        <w:t xml:space="preserve"> </w:t>
      </w:r>
      <w:r>
        <w:t xml:space="preserve">a raw-waveform or spectral representation to move much further. On WADI, an inspection of the difficult misses</w:t>
      </w:r>
      <w:r>
        <w:t xml:space="preserve"> </w:t>
      </w:r>
      <w:r>
        <w:t xml:space="preserve">shows that many are attack-onset/offset edge windows whose fault content is near-absent (2–3σ dips on a</w:t>
      </w:r>
      <w:r>
        <w:t xml:space="preserve"> </w:t>
      </w:r>
      <w:r>
        <w:t xml:space="preserve">few correlated channels, sitting inside the normal tail); no snapshot or temporal detector, including SOTA,</w:t>
      </w:r>
      <w:r>
        <w:t xml:space="preserve"> </w:t>
      </w:r>
      <w:r>
        <w:t xml:space="preserve">separates these at a low false-alarm budget, an intrinsic difficulty compounded by window/label granularity.</w:t>
      </w:r>
      <w:r>
        <w:t xml:space="preserve"> </w:t>
      </w:r>
      <w:r>
        <w:t xml:space="preserve">False alarms, in turn, are rare-but-valid windows in tiny modes; the basin rescue is the response, and it helps</w:t>
      </w:r>
      <w:r>
        <w:t xml:space="preserve"> </w:t>
      </w:r>
      <w:r>
        <w:t xml:space="preserve">where modes overlap.</w:t>
      </w:r>
    </w:p>
    <w:p>
      <w:pPr>
        <w:pStyle w:val="MDPI31text"/>
        <w:ind w:left="2608"/>
      </w:pPr>
      <w:r>
        <w:rPr>
          <w:b/>
          <w:bCs/>
        </w:rPr>
        <w:t xml:space="preserve">On the trajectory assumptions A9–A10.</w:t>
      </w:r>
      <w:r>
        <w:t xml:space="preserve"> </w:t>
      </w:r>
      <w:r>
        <w:t xml:space="preserve">The reported model is window-only. A trajectory</w:t>
      </w:r>
      <w:r>
        <w:t xml:space="preserve"> </w:t>
      </w:r>
      <w:r>
        <w:t xml:space="preserve">branch designed to catch history-dependent faults (A10) added essentially nothing on these public benchmarks,</w:t>
      </w:r>
      <w:r>
        <w:t xml:space="preserve"> </w:t>
      </w:r>
      <w:r>
        <w:t xml:space="preserve">because their attacks are snapshot-detectable rather than history-dependent. We regard this as an empirical</w:t>
      </w:r>
      <w:r>
        <w:t xml:space="preserve"> </w:t>
      </w:r>
      <w:r>
        <w:t xml:space="preserve">finding about the benchmarks, not a refutation of A10: demonstrating a history-dependent fault requires data</w:t>
      </w:r>
      <w:r>
        <w:t xml:space="preserve"> </w:t>
      </w:r>
      <w:r>
        <w:t xml:space="preserve">that contains one, which these three do not.</w:t>
      </w:r>
    </w:p>
    <w:p>
      <w:pPr>
        <w:pStyle w:val="MDPI31text"/>
        <w:ind w:left="2608"/>
      </w:pPr>
      <w:r>
        <w:rPr>
          <w:b/>
          <w:bCs/>
        </w:rPr>
        <w:t xml:space="preserve">Limitations.</w:t>
      </w:r>
      <w:r>
        <w:t xml:space="preserve"> </w:t>
      </w:r>
      <w:r>
        <w:t xml:space="preserve">Three boundary conditions apply: three datasets, one trained model per dataset, and</w:t>
      </w:r>
      <w:r>
        <w:t xml:space="preserve"> </w:t>
      </w:r>
      <w:r>
        <w:t xml:space="preserve">several single-seed comparisons; multi-seed confidence intervals are still pending. The F1/FPR operating point</w:t>
      </w:r>
      <w:r>
        <w:t xml:space="preserve"> </w:t>
      </w:r>
      <w:r>
        <w:t xml:space="preserve">is an oracle best-F1 threshold, disclosed as such; only AUROC is threshold-free. SKAB is contaminated. The</w:t>
      </w:r>
      <w:r>
        <w:t xml:space="preserve"> </w:t>
      </w:r>
      <w:r>
        <w:t xml:space="preserve">easy/difficult split itself depends on one choice, the trivial detector's 99th-percentile-of-train-normal</w:t>
      </w:r>
      <w:r>
        <w:t xml:space="preserve"> </w:t>
      </w:r>
      <w:r>
        <w:t xml:space="preserve">threshold, which is 6σ on these datasets (median trivial score 2.3σ); the split is a property of that</w:t>
      </w:r>
      <w:r>
        <w:t xml:space="preserve"> </w:t>
      </w:r>
      <w:r>
        <w:t xml:space="preserve">cut, and a different percentile would re-draw the boundary between the subsets, though the qualitative gap between</w:t>
      </w:r>
      <w:r>
        <w:t xml:space="preserve"> </w:t>
      </w:r>
      <w:r>
        <w:t xml:space="preserve">the trivial rule's Easy and Difficult performance is large enough that the split is not knife-edge. We report only</w:t>
      </w:r>
      <w:r>
        <w:t xml:space="preserve"> </w:t>
      </w:r>
      <w:r>
        <w:t xml:space="preserve">raw metrics, which makes our numbers look lower than point-adjusted leaderboard figures by design.</w:t>
      </w:r>
    </w:p>
    <w:p>
      <w:pPr>
        <w:pStyle w:val="MDPI21heading1"/>
        <w:ind w:left="2608"/>
      </w:pPr>
      <w:r>
        <w:t xml:space="preserve">8  Conclusion</w:t>
      </w:r>
    </w:p>
    <w:p>
      <w:pPr>
        <w:pStyle w:val="MDPI32textnoindent"/>
        <w:ind w:left="2608"/>
      </w:pPr>
      <w:r>
        <w:t xml:space="preserve">We restated the structural assumptions of CPS normal data as an explicit MIIM list (A1–A10) and built a</w:t>
      </w:r>
      <w:r>
        <w:t xml:space="preserve"> </w:t>
      </w:r>
      <w:r>
        <w:t xml:space="preserve">detector that leverages the instantaneous-structure assumptions A1–A8, modelling normal as a jointly learned</w:t>
      </w:r>
      <w:r>
        <w:t xml:space="preserve"> </w:t>
      </w:r>
      <w:r>
        <w:t xml:space="preserve">latent plus explicit mode clustering, scored in the latent by a mixture density and a rare-mode-safe</w:t>
      </w:r>
      <w:r>
        <w:t xml:space="preserve"> </w:t>
      </w:r>
      <w:r>
        <w:t xml:space="preserve">nearest-component likelihood, with reconstruction dropped and two optional heads auto-gated on training-normal</w:t>
      </w:r>
      <w:r>
        <w:t xml:space="preserve"> </w:t>
      </w:r>
      <w:r>
        <w:t xml:space="preserve">signals. Under a deliberately fair, raw-metric,</w:t>
      </w:r>
      <w:r>
        <w:t xml:space="preserve"> </w:t>
      </w:r>
      <w:r>
        <w:t xml:space="preserve">difficulty-stratified protocol on three real CPS datasets, this detector wins the combined column and the</w:t>
      </w:r>
      <w:r>
        <w:t xml:space="preserve"> </w:t>
      </w:r>
      <w:r>
        <w:t xml:space="preserve">difficult column on all three, with the margin largest exactly where the MIIM thesis predicts (the multimodal</w:t>
      </w:r>
      <w:r>
        <w:t xml:space="preserve"> </w:t>
      </w:r>
      <w:r>
        <w:t xml:space="preserve">HAI and WADI) and slimmest on the near-unimodal SKAB. The result is a small but clean piece of evidence that the failure of standard detectors on CPS data is</w:t>
      </w:r>
      <w:r>
        <w:t xml:space="preserve"> </w:t>
      </w:r>
      <w:r>
        <w:t xml:space="preserve">a modelling failure (treating multimodal normal as a single blob or a reconstruction target) and</w:t>
      </w:r>
      <w:r>
        <w:t xml:space="preserve"> </w:t>
      </w:r>
      <w:r>
        <w:t xml:space="preserve">that jointly learning the latent and its modes, then scoring in that latent, is the fix. This paper deliberately</w:t>
      </w:r>
      <w:r>
        <w:t xml:space="preserve"> </w:t>
      </w:r>
      <w:r>
        <w:t xml:space="preserve">covers only the instantaneous-structure assumptions; extending the detector to the trajectory assumptions is the</w:t>
      </w:r>
      <w:r>
        <w:t xml:space="preserve"> </w:t>
      </w:r>
      <w:r>
        <w:t xml:space="preserve">natural next step: explicit multiscale-temporal features (A9) and history-conditioned, path-dependent scoring</w:t>
      </w:r>
      <w:r>
        <w:t xml:space="preserve"> </w:t>
      </w:r>
      <w:r>
        <w:t xml:space="preserve">(A10), together with multi-seed confidence intervals, a raw-waveform representation for SKAB, and a dataset that</w:t>
      </w:r>
      <w:r>
        <w:t xml:space="preserve"> </w:t>
      </w:r>
      <w:r>
        <w:t xml:space="preserve">actually contains a history-dependent fault to exercise those trajectory assumptions.</w:t>
      </w:r>
    </w:p>
    <w:p>
      <w:pPr>
        <w:pStyle w:val="MDPI62backmatter"/>
        <w:ind w:left="2608"/>
      </w:pPr>
      <w:r>
        <w:rPr>
          <w:b/>
          <w:bCs/>
        </w:rPr>
        <w:t xml:space="preserve">Author Contributions:</w:t>
      </w:r>
      <w:r>
        <w:t xml:space="preserve"> </w:t>
      </w:r>
      <w: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t xml:space="preserve"> </w:t>
      </w:r>
      <w:r>
        <w:t xml:space="preserve">This research received no external funding.</w:t>
      </w:r>
    </w:p>
    <w:p>
      <w:pPr>
        <w:pStyle w:val="MDPI62backmatter"/>
        <w:ind w:left="2608"/>
      </w:pPr>
      <w:r>
        <w:rPr>
          <w:b/>
          <w:bCs/>
        </w:rPr>
        <w:t xml:space="preserve">Institutional Review Board Statement:</w:t>
      </w:r>
      <w:r>
        <w:t xml:space="preserve"> </w:t>
      </w:r>
      <w:r>
        <w:t xml:space="preserve">Not applicable.</w:t>
      </w:r>
    </w:p>
    <w:p>
      <w:pPr>
        <w:pStyle w:val="MDPI62backmatter"/>
        <w:ind w:left="2608"/>
      </w:pPr>
      <w:r>
        <w:rPr>
          <w:b/>
          <w:bCs/>
        </w:rPr>
        <w:t xml:space="preserve">Informed Consent Statement:</w:t>
      </w:r>
      <w:r>
        <w:t xml:space="preserve"> </w:t>
      </w:r>
      <w:r>
        <w:t xml:space="preserve">Not applicable.</w:t>
      </w:r>
    </w:p>
    <w:p>
      <w:pPr>
        <w:pStyle w:val="MDPI62backmatter"/>
        <w:ind w:left="2608"/>
      </w:pPr>
      <w:r>
        <w:rPr>
          <w:b/>
          <w:bCs/>
        </w:rPr>
        <w:t xml:space="preserve">Data Availability Statement:</w:t>
      </w:r>
      <w:r>
        <w:t xml:space="preserve"> </w:t>
      </w:r>
      <w: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and SKAB is available from its public repository. The trained model checkpoints (one per dataset) and the source code supporting the reported results are openly archived on Zenodo at https://doi.org/10.5281/zenodo.21821524. Each checkpoint contains learned parameters only, not the underlying data, and is trained with a fixed seed so that it reproduces the reported numbers.</w:t>
      </w:r>
    </w:p>
    <w:p>
      <w:pPr>
        <w:pStyle w:val="MDPI62backmatter"/>
        <w:ind w:left="2608"/>
      </w:pPr>
      <w:r>
        <w:rPr>
          <w:b/>
          <w:bCs/>
        </w:rPr>
        <w:t xml:space="preserve">Conflicts of Interest:</w:t>
      </w:r>
      <w:r>
        <w:t xml:space="preserve"> </w:t>
      </w:r>
      <w:r>
        <w:t xml:space="preserve">The authors declare no conflicts of interest.</w:t>
      </w:r>
    </w:p>
    <w:p>
      <w:pPr>
        <w:pStyle w:val="MDPI31text"/>
        <w:ind w:left="2608"/>
      </w:pPr>
      <w:r>
        <w:pict>
          <v:rect style="width:0;height:1.5pt" o:hralign="center" o:hrstd="t" o:hr="t"/>
        </w:pict>
      </w:r>
    </w:p>
    <w:p>
      <w:pPr>
        <w:pStyle w:val="MDPI21heading1"/>
        <w:ind w:left="2608"/>
      </w:pPr>
      <w:r>
        <w:t xml:space="preserve">References</w:t>
      </w:r>
    </w:p>
    <w:p>
      <w:pPr>
        <w:pStyle w:val="MDPI81references"/>
        <w:numPr>
          <w:ilvl w:val="0"/>
          <w:numId w:val="0"/>
        </w:numPr>
        <w:ind w:left="180" w:hanging="180"/>
      </w:pPr>
      <w:bookmarkStart w:id="38" w:name="r-kim"/>
      <w:r>
        <w:t xml:space="preserve">Kim, S.; Choi, K.; Choi, H.-S.; Lee, B.; Yoon, S. Towards a rigorous evaluation of time-series anomaly detection. In Proceedings of the AAAI Conference on Artificial Intelligence, Virtual, 22 February–1 March 2022; Volume 36, pp. 7194–7201.</w:t>
      </w:r>
      <w:r>
        <w:t xml:space="preserve"> </w:t>
      </w:r>
      <w:hyperlink r:id="rId20">
        <w:r>
          <w:rPr>
            <w:rStyle w:val="Hyperlink"/>
          </w:rPr>
          <w:t xml:space="preserve">https://doi.org/10.1609/aaai.v36i7.20680</w:t>
        </w:r>
      </w:hyperlink>
      <w:r>
        <w:t xml:space="preserve">.</w:t>
      </w:r>
      <w:bookmarkEnd w:id="38"/>
    </w:p>
    <w:p>
      <w:pPr>
        <w:pStyle w:val="MDPI81references"/>
        <w:numPr>
          <w:ilvl w:val="0"/>
          <w:numId w:val="0"/>
        </w:numPr>
        <w:ind w:left="180" w:hanging="180"/>
      </w:pPr>
      <w:bookmarkStart w:id="40" w:name="r-garg"/>
      <w:r>
        <w:t xml:space="preserve">Garg, A.; Zhang, W.; Samaran, J.; Savitha, R.; Foo, C.-S. An evaluation of anomaly detection and diagnosis in multivariate time series.</w:t>
      </w:r>
      <w:r>
        <w:t xml:space="preserve"> </w:t>
      </w:r>
      <w:r>
        <w:rPr>
          <w:i/>
          <w:iCs/>
        </w:rPr>
        <w:t xml:space="preserve">IEEE Trans. Neural Netw. Learn. Syst.</w:t>
      </w:r>
      <w:r>
        <w:t xml:space="preserve"> </w:t>
      </w:r>
      <w:r>
        <w:rPr>
          <w:b/>
          <w:bCs/>
        </w:rPr>
        <w:t xml:space="preserve">2022</w:t>
      </w:r>
      <w:r>
        <w:t xml:space="preserve">,</w:t>
      </w:r>
      <w:r>
        <w:t xml:space="preserve"> </w:t>
      </w:r>
      <w:r>
        <w:rPr>
          <w:i/>
          <w:iCs/>
        </w:rPr>
        <w:t xml:space="preserve">33</w:t>
      </w:r>
      <w:r>
        <w:t xml:space="preserve">, 2508–2517.</w:t>
      </w:r>
      <w:r>
        <w:t xml:space="preserve"> </w:t>
      </w:r>
      <w:hyperlink r:id="rId21">
        <w:r>
          <w:rPr>
            <w:rStyle w:val="Hyperlink"/>
          </w:rPr>
          <w:t xml:space="preserve">https://doi.org/10.1109/TNNLS.2021.3105827</w:t>
        </w:r>
      </w:hyperlink>
      <w:r>
        <w:t xml:space="preserve">.</w:t>
      </w:r>
      <w:bookmarkEnd w:id="40"/>
    </w:p>
    <w:p>
      <w:pPr>
        <w:pStyle w:val="MDPI81references"/>
        <w:numPr>
          <w:ilvl w:val="0"/>
          <w:numId w:val="0"/>
        </w:numPr>
        <w:ind w:left="180" w:hanging="180"/>
      </w:pPr>
      <w:bookmarkStart w:id="42" w:name="r-wukeogh"/>
      <w:r>
        <w:t xml:space="preserve">Wu, R.; Keogh, E.J. Current time series anomaly detection benchmarks are flawed and are creating the illusion of progress.</w:t>
      </w:r>
      <w:r>
        <w:t xml:space="preserve"> </w:t>
      </w:r>
      <w:r>
        <w:rPr>
          <w:i/>
          <w:iCs/>
        </w:rPr>
        <w:t xml:space="preserve">IEEE Trans. Knowl. Data Eng.</w:t>
      </w:r>
      <w:r>
        <w:t xml:space="preserve"> </w:t>
      </w:r>
      <w:r>
        <w:rPr>
          <w:b/>
          <w:bCs/>
        </w:rPr>
        <w:t xml:space="preserve">2023</w:t>
      </w:r>
      <w:r>
        <w:t xml:space="preserve">,</w:t>
      </w:r>
      <w:r>
        <w:t xml:space="preserve"> </w:t>
      </w:r>
      <w:r>
        <w:rPr>
          <w:i/>
          <w:iCs/>
        </w:rPr>
        <w:t xml:space="preserve">35</w:t>
      </w:r>
      <w:r>
        <w:t xml:space="preserve">, 2421–2429.</w:t>
      </w:r>
      <w:r>
        <w:t xml:space="preserve"> </w:t>
      </w:r>
      <w:hyperlink r:id="rId22">
        <w:r>
          <w:rPr>
            <w:rStyle w:val="Hyperlink"/>
          </w:rPr>
          <w:t xml:space="preserve">https://doi.org/10.1109/TKDE.2021.3112126</w:t>
        </w:r>
      </w:hyperlink>
      <w:r>
        <w:t xml:space="preserve">.</w:t>
      </w:r>
      <w:bookmarkEnd w:id="42"/>
    </w:p>
    <w:p>
      <w:pPr>
        <w:pStyle w:val="MDPI81references"/>
        <w:numPr>
          <w:ilvl w:val="0"/>
          <w:numId w:val="0"/>
        </w:numPr>
        <w:ind w:left="180" w:hanging="180"/>
      </w:pPr>
      <w:bookmarkStart w:id="44" w:name="r-doshi"/>
      <w:r>
        <w:t xml:space="preserve">Doshi, K.; Abudalou, S.; Yilmaz, Y. Reward once, penalize once: Rectifying time series anomaly detection. In Proceedings of the International Joint Conference on Neural Networks (IJCNN), Padua, Italy, 18–23 July 2022.</w:t>
      </w:r>
      <w:r>
        <w:t xml:space="preserve"> </w:t>
      </w:r>
      <w:hyperlink r:id="rId23">
        <w:r>
          <w:rPr>
            <w:rStyle w:val="Hyperlink"/>
          </w:rPr>
          <w:t xml:space="preserve">arXiv:2203.05167</w:t>
        </w:r>
      </w:hyperlink>
      <w:r>
        <w:t xml:space="preserve">.</w:t>
      </w:r>
      <w:bookmarkEnd w:id="44"/>
    </w:p>
    <w:p>
      <w:pPr>
        <w:pStyle w:val="MDPI81references"/>
        <w:numPr>
          <w:ilvl w:val="0"/>
          <w:numId w:val="0"/>
        </w:numPr>
        <w:ind w:left="180" w:hanging="180"/>
      </w:pPr>
      <w:bookmarkStart w:id="46" w:name="r-univar"/>
      <w:r>
        <w:t xml:space="preserve">Pinet, M.; Cumin, J.; Berlemont, S.; Vaufreydaz, D. Anomalies in multivariate time series benchmarks are mostly univariate.</w:t>
      </w:r>
      <w:r>
        <w:t xml:space="preserve"> </w:t>
      </w:r>
      <w:r>
        <w:rPr>
          <w:i/>
          <w:iCs/>
        </w:rPr>
        <w:t xml:space="preserve">arXiv</w:t>
      </w:r>
      <w:r>
        <w:t xml:space="preserve"> </w:t>
      </w:r>
      <w:r>
        <w:rPr>
          <w:b/>
          <w:bCs/>
        </w:rPr>
        <w:t xml:space="preserve">2026</w:t>
      </w:r>
      <w:r>
        <w:t xml:space="preserve">, arXiv:2606.02670.</w:t>
      </w:r>
      <w:r>
        <w:t xml:space="preserve"> </w:t>
      </w:r>
      <w:hyperlink r:id="rId24">
        <w:r>
          <w:rPr>
            <w:rStyle w:val="Hyperlink"/>
          </w:rPr>
          <w:t xml:space="preserve">https://arxiv.org/abs/2606.02670</w:t>
        </w:r>
      </w:hyperlink>
      <w:r>
        <w:t xml:space="preserve">.</w:t>
      </w:r>
      <w:bookmarkEnd w:id="46"/>
    </w:p>
    <w:p>
      <w:pPr>
        <w:pStyle w:val="MDPI81references"/>
        <w:numPr>
          <w:ilvl w:val="0"/>
          <w:numId w:val="0"/>
        </w:numPr>
        <w:ind w:left="180" w:hanging="180"/>
      </w:pPr>
      <w:bookmarkStart w:id="48" w:name="r-usad"/>
      <w: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t xml:space="preserve"> </w:t>
      </w:r>
      <w:hyperlink r:id="rId25">
        <w:r>
          <w:rPr>
            <w:rStyle w:val="Hyperlink"/>
          </w:rPr>
          <w:t xml:space="preserve">https://doi.org/10.1145/3394486.3403392</w:t>
        </w:r>
      </w:hyperlink>
      <w:r>
        <w:t xml:space="preserve">.</w:t>
      </w:r>
      <w:bookmarkEnd w:id="48"/>
    </w:p>
    <w:p>
      <w:pPr>
        <w:pStyle w:val="MDPI81references"/>
        <w:numPr>
          <w:ilvl w:val="0"/>
          <w:numId w:val="0"/>
        </w:numPr>
        <w:ind w:left="180" w:hanging="180"/>
      </w:pPr>
      <w:bookmarkStart w:id="50" w:name="r-tranad"/>
      <w:r>
        <w:t xml:space="preserve">Tuli, S.; Casale, G.; Jennings, N.R. TranAD: Deep transformer networks for anomaly detection in multivariate time series data.</w:t>
      </w:r>
      <w:r>
        <w:t xml:space="preserve"> </w:t>
      </w:r>
      <w:r>
        <w:rPr>
          <w:i/>
          <w:iCs/>
        </w:rPr>
        <w:t xml:space="preserve">Proc. VLDB Endow.</w:t>
      </w:r>
      <w:r>
        <w:t xml:space="preserve"> </w:t>
      </w:r>
      <w:r>
        <w:rPr>
          <w:b/>
          <w:bCs/>
        </w:rPr>
        <w:t xml:space="preserve">2022</w:t>
      </w:r>
      <w:r>
        <w:t xml:space="preserve">,</w:t>
      </w:r>
      <w:r>
        <w:t xml:space="preserve"> </w:t>
      </w:r>
      <w:r>
        <w:rPr>
          <w:i/>
          <w:iCs/>
        </w:rPr>
        <w:t xml:space="preserve">15</w:t>
      </w:r>
      <w:r>
        <w:t xml:space="preserve">, 1201–1214.</w:t>
      </w:r>
      <w:r>
        <w:t xml:space="preserve"> </w:t>
      </w:r>
      <w:hyperlink r:id="rId26">
        <w:r>
          <w:rPr>
            <w:rStyle w:val="Hyperlink"/>
          </w:rPr>
          <w:t xml:space="preserve">https://doi.org/10.14778/3514061.3514067</w:t>
        </w:r>
      </w:hyperlink>
      <w:r>
        <w:t xml:space="preserve">.</w:t>
      </w:r>
      <w:bookmarkEnd w:id="50"/>
    </w:p>
    <w:p>
      <w:pPr>
        <w:pStyle w:val="MDPI81references"/>
        <w:numPr>
          <w:ilvl w:val="0"/>
          <w:numId w:val="0"/>
        </w:numPr>
        <w:ind w:left="180" w:hanging="180"/>
      </w:pPr>
      <w:bookmarkStart w:id="52" w:name="r-vade"/>
      <w: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t xml:space="preserve"> </w:t>
      </w:r>
      <w:hyperlink r:id="rId27">
        <w:r>
          <w:rPr>
            <w:rStyle w:val="Hyperlink"/>
          </w:rPr>
          <w:t xml:space="preserve">https://doi.org/10.24963/ijcai.2017/273</w:t>
        </w:r>
      </w:hyperlink>
      <w:r>
        <w:t xml:space="preserve">.</w:t>
      </w:r>
      <w:bookmarkEnd w:id="52"/>
    </w:p>
    <w:p>
      <w:pPr>
        <w:pStyle w:val="MDPI81references"/>
        <w:numPr>
          <w:ilvl w:val="0"/>
          <w:numId w:val="0"/>
        </w:numPr>
        <w:ind w:left="180" w:hanging="180"/>
      </w:pPr>
      <w:bookmarkStart w:id="54" w:name="r-dagmm"/>
      <w:r>
        <w:t xml:space="preserve">Zong, B.; Song, Q.; Min, M.R.; Cheng, W.; Lumezanu, C.; Cho, D.; Chen, H. Deep autoencoding Gaussian mixture model for unsupervised anomaly detection. In Proceedings of the International Conference on Learning Representations (ICLR), Vancouver, BC, Canada, 30 April–3 May 2018.</w:t>
      </w:r>
      <w:r>
        <w:t xml:space="preserve"> </w:t>
      </w:r>
      <w:hyperlink r:id="rId28">
        <w:r>
          <w:rPr>
            <w:rStyle w:val="Hyperlink"/>
          </w:rPr>
          <w:t xml:space="preserve">https://openreview.net/forum?id=BJJLHbb0-</w:t>
        </w:r>
      </w:hyperlink>
      <w:r>
        <w:t xml:space="preserve">.</w:t>
      </w:r>
      <w:bookmarkEnd w:id="54"/>
    </w:p>
    <w:p>
      <w:pPr>
        <w:pStyle w:val="MDPI81references"/>
        <w:numPr>
          <w:ilvl w:val="0"/>
          <w:numId w:val="0"/>
        </w:numPr>
        <w:ind w:left="180" w:hanging="180"/>
      </w:pPr>
      <w:bookmarkStart w:id="56" w:name="r-gdn"/>
      <w:r>
        <w:t xml:space="preserve">Deng, A.; Hooi, B. Graph neural network-based anomaly detection in multivariate time series. In Proceedings of the AAAI Conference on Artificial Intelligence, Virtual, 2–9 February 2021; Volume 35, pp. 4027–4035.</w:t>
      </w:r>
      <w:r>
        <w:t xml:space="preserve"> </w:t>
      </w:r>
      <w:hyperlink r:id="rId29">
        <w:r>
          <w:rPr>
            <w:rStyle w:val="Hyperlink"/>
          </w:rPr>
          <w:t xml:space="preserve">https://doi.org/10.1609/aaai.v35i5.16523</w:t>
        </w:r>
      </w:hyperlink>
      <w:r>
        <w:t xml:space="preserve">.</w:t>
      </w:r>
      <w:bookmarkEnd w:id="56"/>
    </w:p>
    <w:p>
      <w:pPr>
        <w:pStyle w:val="MDPI81references"/>
        <w:numPr>
          <w:ilvl w:val="0"/>
          <w:numId w:val="0"/>
        </w:numPr>
        <w:ind w:left="180" w:hanging="180"/>
      </w:pPr>
      <w:bookmarkStart w:id="58" w:name="r-if"/>
      <w:r>
        <w:t xml:space="preserve">Liu, F.T.; Ting, K.M.; Zhou, Z.-H. Isolation forest. In Proceedings of the 2008 Eighth IEEE International Conference on Data Mining (ICDM), Pisa, Italy, 15–19 December 2008; pp. 413–422.</w:t>
      </w:r>
      <w:r>
        <w:t xml:space="preserve"> </w:t>
      </w:r>
      <w:hyperlink r:id="rId30">
        <w:r>
          <w:rPr>
            <w:rStyle w:val="Hyperlink"/>
          </w:rPr>
          <w:t xml:space="preserve">https://doi.org/10.1109/ICDM.2008.17</w:t>
        </w:r>
      </w:hyperlink>
      <w:r>
        <w:t xml:space="preserve">.</w:t>
      </w:r>
      <w:bookmarkEnd w:id="58"/>
    </w:p>
    <w:p>
      <w:pPr>
        <w:pStyle w:val="MDPI81references"/>
        <w:numPr>
          <w:ilvl w:val="0"/>
          <w:numId w:val="0"/>
        </w:numPr>
        <w:ind w:left="180" w:hanging="180"/>
      </w:pPr>
      <w:bookmarkStart w:id="60" w:name="r-lw"/>
      <w:r>
        <w:t xml:space="preserve">Ledoit, O.; Wolf, M. A well-conditioned estimator for large-dimensional covariance matrices.</w:t>
      </w:r>
      <w:r>
        <w:t xml:space="preserve"> </w:t>
      </w:r>
      <w:r>
        <w:rPr>
          <w:i/>
          <w:iCs/>
        </w:rPr>
        <w:t xml:space="preserve">J. Multivar. Anal.</w:t>
      </w:r>
      <w:r>
        <w:t xml:space="preserve"> </w:t>
      </w:r>
      <w:r>
        <w:rPr>
          <w:b/>
          <w:bCs/>
        </w:rPr>
        <w:t xml:space="preserve">2004</w:t>
      </w:r>
      <w:r>
        <w:t xml:space="preserve">,</w:t>
      </w:r>
      <w:r>
        <w:t xml:space="preserve"> </w:t>
      </w:r>
      <w:r>
        <w:rPr>
          <w:i/>
          <w:iCs/>
        </w:rPr>
        <w:t xml:space="preserve">88</w:t>
      </w:r>
      <w:r>
        <w:t xml:space="preserve">, 365–411.</w:t>
      </w:r>
      <w:r>
        <w:t xml:space="preserve"> </w:t>
      </w:r>
      <w:hyperlink r:id="rId31">
        <w:r>
          <w:rPr>
            <w:rStyle w:val="Hyperlink"/>
          </w:rPr>
          <w:t xml:space="preserve">https://doi.org/10.1016/S0047-259X(03)00096-4</w:t>
        </w:r>
      </w:hyperlink>
      <w:r>
        <w:t xml:space="preserve">.</w:t>
      </w:r>
      <w:bookmarkEnd w:id="60"/>
    </w:p>
    <w:p>
      <w:pPr>
        <w:pStyle w:val="MDPI81references"/>
        <w:numPr>
          <w:ilvl w:val="0"/>
          <w:numId w:val="0"/>
        </w:numPr>
        <w:ind w:left="180" w:hanging="180"/>
      </w:pPr>
      <w:bookmarkStart w:id="62" w:name="r-wadi"/>
      <w: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t xml:space="preserve"> </w:t>
      </w:r>
      <w:hyperlink r:id="rId32">
        <w:r>
          <w:rPr>
            <w:rStyle w:val="Hyperlink"/>
          </w:rPr>
          <w:t xml:space="preserve">https://doi.org/10.1145/3055366.3055375</w:t>
        </w:r>
      </w:hyperlink>
      <w:r>
        <w:t xml:space="preserve">.</w:t>
      </w:r>
      <w:bookmarkEnd w:id="62"/>
    </w:p>
    <w:p>
      <w:pPr>
        <w:pStyle w:val="MDPI81references"/>
        <w:numPr>
          <w:ilvl w:val="0"/>
          <w:numId w:val="0"/>
        </w:numPr>
        <w:ind w:left="180" w:hanging="180"/>
      </w:pPr>
      <w:bookmarkStart w:id="64" w:name="r-hai"/>
      <w:r>
        <w:t xml:space="preserve">Shin, H.-K.; Lee, W.; Yun, J.-H.; Kim, H. HAI 1.0: HIL-based augmented ICS security dataset. In Proceedings of the 13th USENIX Workshop on Cyber Security Experimentation and Test (CSET), Virtual, 10 August 2020.</w:t>
      </w:r>
      <w:r>
        <w:t xml:space="preserve"> </w:t>
      </w:r>
      <w:hyperlink r:id="rId33">
        <w:r>
          <w:rPr>
            <w:rStyle w:val="Hyperlink"/>
          </w:rPr>
          <w:t xml:space="preserve">https://www.usenix.org/conference/cset20/presentation/shin</w:t>
        </w:r>
      </w:hyperlink>
      <w:r>
        <w:t xml:space="preserve">.</w:t>
      </w:r>
      <w:bookmarkEnd w:id="64"/>
    </w:p>
    <w:p>
      <w:pPr>
        <w:pStyle w:val="MDPI81references"/>
        <w:numPr>
          <w:ilvl w:val="0"/>
          <w:numId w:val="0"/>
        </w:numPr>
        <w:ind w:left="180" w:hanging="180"/>
      </w:pPr>
      <w:bookmarkStart w:id="66" w:name="r-skab"/>
      <w:r>
        <w:t xml:space="preserve">Katser, I.D.; Kozitsin, V.O.</w:t>
      </w:r>
      <w:r>
        <w:t xml:space="preserve"> </w:t>
      </w:r>
      <w:r>
        <w:rPr>
          <w:i/>
          <w:iCs/>
        </w:rPr>
        <w:t xml:space="preserve">Skoltech Anomaly Benchmark (SKAB)</w:t>
      </w:r>
      <w:r>
        <w:t xml:space="preserve">; Kaggle: 2020.</w:t>
      </w:r>
      <w:r>
        <w:t xml:space="preserve"> </w:t>
      </w:r>
      <w:hyperlink r:id="rId34">
        <w:r>
          <w:rPr>
            <w:rStyle w:val="Hyperlink"/>
          </w:rPr>
          <w:t xml:space="preserve">https://doi.org/10.34740/kaggle/dsv/1693952</w:t>
        </w:r>
      </w:hyperlink>
      <w:r>
        <w:t xml:space="preserve">.</w:t>
      </w:r>
      <w:bookmarkEnd w:id="66"/>
    </w:p>
    <w:p>
      <w:pPr>
        <w:pStyle w:val="MDPI81references"/>
        <w:numPr>
          <w:ilvl w:val="0"/>
          <w:numId w:val="0"/>
        </w:numPr>
        <w:ind w:left="180" w:hanging="180"/>
      </w:pPr>
      <w:bookmarkStart w:id="68" w:name="r-bouman"/>
      <w:r>
        <w:t xml:space="preserve">Bouman, R.; Heskes, T. Autoencoders for anomaly detection are unreliable.</w:t>
      </w:r>
      <w:r>
        <w:t xml:space="preserve"> </w:t>
      </w:r>
      <w:r>
        <w:rPr>
          <w:i/>
          <w:iCs/>
        </w:rPr>
        <w:t xml:space="preserve">arXiv</w:t>
      </w:r>
      <w:r>
        <w:t xml:space="preserve"> </w:t>
      </w:r>
      <w:r>
        <w:rPr>
          <w:b/>
          <w:bCs/>
        </w:rPr>
        <w:t xml:space="preserve">2025</w:t>
      </w:r>
      <w:r>
        <w:t xml:space="preserve">, arXiv:2501.13864.</w:t>
      </w:r>
      <w:r>
        <w:t xml:space="preserve"> </w:t>
      </w:r>
      <w:hyperlink r:id="rId35">
        <w:r>
          <w:rPr>
            <w:rStyle w:val="Hyperlink"/>
          </w:rPr>
          <w:t xml:space="preserve">https://arxiv.org/abs/2501.13864</w:t>
        </w:r>
      </w:hyperlink>
      <w:r>
        <w:t xml:space="preserve">.</w:t>
      </w:r>
      <w:bookmarkEnd w:id="68"/>
    </w:p>
    <w:p>
      <w:pPr>
        <w:pStyle w:val="MDPI81references"/>
        <w:numPr>
          <w:ilvl w:val="0"/>
          <w:numId w:val="0"/>
        </w:numPr>
        <w:ind w:left="180" w:hanging="180"/>
      </w:pPr>
      <w:bookmarkStart w:id="70" w:name="r-memae"/>
      <w: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t xml:space="preserve"> </w:t>
      </w:r>
      <w:hyperlink r:id="rId36">
        <w:r>
          <w:rPr>
            <w:rStyle w:val="Hyperlink"/>
          </w:rPr>
          <w:t xml:space="preserve">arXiv:1904.02639</w:t>
        </w:r>
      </w:hyperlink>
      <w:r>
        <w:t xml:space="preserve">.</w:t>
      </w:r>
      <w:bookmarkEnd w:id="70"/>
    </w:p>
    <w:p>
      <w:pPr>
        <w:pStyle w:val="MDPI81references"/>
        <w:numPr>
          <w:ilvl w:val="0"/>
          <w:numId w:val="0"/>
        </w:numPr>
        <w:ind w:left="180" w:hanging="180"/>
      </w:pPr>
      <w:bookmarkStart w:id="72" w:name="r-sarfraz"/>
      <w:r>
        <w:t xml:space="preserve">Sarfraz, M.S.; Chen, M.-Y.; Layer, L.; Peng, K.; Koulakis, M. Position: Quo vadis, unsupervised time series anomaly detection? In Proceedings of the 41st International Conference on Machine Learning (ICML), Vienna, Austria, 21–27 July 2024.</w:t>
      </w:r>
      <w:r>
        <w:t xml:space="preserve"> </w:t>
      </w:r>
      <w:hyperlink r:id="rId37">
        <w:r>
          <w:rPr>
            <w:rStyle w:val="Hyperlink"/>
          </w:rPr>
          <w:t xml:space="preserve">arXiv:2405.02678</w:t>
        </w:r>
      </w:hyperlink>
      <w:r>
        <w:t xml:space="preserve">.</w:t>
      </w:r>
      <w:bookmarkEnd w:id="72"/>
    </w:p>
    <w:p>
      <w:pPr>
        <w:pStyle w:val="MDPI81references"/>
        <w:numPr>
          <w:ilvl w:val="0"/>
          <w:numId w:val="0"/>
        </w:numPr>
        <w:ind w:left="180" w:hanging="180"/>
      </w:pPr>
      <w:bookmarkStart w:id="74" w:name="r-timesead"/>
      <w:r>
        <w:t xml:space="preserve">Wagner, D.; Michels, T.; Schulz, F.C.F.; Nair, A.; Rudolph, M.; Kloft, M. TimeSeAD: Benchmarking deep multivariate time-series anomaly detection.</w:t>
      </w:r>
      <w:r>
        <w:t xml:space="preserve"> </w:t>
      </w:r>
      <w:r>
        <w:rPr>
          <w:i/>
          <w:iCs/>
        </w:rPr>
        <w:t xml:space="preserve">Trans. Mach. Learn. Res.</w:t>
      </w:r>
      <w:r>
        <w:t xml:space="preserve"> </w:t>
      </w:r>
      <w:r>
        <w:rPr>
          <w:b/>
          <w:bCs/>
        </w:rPr>
        <w:t xml:space="preserve">2023</w:t>
      </w:r>
      <w:r>
        <w:t xml:space="preserve">.</w:t>
      </w:r>
      <w:r>
        <w:t xml:space="preserve"> </w:t>
      </w:r>
      <w:hyperlink r:id="rId38">
        <w:r>
          <w:rPr>
            <w:rStyle w:val="Hyperlink"/>
          </w:rPr>
          <w:t xml:space="preserve">https://openreview.net/forum?id=iMmsCI0JsS</w:t>
        </w:r>
      </w:hyperlink>
      <w:r>
        <w:t xml:space="preserve">.</w:t>
      </w:r>
      <w:bookmarkEnd w:id="74"/>
    </w:p>
    <w:p>
      <w:pPr>
        <w:pStyle w:val="MDPI81references"/>
        <w:numPr>
          <w:ilvl w:val="0"/>
          <w:numId w:val="0"/>
        </w:numPr>
        <w:ind w:left="180" w:hanging="180"/>
      </w:pPr>
      <w:bookmarkStart w:id="76" w:name="r-swat"/>
      <w:r>
        <w:t xml:space="preserve">Mathur, A.P.; Tippenhauer, N.O. SWaT: A water treatment testbed for research and training on ICS security. In Proceedings of the 2016 International Workshop on Cyber-Physical Systems for Smart Water Networks (CySWater), Vienna, Austria, 11 April 2016; pp. 31–36.</w:t>
      </w:r>
      <w:r>
        <w:t xml:space="preserve"> </w:t>
      </w:r>
      <w:hyperlink r:id="rId39">
        <w:r>
          <w:rPr>
            <w:rStyle w:val="Hyperlink"/>
          </w:rPr>
          <w:t xml:space="preserve">https://doi.org/10.1109/CySWater.2016.7469060</w:t>
        </w:r>
      </w:hyperlink>
      <w:r>
        <w:t xml:space="preserve">.</w:t>
      </w:r>
      <w:bookmarkEnd w:id="76"/>
    </w:p>
    <w:p>
      <w:pPr>
        <w:pStyle w:val="MDPI81references"/>
        <w:numPr>
          <w:ilvl w:val="0"/>
          <w:numId w:val="0"/>
        </w:numPr>
        <w:ind w:left="180" w:hanging="180"/>
      </w:pPr>
      <w:bookmarkStart w:id="78" w:name="r-aead"/>
      <w:r>
        <w:t xml:space="preserve">Sakurada, M.; Yairi, T. Anomaly detection using autoencoders with nonlinear dimensionality reduction. In Proceedings of the MLSDA 2014 2nd Workshop on Machine Learning for Sensory Data Analysis, Gold Coast, Australia, 2 December 2014; pp. 4–11.</w:t>
      </w:r>
      <w:r>
        <w:t xml:space="preserve"> </w:t>
      </w:r>
      <w:hyperlink r:id="rId40">
        <w:r>
          <w:rPr>
            <w:rStyle w:val="Hyperlink"/>
          </w:rPr>
          <w:t xml:space="preserve">https://doi.org/10.1145/2689746.2689747</w:t>
        </w:r>
      </w:hyperlink>
      <w:r>
        <w:t xml:space="preserve">.</w:t>
      </w:r>
      <w:bookmarkEnd w:id="78"/>
    </w:p>
    <w:p>
      <w:pPr>
        <w:pStyle w:val="MDPI81references"/>
        <w:numPr>
          <w:ilvl w:val="0"/>
          <w:numId w:val="0"/>
        </w:numPr>
        <w:ind w:left="180" w:hanging="180"/>
      </w:pPr>
      <w:bookmarkStart w:id="80" w:name="r-chandola"/>
      <w:r>
        <w:t xml:space="preserve">Chandola, V.; Banerjee, A.; Kumar, V. Anomaly detection: A survey.</w:t>
      </w:r>
      <w:r>
        <w:t xml:space="preserve"> </w:t>
      </w:r>
      <w:r>
        <w:rPr>
          <w:i/>
          <w:iCs/>
        </w:rPr>
        <w:t xml:space="preserve">ACM Comput. Surv.</w:t>
      </w:r>
      <w:r>
        <w:t xml:space="preserve"> </w:t>
      </w:r>
      <w:r>
        <w:rPr>
          <w:b/>
          <w:bCs/>
        </w:rPr>
        <w:t xml:space="preserve">2009</w:t>
      </w:r>
      <w:r>
        <w:t xml:space="preserve">,</w:t>
      </w:r>
      <w:r>
        <w:t xml:space="preserve"> </w:t>
      </w:r>
      <w:r>
        <w:rPr>
          <w:i/>
          <w:iCs/>
        </w:rPr>
        <w:t xml:space="preserve">41</w:t>
      </w:r>
      <w:r>
        <w:t xml:space="preserve">, 15.</w:t>
      </w:r>
      <w:r>
        <w:t xml:space="preserve"> </w:t>
      </w:r>
      <w:hyperlink r:id="rId41">
        <w:r>
          <w:rPr>
            <w:rStyle w:val="Hyperlink"/>
          </w:rPr>
          <w:t xml:space="preserve">https://doi.org/10.1145/1541880.1541882</w:t>
        </w:r>
      </w:hyperlink>
      <w:r>
        <w:t xml:space="preserve">.</w:t>
      </w:r>
      <w:bookmarkEnd w:id="80"/>
    </w:p>
    <w:p>
      <w:pPr>
        <w:pStyle w:val="MDPI81references"/>
        <w:numPr>
          <w:ilvl w:val="0"/>
          <w:numId w:val="0"/>
        </w:numPr>
        <w:ind w:left="180" w:hanging="180"/>
      </w:pPr>
      <w:bookmarkStart w:id="82" w:name="r-pang"/>
      <w:r>
        <w:t xml:space="preserve">Pang, G.; Shen, C.; Cao, L.; van den Hengel, A. Deep learning for anomaly detection: A review.</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38.</w:t>
      </w:r>
      <w:r>
        <w:t xml:space="preserve"> </w:t>
      </w:r>
      <w:hyperlink r:id="rId42">
        <w:r>
          <w:rPr>
            <w:rStyle w:val="Hyperlink"/>
          </w:rPr>
          <w:t xml:space="preserve">https://doi.org/10.1145/3439950</w:t>
        </w:r>
      </w:hyperlink>
      <w:r>
        <w:t xml:space="preserve">.</w:t>
      </w:r>
      <w:bookmarkEnd w:id="82"/>
    </w:p>
    <w:p>
      <w:pPr>
        <w:pStyle w:val="MDPI81references"/>
        <w:numPr>
          <w:ilvl w:val="0"/>
          <w:numId w:val="0"/>
        </w:numPr>
        <w:ind w:left="180" w:hanging="180"/>
      </w:pPr>
      <w:bookmarkStart w:id="84" w:name="r-ruff"/>
      <w:r>
        <w:t xml:space="preserve">Ruff, L.; Kauffmann, J.R.; Vandermeulen, R.A.; Montavon, G.; Samek, W.; Kloft, M.; Dietterich, T.G.; Müller, K.-R. A unifying review of deep and shallow anomaly detection.</w:t>
      </w:r>
      <w:r>
        <w:t xml:space="preserve"> </w:t>
      </w:r>
      <w:r>
        <w:rPr>
          <w:i/>
          <w:iCs/>
        </w:rPr>
        <w:t xml:space="preserve">Proc. IEEE</w:t>
      </w:r>
      <w:r>
        <w:t xml:space="preserve"> </w:t>
      </w:r>
      <w:r>
        <w:rPr>
          <w:b/>
          <w:bCs/>
        </w:rPr>
        <w:t xml:space="preserve">2021</w:t>
      </w:r>
      <w:r>
        <w:t xml:space="preserve">,</w:t>
      </w:r>
      <w:r>
        <w:t xml:space="preserve"> </w:t>
      </w:r>
      <w:r>
        <w:rPr>
          <w:i/>
          <w:iCs/>
        </w:rPr>
        <w:t xml:space="preserve">109</w:t>
      </w:r>
      <w:r>
        <w:t xml:space="preserve">, 756–795.</w:t>
      </w:r>
      <w:r>
        <w:t xml:space="preserve"> </w:t>
      </w:r>
      <w:hyperlink r:id="rId43">
        <w:r>
          <w:rPr>
            <w:rStyle w:val="Hyperlink"/>
          </w:rPr>
          <w:t xml:space="preserve">https://doi.org/10.1109/JPROC.2021.3052449</w:t>
        </w:r>
      </w:hyperlink>
      <w:r>
        <w:t xml:space="preserve">.</w:t>
      </w:r>
      <w:bookmarkEnd w:id="84"/>
    </w:p>
    <w:p>
      <w:pPr>
        <w:pStyle w:val="MDPI81references"/>
        <w:numPr>
          <w:ilvl w:val="0"/>
          <w:numId w:val="0"/>
        </w:numPr>
        <w:ind w:left="180" w:hanging="180"/>
      </w:pPr>
      <w:bookmarkStart w:id="86" w:name="r-tsreview"/>
      <w:r>
        <w:t xml:space="preserve">Blázquez-García, A.; Conde, A.; Mori, U.; Lozano, J.A. A review on outlier/anomaly detection in time series data.</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56.</w:t>
      </w:r>
      <w:r>
        <w:t xml:space="preserve"> </w:t>
      </w:r>
      <w:hyperlink r:id="rId44">
        <w:r>
          <w:rPr>
            <w:rStyle w:val="Hyperlink"/>
          </w:rPr>
          <w:t xml:space="preserve">https://doi.org/10.1145/3444690</w:t>
        </w:r>
      </w:hyperlink>
      <w:r>
        <w:t xml:space="preserve">.</w:t>
      </w:r>
      <w:bookmarkEnd w:id="86"/>
    </w:p>
    <w:p>
      <w:pPr>
        <w:pStyle w:val="MDPI81references"/>
        <w:numPr>
          <w:ilvl w:val="0"/>
          <w:numId w:val="0"/>
        </w:numPr>
        <w:ind w:left="180" w:hanging="180"/>
      </w:pPr>
      <w:bookmarkStart w:id="88" w:name="r-icssurvey"/>
      <w:r>
        <w:t xml:space="preserve">Hu, Y.; Yang, A.; Li, H.; Sun, Y.; Sun, L. A survey of intrusion detection on industrial control systems.</w:t>
      </w:r>
      <w:r>
        <w:t xml:space="preserve"> </w:t>
      </w:r>
      <w:r>
        <w:rPr>
          <w:i/>
          <w:iCs/>
        </w:rPr>
        <w:t xml:space="preserve">Int. J. Distrib. Sens. Netw.</w:t>
      </w:r>
      <w:r>
        <w:t xml:space="preserve"> </w:t>
      </w:r>
      <w:r>
        <w:rPr>
          <w:b/>
          <w:bCs/>
        </w:rPr>
        <w:t xml:space="preserve">2018</w:t>
      </w:r>
      <w:r>
        <w:t xml:space="preserve">,</w:t>
      </w:r>
      <w:r>
        <w:t xml:space="preserve"> </w:t>
      </w:r>
      <w:r>
        <w:rPr>
          <w:i/>
          <w:iCs/>
        </w:rPr>
        <w:t xml:space="preserve">14</w:t>
      </w:r>
      <w:r>
        <w:t xml:space="preserve">, 1550147718794615.</w:t>
      </w:r>
      <w:r>
        <w:t xml:space="preserve"> </w:t>
      </w:r>
      <w:hyperlink r:id="rId45">
        <w:r>
          <w:rPr>
            <w:rStyle w:val="Hyperlink"/>
          </w:rPr>
          <w:t xml:space="preserve">https://doi.org/10.1177/1550147718794615</w:t>
        </w:r>
      </w:hyperlink>
      <w:r>
        <w:t xml:space="preserve">.</w:t>
      </w:r>
      <w:bookmarkEnd w:id="88"/>
    </w:p>
    <w:sectPr w:rsidR="00BE70EC" w:rsidRPr="00797787" w:rsidSect="0019663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F4A9B" w14:textId="77777777" w:rsidR="00D549C5" w:rsidRPr="00A8086E" w:rsidRDefault="00D549C5">
      <w:pPr>
        <w:spacing w:line="240" w:lineRule="auto"/>
      </w:pPr>
      <w:r w:rsidRPr="00A8086E">
        <w:separator/>
      </w:r>
    </w:p>
  </w:endnote>
  <w:endnote w:type="continuationSeparator" w:id="0">
    <w:p w14:paraId="43228A66" w14:textId="77777777" w:rsidR="00D549C5" w:rsidRPr="00A8086E" w:rsidRDefault="00D549C5">
      <w:pPr>
        <w:spacing w:line="240" w:lineRule="auto"/>
      </w:pPr>
      <w:r w:rsidRPr="00A80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16D1" w14:textId="1ED759AB" w:rsidR="00357C8D" w:rsidRPr="008C2EC5" w:rsidRDefault="008C2EC5" w:rsidP="008C2EC5">
    <w:pPr>
      <w:pStyle w:val="Footer"/>
      <w:spacing w:line="240" w:lineRule="auto"/>
      <w:jc w:val="right"/>
    </w:pPr>
    <w:r w:rsidRPr="008969D2">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A6A4" w14:textId="77777777" w:rsidR="005F1F95" w:rsidRPr="00A8086E" w:rsidRDefault="005F1F95" w:rsidP="00D3396A">
    <w:pPr>
      <w:pBdr>
        <w:top w:val="single" w:sz="4" w:space="0" w:color="000000"/>
      </w:pBdr>
      <w:adjustRightInd w:val="0"/>
      <w:snapToGrid w:val="0"/>
      <w:spacing w:before="480" w:line="100" w:lineRule="exact"/>
      <w:rPr>
        <w:i/>
        <w:sz w:val="16"/>
        <w:szCs w:val="16"/>
      </w:rPr>
    </w:pPr>
  </w:p>
  <w:p w14:paraId="46C7C755" w14:textId="0A8F3B41" w:rsidR="00357C8D" w:rsidRPr="00A8086E" w:rsidRDefault="00CC569D" w:rsidP="003B290C">
    <w:pPr>
      <w:tabs>
        <w:tab w:val="right" w:pos="10466"/>
      </w:tabs>
      <w:spacing w:line="240" w:lineRule="auto"/>
      <w:rPr>
        <w:sz w:val="16"/>
        <w:szCs w:val="16"/>
      </w:rPr>
    </w:pPr>
    <w:r w:rsidRPr="00A8086E">
      <w:rPr>
        <w:i/>
        <w:sz w:val="16"/>
        <w:szCs w:val="16"/>
      </w:rPr>
      <w:t>IoT</w:t>
    </w:r>
    <w:r w:rsidRPr="00A8086E">
      <w:rPr>
        <w:sz w:val="16"/>
        <w:szCs w:val="16"/>
      </w:rPr>
      <w:t xml:space="preserve"> </w:t>
    </w:r>
    <w:r w:rsidR="008C2EC5">
      <w:rPr>
        <w:b/>
        <w:sz w:val="16"/>
        <w:szCs w:val="16"/>
      </w:rPr>
      <w:t>2026</w:t>
    </w:r>
    <w:r w:rsidRPr="00A8086E">
      <w:rPr>
        <w:bCs/>
        <w:sz w:val="16"/>
        <w:szCs w:val="16"/>
      </w:rPr>
      <w:t>,</w:t>
    </w:r>
    <w:r w:rsidR="0019663C" w:rsidRPr="00A8086E">
      <w:rPr>
        <w:bCs/>
        <w:i/>
        <w:sz w:val="16"/>
        <w:szCs w:val="16"/>
      </w:rPr>
      <w:t xml:space="preserve"> </w:t>
    </w:r>
    <w:r w:rsidR="008C2EC5">
      <w:rPr>
        <w:bCs/>
        <w:i/>
        <w:sz w:val="16"/>
        <w:szCs w:val="16"/>
      </w:rPr>
      <w:t>7</w:t>
    </w:r>
    <w:r w:rsidR="00715BD6" w:rsidRPr="00A8086E">
      <w:rPr>
        <w:bCs/>
        <w:sz w:val="16"/>
        <w:szCs w:val="16"/>
      </w:rPr>
      <w:t xml:space="preserve">, </w:t>
    </w:r>
    <w:r w:rsidR="0019663C" w:rsidRPr="00A8086E">
      <w:rPr>
        <w:bCs/>
        <w:sz w:val="16"/>
        <w:szCs w:val="16"/>
      </w:rPr>
      <w:t>x</w:t>
    </w:r>
    <w:r w:rsidR="003B290C" w:rsidRPr="00A8086E">
      <w:rPr>
        <w:sz w:val="16"/>
        <w:szCs w:val="16"/>
      </w:rPr>
      <w:tab/>
    </w:r>
    <w:r w:rsidR="008C2EC5" w:rsidRPr="008969D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FB174" w14:textId="77777777" w:rsidR="00D549C5" w:rsidRPr="00A8086E" w:rsidRDefault="00D549C5">
      <w:pPr>
        <w:spacing w:line="240" w:lineRule="auto"/>
      </w:pPr>
      <w:r w:rsidRPr="00A8086E">
        <w:separator/>
      </w:r>
    </w:p>
  </w:footnote>
  <w:footnote w:type="continuationSeparator" w:id="0">
    <w:p w14:paraId="7911A62B" w14:textId="77777777" w:rsidR="00D549C5" w:rsidRPr="00A8086E" w:rsidRDefault="00D549C5">
      <w:pPr>
        <w:spacing w:line="240" w:lineRule="auto"/>
      </w:pPr>
      <w:r w:rsidRPr="00A808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3920" w14:textId="77777777" w:rsidR="00357C8D" w:rsidRPr="00A8086E" w:rsidRDefault="00357C8D" w:rsidP="00357C8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8046" w14:textId="3F5E636F" w:rsidR="005F1F95" w:rsidRPr="00A8086E" w:rsidRDefault="00CC569D" w:rsidP="003B290C">
    <w:pPr>
      <w:tabs>
        <w:tab w:val="right" w:pos="10466"/>
      </w:tabs>
      <w:adjustRightInd w:val="0"/>
      <w:snapToGrid w:val="0"/>
      <w:spacing w:line="240" w:lineRule="auto"/>
      <w:rPr>
        <w:sz w:val="16"/>
      </w:rPr>
    </w:pPr>
    <w:r w:rsidRPr="00A8086E">
      <w:rPr>
        <w:i/>
        <w:sz w:val="16"/>
      </w:rPr>
      <w:t>IoT</w:t>
    </w:r>
    <w:r w:rsidRPr="00A8086E">
      <w:rPr>
        <w:b/>
        <w:sz w:val="16"/>
      </w:rPr>
      <w:t xml:space="preserve"> </w:t>
    </w:r>
    <w:r w:rsidR="008C2EC5">
      <w:rPr>
        <w:b/>
        <w:sz w:val="16"/>
      </w:rPr>
      <w:t>2026</w:t>
    </w:r>
    <w:r w:rsidR="00715BD6" w:rsidRPr="00A8086E">
      <w:rPr>
        <w:sz w:val="16"/>
      </w:rPr>
      <w:t>,</w:t>
    </w:r>
    <w:r w:rsidR="0019663C" w:rsidRPr="00A8086E">
      <w:rPr>
        <w:i/>
        <w:sz w:val="16"/>
      </w:rPr>
      <w:t xml:space="preserve"> </w:t>
    </w:r>
    <w:r w:rsidR="008C2EC5">
      <w:rPr>
        <w:i/>
        <w:sz w:val="16"/>
      </w:rPr>
      <w:t>7</w:t>
    </w:r>
    <w:r w:rsidR="00715BD6" w:rsidRPr="00A8086E">
      <w:rPr>
        <w:sz w:val="16"/>
      </w:rPr>
      <w:t>,</w:t>
    </w:r>
    <w:r w:rsidR="0019663C" w:rsidRPr="00A8086E">
      <w:rPr>
        <w:sz w:val="16"/>
      </w:rPr>
      <w:t xml:space="preserve"> x</w:t>
    </w:r>
    <w:r w:rsidR="00715BD6" w:rsidRPr="00A8086E">
      <w:rPr>
        <w:sz w:val="16"/>
      </w:rPr>
      <w:t xml:space="preserve"> </w:t>
    </w:r>
    <w:r w:rsidR="0019663C" w:rsidRPr="00A8086E">
      <w:rPr>
        <w:sz w:val="16"/>
      </w:rPr>
      <w:t>FOR PEER REVIEW</w:t>
    </w:r>
    <w:r w:rsidR="0019663C" w:rsidRPr="00A8086E">
      <w:rPr>
        <w:sz w:val="16"/>
      </w:rPr>
      <w:ptab w:relativeTo="margin" w:alignment="right" w:leader="none"/>
    </w:r>
    <w:r w:rsidR="0019663C" w:rsidRPr="00A8086E">
      <w:rPr>
        <w:sz w:val="16"/>
      </w:rPr>
      <w:fldChar w:fldCharType="begin"/>
    </w:r>
    <w:r w:rsidR="0019663C" w:rsidRPr="00A8086E">
      <w:rPr>
        <w:sz w:val="16"/>
      </w:rPr>
      <w:instrText xml:space="preserve"> PAGE   \* MERGEFORMAT </w:instrText>
    </w:r>
    <w:r w:rsidR="0019663C" w:rsidRPr="00A8086E">
      <w:rPr>
        <w:sz w:val="16"/>
      </w:rPr>
      <w:fldChar w:fldCharType="separate"/>
    </w:r>
    <w:r w:rsidR="0019663C" w:rsidRPr="00A8086E">
      <w:rPr>
        <w:sz w:val="16"/>
      </w:rPr>
      <w:t>2</w:t>
    </w:r>
    <w:r w:rsidR="0019663C" w:rsidRPr="00A8086E">
      <w:rPr>
        <w:sz w:val="16"/>
      </w:rPr>
      <w:fldChar w:fldCharType="end"/>
    </w:r>
    <w:r w:rsidR="0019663C" w:rsidRPr="00A8086E">
      <w:rPr>
        <w:sz w:val="16"/>
      </w:rPr>
      <w:t xml:space="preserve"> of </w:t>
    </w:r>
    <w:r w:rsidR="0019663C" w:rsidRPr="00A8086E">
      <w:rPr>
        <w:sz w:val="16"/>
      </w:rPr>
      <w:fldChar w:fldCharType="begin"/>
    </w:r>
    <w:r w:rsidR="0019663C" w:rsidRPr="00A8086E">
      <w:rPr>
        <w:sz w:val="16"/>
      </w:rPr>
      <w:instrText xml:space="preserve"> NUMPAGES   \* MERGEFORMAT </w:instrText>
    </w:r>
    <w:r w:rsidR="0019663C" w:rsidRPr="00A8086E">
      <w:rPr>
        <w:sz w:val="16"/>
      </w:rPr>
      <w:fldChar w:fldCharType="separate"/>
    </w:r>
    <w:r w:rsidR="0019663C" w:rsidRPr="00A8086E">
      <w:rPr>
        <w:sz w:val="16"/>
      </w:rPr>
      <w:t>8</w:t>
    </w:r>
    <w:r w:rsidR="0019663C" w:rsidRPr="00A8086E">
      <w:rPr>
        <w:sz w:val="16"/>
      </w:rPr>
      <w:fldChar w:fldCharType="end"/>
    </w:r>
  </w:p>
  <w:p w14:paraId="3155DB8A" w14:textId="77777777" w:rsidR="00357C8D" w:rsidRPr="00A8086E" w:rsidRDefault="00357C8D" w:rsidP="00D3396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5F1F95" w:rsidRPr="00A8086E" w14:paraId="4CB2F1E3" w14:textId="77777777" w:rsidTr="002055C3">
      <w:trPr>
        <w:trHeight w:val="686"/>
      </w:trPr>
      <w:tc>
        <w:tcPr>
          <w:tcW w:w="3679" w:type="dxa"/>
          <w:vAlign w:val="center"/>
        </w:tcPr>
        <w:p w14:paraId="6DF5C523" w14:textId="1579F1B1" w:rsidR="005F1F95" w:rsidRPr="00A8086E" w:rsidRDefault="00EC27A2" w:rsidP="003B290C">
          <w:pPr>
            <w:pStyle w:val="Header"/>
            <w:pBdr>
              <w:bottom w:val="none" w:sz="0" w:space="0" w:color="auto"/>
            </w:pBdr>
            <w:jc w:val="left"/>
            <w:rPr>
              <w:rFonts w:eastAsia="等线"/>
              <w:b/>
              <w:bCs/>
            </w:rPr>
          </w:pPr>
          <w:r w:rsidRPr="00A8086E">
            <w:rPr>
              <w:rFonts w:eastAsia="等线"/>
              <w:b/>
              <w:bCs/>
              <w:noProof/>
            </w:rPr>
            <w:drawing>
              <wp:inline distT="0" distB="0" distL="0" distR="0" wp14:anchorId="0239CEF3" wp14:editId="247ED866">
                <wp:extent cx="839314" cy="432000"/>
                <wp:effectExtent l="0" t="0" r="0" b="6350"/>
                <wp:docPr id="18650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97153" name=""/>
                        <pic:cNvPicPr/>
                      </pic:nvPicPr>
                      <pic:blipFill>
                        <a:blip r:embed="rId1"/>
                        <a:stretch>
                          <a:fillRect/>
                        </a:stretch>
                      </pic:blipFill>
                      <pic:spPr>
                        <a:xfrm>
                          <a:off x="0" y="0"/>
                          <a:ext cx="839314" cy="432000"/>
                        </a:xfrm>
                        <a:prstGeom prst="rect">
                          <a:avLst/>
                        </a:prstGeom>
                      </pic:spPr>
                    </pic:pic>
                  </a:graphicData>
                </a:graphic>
              </wp:inline>
            </w:drawing>
          </w:r>
        </w:p>
      </w:tc>
      <w:tc>
        <w:tcPr>
          <w:tcW w:w="4535" w:type="dxa"/>
          <w:vAlign w:val="center"/>
        </w:tcPr>
        <w:p w14:paraId="0898B16D" w14:textId="77777777" w:rsidR="005F1F95" w:rsidRPr="00A8086E" w:rsidRDefault="005F1F95" w:rsidP="003B290C">
          <w:pPr>
            <w:pStyle w:val="Header"/>
            <w:pBdr>
              <w:bottom w:val="none" w:sz="0" w:space="0" w:color="auto"/>
            </w:pBdr>
            <w:rPr>
              <w:rFonts w:eastAsia="等线"/>
              <w:b/>
              <w:bCs/>
            </w:rPr>
          </w:pPr>
        </w:p>
      </w:tc>
      <w:tc>
        <w:tcPr>
          <w:tcW w:w="2273" w:type="dxa"/>
          <w:vAlign w:val="center"/>
        </w:tcPr>
        <w:p w14:paraId="64DB50AD" w14:textId="4429843F" w:rsidR="005F1F95" w:rsidRPr="00A8086E" w:rsidRDefault="002055C3" w:rsidP="002055C3">
          <w:pPr>
            <w:pStyle w:val="Header"/>
            <w:pBdr>
              <w:bottom w:val="none" w:sz="0" w:space="0" w:color="auto"/>
            </w:pBdr>
            <w:jc w:val="right"/>
            <w:rPr>
              <w:rFonts w:eastAsia="等线"/>
              <w:b/>
              <w:bCs/>
            </w:rPr>
          </w:pPr>
          <w:r w:rsidRPr="00A8086E">
            <w:rPr>
              <w:rFonts w:eastAsia="等线"/>
              <w:b/>
              <w:bCs/>
              <w:noProof/>
            </w:rPr>
            <w:drawing>
              <wp:inline distT="0" distB="0" distL="0" distR="0" wp14:anchorId="07C34F4A" wp14:editId="78196ADE">
                <wp:extent cx="540000" cy="360000"/>
                <wp:effectExtent l="0" t="0" r="0" b="2540"/>
                <wp:docPr id="1284081152" name="Picture 1"/>
                <wp:cNvGraphicFramePr/>
                <a:graphic xmlns:a="http://schemas.openxmlformats.org/drawingml/2006/main">
                  <a:graphicData uri="http://schemas.openxmlformats.org/drawingml/2006/picture">
                    <pic:pic xmlns:pic="http://schemas.openxmlformats.org/drawingml/2006/picture">
                      <pic:nvPicPr>
                        <pic:cNvPr id="1284081152" name=""/>
                        <pic:cNvPicPr/>
                      </pic:nvPicPr>
                      <pic:blipFill>
                        <a:blip r:embed="rId2"/>
                        <a:stretch>
                          <a:fillRect/>
                        </a:stretch>
                      </pic:blipFill>
                      <pic:spPr>
                        <a:xfrm>
                          <a:off x="0" y="0"/>
                          <a:ext cx="540000" cy="360000"/>
                        </a:xfrm>
                        <a:prstGeom prst="rect">
                          <a:avLst/>
                        </a:prstGeom>
                      </pic:spPr>
                    </pic:pic>
                  </a:graphicData>
                </a:graphic>
              </wp:inline>
            </w:drawing>
          </w:r>
        </w:p>
      </w:tc>
    </w:tr>
  </w:tbl>
  <w:p w14:paraId="07F660AB" w14:textId="77777777" w:rsidR="00357C8D" w:rsidRPr="00A8086E" w:rsidRDefault="00357C8D" w:rsidP="0019663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631B"/>
    <w:multiLevelType w:val="hybridMultilevel"/>
    <w:tmpl w:val="8DD6EEDE"/>
    <w:lvl w:ilvl="0" w:tplc="93A6F1D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FB0FCC0"/>
    <w:lvl w:ilvl="0" w:tplc="4CA0181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6DC520E"/>
    <w:multiLevelType w:val="hybridMultilevel"/>
    <w:tmpl w:val="8668CE68"/>
    <w:lvl w:ilvl="0" w:tplc="5A90BB5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8326A2"/>
    <w:multiLevelType w:val="hybridMultilevel"/>
    <w:tmpl w:val="B644D85C"/>
    <w:lvl w:ilvl="0" w:tplc="11D0A64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2275560">
    <w:abstractNumId w:val="4"/>
  </w:num>
  <w:num w:numId="2" w16cid:durableId="2137989968">
    <w:abstractNumId w:val="6"/>
  </w:num>
  <w:num w:numId="3" w16cid:durableId="697049262">
    <w:abstractNumId w:val="3"/>
  </w:num>
  <w:num w:numId="4" w16cid:durableId="591551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0886843">
    <w:abstractNumId w:val="5"/>
  </w:num>
  <w:num w:numId="6" w16cid:durableId="1450933873">
    <w:abstractNumId w:val="9"/>
  </w:num>
  <w:num w:numId="7" w16cid:durableId="1706367409">
    <w:abstractNumId w:val="2"/>
  </w:num>
  <w:num w:numId="8" w16cid:durableId="1052120146">
    <w:abstractNumId w:val="9"/>
  </w:num>
  <w:num w:numId="9" w16cid:durableId="8989770">
    <w:abstractNumId w:val="2"/>
  </w:num>
  <w:num w:numId="10" w16cid:durableId="1232421305">
    <w:abstractNumId w:val="9"/>
  </w:num>
  <w:num w:numId="11" w16cid:durableId="1801075917">
    <w:abstractNumId w:val="2"/>
  </w:num>
  <w:num w:numId="12" w16cid:durableId="122385880">
    <w:abstractNumId w:val="11"/>
  </w:num>
  <w:num w:numId="13" w16cid:durableId="1059474638">
    <w:abstractNumId w:val="9"/>
  </w:num>
  <w:num w:numId="14" w16cid:durableId="2089224836">
    <w:abstractNumId w:val="2"/>
  </w:num>
  <w:num w:numId="15" w16cid:durableId="303199159">
    <w:abstractNumId w:val="1"/>
  </w:num>
  <w:num w:numId="16" w16cid:durableId="179128820">
    <w:abstractNumId w:val="8"/>
  </w:num>
  <w:num w:numId="17" w16cid:durableId="559294913">
    <w:abstractNumId w:val="0"/>
  </w:num>
  <w:num w:numId="18" w16cid:durableId="1752962922">
    <w:abstractNumId w:val="9"/>
  </w:num>
  <w:num w:numId="19" w16cid:durableId="159085575">
    <w:abstractNumId w:val="2"/>
  </w:num>
  <w:num w:numId="20" w16cid:durableId="1521892478">
    <w:abstractNumId w:val="1"/>
  </w:num>
  <w:num w:numId="21" w16cid:durableId="227107955">
    <w:abstractNumId w:val="7"/>
  </w:num>
  <w:num w:numId="22" w16cid:durableId="577208175">
    <w:abstractNumId w:val="10"/>
  </w:num>
  <w:num w:numId="23" w16cid:durableId="257367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19"/>
    <w:rsid w:val="000019D8"/>
    <w:rsid w:val="0000474A"/>
    <w:rsid w:val="00006F9A"/>
    <w:rsid w:val="000110F1"/>
    <w:rsid w:val="00021F00"/>
    <w:rsid w:val="000259AF"/>
    <w:rsid w:val="0003298A"/>
    <w:rsid w:val="000343C7"/>
    <w:rsid w:val="000350A5"/>
    <w:rsid w:val="00041D95"/>
    <w:rsid w:val="00047387"/>
    <w:rsid w:val="00057B7E"/>
    <w:rsid w:val="00071FE7"/>
    <w:rsid w:val="0009429F"/>
    <w:rsid w:val="000A5DCA"/>
    <w:rsid w:val="000A6533"/>
    <w:rsid w:val="000B0494"/>
    <w:rsid w:val="000B411C"/>
    <w:rsid w:val="000C0FC2"/>
    <w:rsid w:val="000D1A84"/>
    <w:rsid w:val="000E17C2"/>
    <w:rsid w:val="00100452"/>
    <w:rsid w:val="00113E3A"/>
    <w:rsid w:val="001168FC"/>
    <w:rsid w:val="001233BF"/>
    <w:rsid w:val="001513A1"/>
    <w:rsid w:val="00154436"/>
    <w:rsid w:val="00164B65"/>
    <w:rsid w:val="00165CBF"/>
    <w:rsid w:val="0017188E"/>
    <w:rsid w:val="001877C4"/>
    <w:rsid w:val="00193CF6"/>
    <w:rsid w:val="0019663C"/>
    <w:rsid w:val="001A6A5A"/>
    <w:rsid w:val="001B5E37"/>
    <w:rsid w:val="001C3A7E"/>
    <w:rsid w:val="001C40EA"/>
    <w:rsid w:val="001C4EF2"/>
    <w:rsid w:val="001D1C27"/>
    <w:rsid w:val="001D25D3"/>
    <w:rsid w:val="001E242B"/>
    <w:rsid w:val="001E2AEB"/>
    <w:rsid w:val="001F462D"/>
    <w:rsid w:val="001F6A32"/>
    <w:rsid w:val="0020017C"/>
    <w:rsid w:val="002055C3"/>
    <w:rsid w:val="00216194"/>
    <w:rsid w:val="00222F9A"/>
    <w:rsid w:val="00240AA5"/>
    <w:rsid w:val="002423D3"/>
    <w:rsid w:val="002436CE"/>
    <w:rsid w:val="00254CD9"/>
    <w:rsid w:val="0026577E"/>
    <w:rsid w:val="00270E10"/>
    <w:rsid w:val="00274D95"/>
    <w:rsid w:val="00280F25"/>
    <w:rsid w:val="0028257D"/>
    <w:rsid w:val="00282D4C"/>
    <w:rsid w:val="00283C63"/>
    <w:rsid w:val="00290637"/>
    <w:rsid w:val="0029303F"/>
    <w:rsid w:val="00295161"/>
    <w:rsid w:val="00297194"/>
    <w:rsid w:val="002A5CBE"/>
    <w:rsid w:val="002C5B08"/>
    <w:rsid w:val="002D6978"/>
    <w:rsid w:val="002F57DE"/>
    <w:rsid w:val="00304D60"/>
    <w:rsid w:val="00314479"/>
    <w:rsid w:val="00314AE4"/>
    <w:rsid w:val="00325CF8"/>
    <w:rsid w:val="00326141"/>
    <w:rsid w:val="0034278A"/>
    <w:rsid w:val="0034365E"/>
    <w:rsid w:val="00345807"/>
    <w:rsid w:val="00357C8D"/>
    <w:rsid w:val="003712F1"/>
    <w:rsid w:val="00382DB9"/>
    <w:rsid w:val="003977A3"/>
    <w:rsid w:val="003A268B"/>
    <w:rsid w:val="003A3EF0"/>
    <w:rsid w:val="003B290C"/>
    <w:rsid w:val="003C7DAC"/>
    <w:rsid w:val="003D4857"/>
    <w:rsid w:val="003D4BE4"/>
    <w:rsid w:val="003D55AB"/>
    <w:rsid w:val="003D75BA"/>
    <w:rsid w:val="003F1681"/>
    <w:rsid w:val="003F2DA1"/>
    <w:rsid w:val="003F416B"/>
    <w:rsid w:val="00401D30"/>
    <w:rsid w:val="00402836"/>
    <w:rsid w:val="00412E31"/>
    <w:rsid w:val="004142C7"/>
    <w:rsid w:val="00416C21"/>
    <w:rsid w:val="004225B0"/>
    <w:rsid w:val="004411A5"/>
    <w:rsid w:val="0045483A"/>
    <w:rsid w:val="004729E1"/>
    <w:rsid w:val="00475E9F"/>
    <w:rsid w:val="00485D91"/>
    <w:rsid w:val="00493255"/>
    <w:rsid w:val="004974F3"/>
    <w:rsid w:val="004B6709"/>
    <w:rsid w:val="004B7429"/>
    <w:rsid w:val="004C2F03"/>
    <w:rsid w:val="004D5F4D"/>
    <w:rsid w:val="004F0D9F"/>
    <w:rsid w:val="00507516"/>
    <w:rsid w:val="00507625"/>
    <w:rsid w:val="00512D5A"/>
    <w:rsid w:val="005166BD"/>
    <w:rsid w:val="00540D09"/>
    <w:rsid w:val="00542CE0"/>
    <w:rsid w:val="00545B32"/>
    <w:rsid w:val="00545BBD"/>
    <w:rsid w:val="00547A54"/>
    <w:rsid w:val="005577F2"/>
    <w:rsid w:val="00563B51"/>
    <w:rsid w:val="00567501"/>
    <w:rsid w:val="00567D68"/>
    <w:rsid w:val="00592C55"/>
    <w:rsid w:val="005963C5"/>
    <w:rsid w:val="00597497"/>
    <w:rsid w:val="005A0864"/>
    <w:rsid w:val="005A1067"/>
    <w:rsid w:val="005A7B60"/>
    <w:rsid w:val="005D6B13"/>
    <w:rsid w:val="005F05FD"/>
    <w:rsid w:val="005F1F95"/>
    <w:rsid w:val="005F3351"/>
    <w:rsid w:val="00603B1D"/>
    <w:rsid w:val="006218B8"/>
    <w:rsid w:val="00622838"/>
    <w:rsid w:val="00634001"/>
    <w:rsid w:val="00637CD2"/>
    <w:rsid w:val="0064373B"/>
    <w:rsid w:val="00643FC9"/>
    <w:rsid w:val="00667913"/>
    <w:rsid w:val="00685F96"/>
    <w:rsid w:val="00692393"/>
    <w:rsid w:val="006A5D76"/>
    <w:rsid w:val="006A7906"/>
    <w:rsid w:val="006C087B"/>
    <w:rsid w:val="006C3990"/>
    <w:rsid w:val="006C6DFD"/>
    <w:rsid w:val="006E0505"/>
    <w:rsid w:val="006E2BCF"/>
    <w:rsid w:val="006E78BF"/>
    <w:rsid w:val="006F392A"/>
    <w:rsid w:val="006F43C8"/>
    <w:rsid w:val="007018DC"/>
    <w:rsid w:val="00705D61"/>
    <w:rsid w:val="00706D77"/>
    <w:rsid w:val="00715BD6"/>
    <w:rsid w:val="007218D7"/>
    <w:rsid w:val="007340DD"/>
    <w:rsid w:val="00736ED7"/>
    <w:rsid w:val="007620B4"/>
    <w:rsid w:val="007632B1"/>
    <w:rsid w:val="00764528"/>
    <w:rsid w:val="00765C95"/>
    <w:rsid w:val="00797787"/>
    <w:rsid w:val="007A0CC7"/>
    <w:rsid w:val="007C2E11"/>
    <w:rsid w:val="007F2B9C"/>
    <w:rsid w:val="007F4ED6"/>
    <w:rsid w:val="007F6122"/>
    <w:rsid w:val="00806CA4"/>
    <w:rsid w:val="00816BBE"/>
    <w:rsid w:val="00831142"/>
    <w:rsid w:val="00851192"/>
    <w:rsid w:val="008539A7"/>
    <w:rsid w:val="00853B85"/>
    <w:rsid w:val="0085491A"/>
    <w:rsid w:val="00855334"/>
    <w:rsid w:val="00865AC6"/>
    <w:rsid w:val="00872E35"/>
    <w:rsid w:val="00886BBC"/>
    <w:rsid w:val="008969D2"/>
    <w:rsid w:val="008A0042"/>
    <w:rsid w:val="008A4610"/>
    <w:rsid w:val="008C2EC5"/>
    <w:rsid w:val="008D06BA"/>
    <w:rsid w:val="008D0B41"/>
    <w:rsid w:val="008D4743"/>
    <w:rsid w:val="008E1862"/>
    <w:rsid w:val="008E3A21"/>
    <w:rsid w:val="008F6E8C"/>
    <w:rsid w:val="00900908"/>
    <w:rsid w:val="009035B8"/>
    <w:rsid w:val="00905189"/>
    <w:rsid w:val="00906CF8"/>
    <w:rsid w:val="00912374"/>
    <w:rsid w:val="00914275"/>
    <w:rsid w:val="009164A1"/>
    <w:rsid w:val="00923309"/>
    <w:rsid w:val="009243A4"/>
    <w:rsid w:val="00932683"/>
    <w:rsid w:val="00933CA4"/>
    <w:rsid w:val="00935D18"/>
    <w:rsid w:val="00940CE0"/>
    <w:rsid w:val="00957E7B"/>
    <w:rsid w:val="00961CD6"/>
    <w:rsid w:val="00964251"/>
    <w:rsid w:val="00966F10"/>
    <w:rsid w:val="00970559"/>
    <w:rsid w:val="00970888"/>
    <w:rsid w:val="00985701"/>
    <w:rsid w:val="00986672"/>
    <w:rsid w:val="00993E59"/>
    <w:rsid w:val="00995F53"/>
    <w:rsid w:val="00996419"/>
    <w:rsid w:val="009A60FF"/>
    <w:rsid w:val="009B47EE"/>
    <w:rsid w:val="009C5893"/>
    <w:rsid w:val="009C7E81"/>
    <w:rsid w:val="009D01F7"/>
    <w:rsid w:val="009D3119"/>
    <w:rsid w:val="009F27A0"/>
    <w:rsid w:val="009F70E6"/>
    <w:rsid w:val="00A0587E"/>
    <w:rsid w:val="00A15AC8"/>
    <w:rsid w:val="00A427D4"/>
    <w:rsid w:val="00A45A5B"/>
    <w:rsid w:val="00A460EA"/>
    <w:rsid w:val="00A547AB"/>
    <w:rsid w:val="00A60A83"/>
    <w:rsid w:val="00A73B50"/>
    <w:rsid w:val="00A7706E"/>
    <w:rsid w:val="00A80321"/>
    <w:rsid w:val="00A8086E"/>
    <w:rsid w:val="00A8420D"/>
    <w:rsid w:val="00A860BD"/>
    <w:rsid w:val="00AB660C"/>
    <w:rsid w:val="00AC2EA2"/>
    <w:rsid w:val="00AD2A68"/>
    <w:rsid w:val="00AD3640"/>
    <w:rsid w:val="00AD4E9B"/>
    <w:rsid w:val="00AE6F27"/>
    <w:rsid w:val="00AF63F6"/>
    <w:rsid w:val="00B161D8"/>
    <w:rsid w:val="00B27BDC"/>
    <w:rsid w:val="00B31714"/>
    <w:rsid w:val="00B410B3"/>
    <w:rsid w:val="00B5194B"/>
    <w:rsid w:val="00B66EC1"/>
    <w:rsid w:val="00B81BEA"/>
    <w:rsid w:val="00B8325D"/>
    <w:rsid w:val="00B83E92"/>
    <w:rsid w:val="00B84BC1"/>
    <w:rsid w:val="00B979BE"/>
    <w:rsid w:val="00BB22B4"/>
    <w:rsid w:val="00BB2D93"/>
    <w:rsid w:val="00BB7764"/>
    <w:rsid w:val="00BC2D10"/>
    <w:rsid w:val="00BC7059"/>
    <w:rsid w:val="00BE173A"/>
    <w:rsid w:val="00BE70EC"/>
    <w:rsid w:val="00BF0BE1"/>
    <w:rsid w:val="00BF1C47"/>
    <w:rsid w:val="00BF4FF8"/>
    <w:rsid w:val="00BF5D96"/>
    <w:rsid w:val="00C06E51"/>
    <w:rsid w:val="00C11B25"/>
    <w:rsid w:val="00C1439D"/>
    <w:rsid w:val="00C17D2C"/>
    <w:rsid w:val="00C21E8A"/>
    <w:rsid w:val="00C2474A"/>
    <w:rsid w:val="00C4309E"/>
    <w:rsid w:val="00C56556"/>
    <w:rsid w:val="00C629EF"/>
    <w:rsid w:val="00C638DD"/>
    <w:rsid w:val="00C6750D"/>
    <w:rsid w:val="00C76749"/>
    <w:rsid w:val="00C84CCA"/>
    <w:rsid w:val="00C86FD3"/>
    <w:rsid w:val="00C973CB"/>
    <w:rsid w:val="00CA6FBF"/>
    <w:rsid w:val="00CB13AA"/>
    <w:rsid w:val="00CB5986"/>
    <w:rsid w:val="00CC3E73"/>
    <w:rsid w:val="00CC569D"/>
    <w:rsid w:val="00CC5F55"/>
    <w:rsid w:val="00CE70FE"/>
    <w:rsid w:val="00CF0044"/>
    <w:rsid w:val="00CF1E66"/>
    <w:rsid w:val="00CF2732"/>
    <w:rsid w:val="00CF3E9B"/>
    <w:rsid w:val="00CF671E"/>
    <w:rsid w:val="00D0243A"/>
    <w:rsid w:val="00D0452F"/>
    <w:rsid w:val="00D06DB4"/>
    <w:rsid w:val="00D06ED6"/>
    <w:rsid w:val="00D15FBD"/>
    <w:rsid w:val="00D26F52"/>
    <w:rsid w:val="00D3396A"/>
    <w:rsid w:val="00D549C5"/>
    <w:rsid w:val="00D55C50"/>
    <w:rsid w:val="00D64B54"/>
    <w:rsid w:val="00D658D6"/>
    <w:rsid w:val="00D72E82"/>
    <w:rsid w:val="00D7685F"/>
    <w:rsid w:val="00D76EFE"/>
    <w:rsid w:val="00D84C3E"/>
    <w:rsid w:val="00D84E37"/>
    <w:rsid w:val="00DA0252"/>
    <w:rsid w:val="00DA4BB1"/>
    <w:rsid w:val="00DB00D4"/>
    <w:rsid w:val="00DB65CB"/>
    <w:rsid w:val="00DE5084"/>
    <w:rsid w:val="00DE6063"/>
    <w:rsid w:val="00E23F90"/>
    <w:rsid w:val="00E309B7"/>
    <w:rsid w:val="00E35FEC"/>
    <w:rsid w:val="00E37E7E"/>
    <w:rsid w:val="00E479A7"/>
    <w:rsid w:val="00E548E8"/>
    <w:rsid w:val="00E60FB4"/>
    <w:rsid w:val="00EA1A0C"/>
    <w:rsid w:val="00EB34C8"/>
    <w:rsid w:val="00EB730D"/>
    <w:rsid w:val="00EC27A2"/>
    <w:rsid w:val="00EC2CB7"/>
    <w:rsid w:val="00ED64FF"/>
    <w:rsid w:val="00F159D6"/>
    <w:rsid w:val="00F34FEE"/>
    <w:rsid w:val="00F41D77"/>
    <w:rsid w:val="00F5048F"/>
    <w:rsid w:val="00F61547"/>
    <w:rsid w:val="00F74513"/>
    <w:rsid w:val="00F9722B"/>
    <w:rsid w:val="00FA2DB6"/>
    <w:rsid w:val="00FA4695"/>
    <w:rsid w:val="00FB4D69"/>
    <w:rsid w:val="00FC1882"/>
    <w:rsid w:val="00FD4789"/>
    <w:rsid w:val="00FD7F82"/>
    <w:rsid w:val="00FE79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9B8FB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0E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BE70E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BE70E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BE70E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BE70E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BE70E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BE70E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BE70E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BE70E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BE70EC"/>
    <w:rPr>
      <w:rFonts w:ascii="Palatino Linotype" w:hAnsi="Palatino Linotype"/>
      <w:noProof/>
      <w:color w:val="000000"/>
      <w:szCs w:val="18"/>
    </w:rPr>
  </w:style>
  <w:style w:type="paragraph" w:styleId="Header">
    <w:name w:val="header"/>
    <w:basedOn w:val="Normal"/>
    <w:link w:val="HeaderChar"/>
    <w:uiPriority w:val="99"/>
    <w:rsid w:val="00BE70E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BE70EC"/>
    <w:rPr>
      <w:rFonts w:ascii="Palatino Linotype" w:hAnsi="Palatino Linotype"/>
      <w:noProof/>
      <w:color w:val="000000"/>
      <w:szCs w:val="18"/>
    </w:rPr>
  </w:style>
  <w:style w:type="paragraph" w:customStyle="1" w:styleId="MDPI32textnoindent">
    <w:name w:val="MDPI_3.2_text_no_indent"/>
    <w:basedOn w:val="MDPI31text"/>
    <w:qFormat/>
    <w:rsid w:val="00BE70EC"/>
    <w:pPr>
      <w:ind w:firstLine="0"/>
    </w:pPr>
  </w:style>
  <w:style w:type="paragraph" w:customStyle="1" w:styleId="MDPI31text">
    <w:name w:val="MDPI_3.1_text"/>
    <w:qFormat/>
    <w:rsid w:val="00FB4D6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BE70E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BE70E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BE70E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9749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9749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BE70E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BE70E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BE70E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BE70E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BE70E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BE70E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BE70E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BE70E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BE70E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BE70E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BE70E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E79E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BE70EC"/>
    <w:rPr>
      <w:rFonts w:cs="Tahoma"/>
      <w:szCs w:val="18"/>
    </w:rPr>
  </w:style>
  <w:style w:type="character" w:customStyle="1" w:styleId="BalloonTextChar">
    <w:name w:val="Balloon Text Char"/>
    <w:link w:val="BalloonText"/>
    <w:uiPriority w:val="99"/>
    <w:rsid w:val="00BE70EC"/>
    <w:rPr>
      <w:rFonts w:ascii="Palatino Linotype" w:hAnsi="Palatino Linotype" w:cs="Tahoma"/>
      <w:noProof/>
      <w:color w:val="000000"/>
      <w:szCs w:val="18"/>
    </w:rPr>
  </w:style>
  <w:style w:type="character" w:styleId="LineNumber">
    <w:name w:val="line number"/>
    <w:uiPriority w:val="99"/>
    <w:rsid w:val="00193CF6"/>
    <w:rPr>
      <w:rFonts w:ascii="Palatino Linotype" w:hAnsi="Palatino Linotype"/>
      <w:sz w:val="16"/>
    </w:rPr>
  </w:style>
  <w:style w:type="table" w:customStyle="1" w:styleId="MDPI41threelinetable">
    <w:name w:val="MDPI_4.1_three_line_table"/>
    <w:basedOn w:val="TableNormal"/>
    <w:uiPriority w:val="99"/>
    <w:rsid w:val="00BE70E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BE70EC"/>
    <w:rPr>
      <w:color w:val="0000FF"/>
      <w:u w:val="single"/>
    </w:rPr>
  </w:style>
  <w:style w:type="character" w:styleId="UnresolvedMention">
    <w:name w:val="Unresolved Mention"/>
    <w:uiPriority w:val="99"/>
    <w:semiHidden/>
    <w:unhideWhenUsed/>
    <w:rsid w:val="0034278A"/>
    <w:rPr>
      <w:color w:val="605E5C"/>
      <w:shd w:val="clear" w:color="auto" w:fill="E1DFDD"/>
    </w:rPr>
  </w:style>
  <w:style w:type="table" w:styleId="TableGrid">
    <w:name w:val="Table Grid"/>
    <w:basedOn w:val="TableNormal"/>
    <w:uiPriority w:val="59"/>
    <w:rsid w:val="00BE70E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BE70E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BE70E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BE70E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B2D9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BE70E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BE70E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7340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BE70E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BE70EC"/>
  </w:style>
  <w:style w:type="paragraph" w:styleId="Bibliography">
    <w:name w:val="Bibliography"/>
    <w:basedOn w:val="Normal"/>
    <w:next w:val="Normal"/>
    <w:uiPriority w:val="37"/>
    <w:semiHidden/>
    <w:unhideWhenUsed/>
    <w:rsid w:val="00BE70EC"/>
  </w:style>
  <w:style w:type="paragraph" w:styleId="BodyText">
    <w:name w:val="Body Text"/>
    <w:link w:val="BodyTextChar"/>
    <w:rsid w:val="00BE70E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BE70EC"/>
    <w:rPr>
      <w:rFonts w:ascii="Palatino Linotype" w:hAnsi="Palatino Linotype"/>
      <w:color w:val="000000"/>
      <w:sz w:val="24"/>
      <w:lang w:eastAsia="de-DE"/>
    </w:rPr>
  </w:style>
  <w:style w:type="character" w:styleId="CommentReference">
    <w:name w:val="annotation reference"/>
    <w:rsid w:val="00BE70EC"/>
    <w:rPr>
      <w:sz w:val="21"/>
      <w:szCs w:val="21"/>
    </w:rPr>
  </w:style>
  <w:style w:type="paragraph" w:styleId="CommentText">
    <w:name w:val="annotation text"/>
    <w:basedOn w:val="Normal"/>
    <w:link w:val="CommentTextChar"/>
    <w:rsid w:val="00BE70EC"/>
  </w:style>
  <w:style w:type="character" w:customStyle="1" w:styleId="CommentTextChar">
    <w:name w:val="Comment Text Char"/>
    <w:link w:val="CommentText"/>
    <w:rsid w:val="00BE70EC"/>
    <w:rPr>
      <w:rFonts w:ascii="Palatino Linotype" w:hAnsi="Palatino Linotype"/>
      <w:noProof/>
      <w:color w:val="000000"/>
    </w:rPr>
  </w:style>
  <w:style w:type="paragraph" w:styleId="CommentSubject">
    <w:name w:val="annotation subject"/>
    <w:basedOn w:val="CommentText"/>
    <w:next w:val="CommentText"/>
    <w:link w:val="CommentSubjectChar"/>
    <w:rsid w:val="00BE70EC"/>
    <w:rPr>
      <w:b/>
      <w:bCs/>
    </w:rPr>
  </w:style>
  <w:style w:type="character" w:customStyle="1" w:styleId="CommentSubjectChar">
    <w:name w:val="Comment Subject Char"/>
    <w:link w:val="CommentSubject"/>
    <w:rsid w:val="00BE70EC"/>
    <w:rPr>
      <w:rFonts w:ascii="Palatino Linotype" w:hAnsi="Palatino Linotype"/>
      <w:b/>
      <w:bCs/>
      <w:noProof/>
      <w:color w:val="000000"/>
    </w:rPr>
  </w:style>
  <w:style w:type="character" w:styleId="EndnoteReference">
    <w:name w:val="endnote reference"/>
    <w:rsid w:val="00BE70EC"/>
    <w:rPr>
      <w:vertAlign w:val="superscript"/>
    </w:rPr>
  </w:style>
  <w:style w:type="paragraph" w:styleId="EndnoteText">
    <w:name w:val="endnote text"/>
    <w:basedOn w:val="Normal"/>
    <w:link w:val="EndnoteTextChar"/>
    <w:semiHidden/>
    <w:unhideWhenUsed/>
    <w:rsid w:val="00BE70EC"/>
    <w:pPr>
      <w:spacing w:line="240" w:lineRule="auto"/>
    </w:pPr>
  </w:style>
  <w:style w:type="character" w:customStyle="1" w:styleId="EndnoteTextChar">
    <w:name w:val="Endnote Text Char"/>
    <w:link w:val="EndnoteText"/>
    <w:semiHidden/>
    <w:rsid w:val="00BE70EC"/>
    <w:rPr>
      <w:rFonts w:ascii="Palatino Linotype" w:hAnsi="Palatino Linotype"/>
      <w:noProof/>
      <w:color w:val="000000"/>
    </w:rPr>
  </w:style>
  <w:style w:type="character" w:styleId="FollowedHyperlink">
    <w:name w:val="FollowedHyperlink"/>
    <w:rsid w:val="00BE70EC"/>
    <w:rPr>
      <w:color w:val="954F72"/>
      <w:u w:val="single"/>
    </w:rPr>
  </w:style>
  <w:style w:type="paragraph" w:styleId="FootnoteText">
    <w:name w:val="footnote text"/>
    <w:basedOn w:val="Normal"/>
    <w:link w:val="FootnoteTextChar"/>
    <w:semiHidden/>
    <w:unhideWhenUsed/>
    <w:rsid w:val="00BE70EC"/>
    <w:pPr>
      <w:spacing w:line="240" w:lineRule="auto"/>
    </w:pPr>
  </w:style>
  <w:style w:type="character" w:customStyle="1" w:styleId="FootnoteTextChar">
    <w:name w:val="Footnote Text Char"/>
    <w:link w:val="FootnoteText"/>
    <w:semiHidden/>
    <w:rsid w:val="00BE70EC"/>
    <w:rPr>
      <w:rFonts w:ascii="Palatino Linotype" w:hAnsi="Palatino Linotype"/>
      <w:noProof/>
      <w:color w:val="000000"/>
    </w:rPr>
  </w:style>
  <w:style w:type="paragraph" w:styleId="NormalWeb">
    <w:name w:val="Normal (Web)"/>
    <w:basedOn w:val="Normal"/>
    <w:uiPriority w:val="99"/>
    <w:rsid w:val="00BE70EC"/>
    <w:rPr>
      <w:szCs w:val="24"/>
    </w:rPr>
  </w:style>
  <w:style w:type="paragraph" w:customStyle="1" w:styleId="MsoFootnoteText0">
    <w:name w:val="MsoFootnoteText"/>
    <w:basedOn w:val="NormalWeb"/>
    <w:qFormat/>
    <w:rsid w:val="00BE70EC"/>
    <w:rPr>
      <w:rFonts w:ascii="Times New Roman" w:hAnsi="Times New Roman"/>
    </w:rPr>
  </w:style>
  <w:style w:type="character" w:styleId="PageNumber">
    <w:name w:val="page number"/>
    <w:rsid w:val="00BE70EC"/>
  </w:style>
  <w:style w:type="character" w:styleId="PlaceholderText">
    <w:name w:val="Placeholder Text"/>
    <w:uiPriority w:val="99"/>
    <w:semiHidden/>
    <w:rsid w:val="00BE70EC"/>
    <w:rPr>
      <w:color w:val="808080"/>
    </w:rPr>
  </w:style>
  <w:style w:type="paragraph" w:customStyle="1" w:styleId="MDPI71footnotes">
    <w:name w:val="MDPI_7.1_footnotes"/>
    <w:qFormat/>
    <w:rsid w:val="00B8325D"/>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563B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70946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hyperlink" Target="https://doi.org/10.1609/aaai.v36i7.20680" TargetMode="External"/><Relationship Id="rId21" Type="http://schemas.openxmlformats.org/officeDocument/2006/relationships/hyperlink" Target="https://doi.org/10.1109/TNNLS.2021.3105827" TargetMode="External"/><Relationship Id="rId22" Type="http://schemas.openxmlformats.org/officeDocument/2006/relationships/hyperlink" Target="https://doi.org/10.1109/TKDE.2021.3112126" TargetMode="External"/><Relationship Id="rId23" Type="http://schemas.openxmlformats.org/officeDocument/2006/relationships/hyperlink" Target="https://arxiv.org/abs/2203.05167" TargetMode="External"/><Relationship Id="rId24" Type="http://schemas.openxmlformats.org/officeDocument/2006/relationships/hyperlink" Target="https://arxiv.org/abs/2606.02670" TargetMode="External"/><Relationship Id="rId25" Type="http://schemas.openxmlformats.org/officeDocument/2006/relationships/hyperlink" Target="https://doi.org/10.1145/3394486.3403392" TargetMode="External"/><Relationship Id="rId26" Type="http://schemas.openxmlformats.org/officeDocument/2006/relationships/hyperlink" Target="https://doi.org/10.14778/3514061.3514067" TargetMode="External"/><Relationship Id="rId27" Type="http://schemas.openxmlformats.org/officeDocument/2006/relationships/hyperlink" Target="https://doi.org/10.24963/ijcai.2017/273" TargetMode="External"/><Relationship Id="rId28" Type="http://schemas.openxmlformats.org/officeDocument/2006/relationships/hyperlink" Target="https://openreview.net/forum?id=BJJLHbb0-" TargetMode="External"/><Relationship Id="rId29" Type="http://schemas.openxmlformats.org/officeDocument/2006/relationships/hyperlink" Target="https://doi.org/10.1609/aaai.v35i5.16523" TargetMode="External"/><Relationship Id="rId30" Type="http://schemas.openxmlformats.org/officeDocument/2006/relationships/hyperlink" Target="https://doi.org/10.1109/ICDM.2008.17" TargetMode="External"/><Relationship Id="rId31" Type="http://schemas.openxmlformats.org/officeDocument/2006/relationships/hyperlink" Target="https://doi.org/10.1016/S0047-259X(03)00096-4" TargetMode="External"/><Relationship Id="rId32" Type="http://schemas.openxmlformats.org/officeDocument/2006/relationships/hyperlink" Target="https://doi.org/10.1145/3055366.3055375" TargetMode="External"/><Relationship Id="rId33" Type="http://schemas.openxmlformats.org/officeDocument/2006/relationships/hyperlink" Target="https://www.usenix.org/conference/cset20/presentation/shin" TargetMode="External"/><Relationship Id="rId34" Type="http://schemas.openxmlformats.org/officeDocument/2006/relationships/hyperlink" Target="https://doi.org/10.34740/kaggle/dsv/1693952" TargetMode="External"/><Relationship Id="rId35" Type="http://schemas.openxmlformats.org/officeDocument/2006/relationships/hyperlink" Target="https://arxiv.org/abs/2501.13864" TargetMode="External"/><Relationship Id="rId36" Type="http://schemas.openxmlformats.org/officeDocument/2006/relationships/hyperlink" Target="https://arxiv.org/abs/1904.02639" TargetMode="External"/><Relationship Id="rId37" Type="http://schemas.openxmlformats.org/officeDocument/2006/relationships/hyperlink" Target="https://arxiv.org/abs/2405.02678" TargetMode="External"/><Relationship Id="rId38" Type="http://schemas.openxmlformats.org/officeDocument/2006/relationships/hyperlink" Target="https://openreview.net/forum?id=iMmsCI0JsS" TargetMode="External"/><Relationship Id="rId39" Type="http://schemas.openxmlformats.org/officeDocument/2006/relationships/hyperlink" Target="https://doi.org/10.1109/CySWater.2016.7469060" TargetMode="External"/><Relationship Id="rId40" Type="http://schemas.openxmlformats.org/officeDocument/2006/relationships/hyperlink" Target="https://doi.org/10.1145/2689746.2689747" TargetMode="External"/><Relationship Id="rId41" Type="http://schemas.openxmlformats.org/officeDocument/2006/relationships/hyperlink" Target="https://doi.org/10.1145/1541880.1541882" TargetMode="External"/><Relationship Id="rId42" Type="http://schemas.openxmlformats.org/officeDocument/2006/relationships/hyperlink" Target="https://doi.org/10.1145/3439950" TargetMode="External"/><Relationship Id="rId43" Type="http://schemas.openxmlformats.org/officeDocument/2006/relationships/hyperlink" Target="https://doi.org/10.1109/JPROC.2021.3052449" TargetMode="External"/><Relationship Id="rId44" Type="http://schemas.openxmlformats.org/officeDocument/2006/relationships/hyperlink" Target="https://doi.org/10.1145/3444690" TargetMode="External"/><Relationship Id="rId45" Type="http://schemas.openxmlformats.org/officeDocument/2006/relationships/hyperlink" Target="https://doi.org/10.1177/1550147718794615"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iot-template.dot</Template>
  <TotalTime>0</TotalTime>
  <Pages>6</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2</cp:revision>
  <dcterms:created xsi:type="dcterms:W3CDTF">2026-06-15T08:01:00Z</dcterms:created>
  <dcterms:modified xsi:type="dcterms:W3CDTF">2026-06-15T08:01:00Z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9179e883-161a-41aa-8673-d1ae2c66bfcc</vt:lpwstr>
  </property>
</Properties>
</file>