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response-to-reviewer-1"/>
    <w:p>
      <w:pPr>
        <w:pStyle w:val="Title"/>
        <w:spacing w:before="0" w:after="160"/>
        <w:jc w:val="center"/>
        <w:keepNext/>
        <w:keepLines/>
        <w:widowControl w:val="1"/>
      </w:pPr>
      <w:r>
        <w:t xml:space="preserve">Response to Reviewer 1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Manuscript IoT-4522779, MDPI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iCs/>
          <w:sz w:val="20"/>
        </w:rPr>
        <w:t xml:space="preserve">IoT</w:t>
      </w:r>
      <w:r>
        <w:rPr>
          <w:rFonts w:ascii="Times New Roman" w:hAnsi="Times New Roman"/>
          <w:b w:val="0"/>
          <w:i/>
          <w:sz w:val="20"/>
        </w:rPr>
        <w:br/>
      </w:r>
      <w:r>
        <w:rPr>
          <w:rFonts w:ascii="Times New Roman" w:hAnsi="Times New Roman"/>
          <w:b w:val="0"/>
          <w:i/>
          <w:sz w:val="20"/>
        </w:rPr>
        <w:t xml:space="preserve">Title: Modeling Normal Is All You Need: Joint Latent Clustering for Anomaly Detection in Multimodal Industrial-IoT Cyber-Physical Systems</w:t>
      </w:r>
      <w:r>
        <w:rPr>
          <w:rFonts w:ascii="Times New Roman" w:hAnsi="Times New Roman"/>
          <w:b w:val="0"/>
          <w:i/>
          <w:sz w:val="20"/>
        </w:rPr>
        <w:br/>
      </w:r>
      <w:r>
        <w:rPr>
          <w:rFonts w:ascii="Times New Roman" w:hAnsi="Times New Roman"/>
          <w:b w:val="0"/>
          <w:i/>
          <w:sz w:val="20"/>
        </w:rPr>
        <w:t xml:space="preserve">Authors: Alexander Apartsin and Yehudit Aperstein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Dear Reviewer,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Thank you for reviewing the manuscript. Your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comments pushed us to validate or remeasure the previously unused assumptions, to support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nearest-component score directly, to benchmark computational cost, to put every significance claim on a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time-aware footing, and to isolate the source of the gain. We address each point below, giving the change we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made and where to find it, or a rebuttal with the supporting evidence. While preparing the revision we also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re-audited every number and corrected a difficulty-stratification artifact on WADI; the corrected numbers are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used throughout and are reflected in the responses.</w:t>
      </w:r>
    </w:p>
    <w:bookmarkStart w:id="9" w:name="X5169a9d53f31ba643c7c4225a23dd88e4fb3c08"/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Comment 1. A9 and A10 are unused, and the basin-agreement head (A3) is inactive on all three datasets; run data that activates them or limit the contribution to the validated assumptions.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This manuscript introduces ten structural assumptions from A1 to A10, but the current model does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not fully realize them. A9 and A10 are not used in the model, while the basin-agreement head for A3 is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inactive on all three datasets. More experiments are needed on data that can activate and test these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assumptions, otherwise the contribution should be limited to the assumptions that are actually validated.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 and assumptions remeasured.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We agree, and have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rescoped the contribution accordingly. We now present MIIM as ten assumptions of which seven are realized by the detector and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validated here (A1 to A7) and three are specified for future work (A8 to A10). Table 1 lists the assumptions and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their physical origin, and Section 4 maps each realized assumption (A1 to A7) to its design section; the caption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states which are realized and which are future work. The between-regime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assumption whose basin head you note as inactive (your "A3") is renumbered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bCs/>
          <w:i/>
          <w:sz w:val="20"/>
        </w:rPr>
        <w:t xml:space="preserve">A8</w:t>
      </w:r>
      <w:r>
        <w:rPr>
          <w:rFonts w:ascii="Times New Roman" w:hAnsi="Times New Roman"/>
          <w:b w:val="0"/>
          <w:i/>
          <w:sz w:val="20"/>
        </w:rPr>
        <w:t xml:space="preserve">, so the realized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instantaneous-window properties are contiguous A1 to A7.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Rather than only scoping A8 down, we remeasured it. The earlier signal came from a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cluster-responsibility screen that is blind by construction: on a synthetic overlap positive control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(30 to 2 percent Bayes error) it rated the regimes as maximally crisp, and SKAB is the one screened dataset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with no close-distinct regime pair at all (a single-loop 400-window rig; Appendix C, Table C1). Under valid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observation-space metrics the A8 precondition (adjacent but distinct regimes) is present on nearly every real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CPS dataset screened, but heavy mode overlap is absent; the masking form is detectable only through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trajectory, which couples it to A10, and the over-coverage form is already defended by the shipped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80-component density head (a wide two-component head misses about 80 percent of WADI's isolated anomalies,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80-component head about 13 percent). A8 is therefore specified, partly defended, and verifiable at operational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scale (Section 8, Appendix C).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A9 (multiscale structure) is present in the data as a measured property: per-channel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autocorrelation timescales span 3.4 to 3.7 decades on all three plants, and a longer 600-sample window adds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about +0.06 difficult-subset AUROC on HAI, corroborating the +0.071 that explicit temporal features add in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Appendix A. A10 (path dependence) shows no evidence under these tests on these snapshot-detectable benchmarks by three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conditional scorers (a linear autoregressor, a nearest-neighbor successor model, and a regime-transition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matrix), each validated against a passing synthetic positive control and guarded by an order-shuffle control.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"Snapshot detectable" is thus now a measured finding for these benchmarks, not an assumption (Table 1,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Section 8). Because the public benchmarks are small and snapshot-detectable, we added a benchmark-scale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discussion (Section 2.5, Section 8) arguing that exercising A8 to A10 further requires operational-scale data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with history-dependent faults.</w:t>
      </w:r>
    </w:p>
    <w:bookmarkEnd w:id="9"/>
    <w:bookmarkStart w:id="10" w:name="X5ca7be4bb510d066e129f16835a3b24352fac87"/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Comment 2. The nearest-component likelihood lacks direct support: compare mixture NLL, nearest-component NLL, and other imbalance-aware scores across regime-imbalance ratios, with attention to the false-positive rate of rare normal regimes.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The rare-regime-safe nearest-component likelihood in this manuscript lacks direct experimental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support. Experiments under different regime imbalance ratios should compare mixture NLL, nearest-component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NLL, and other imbalance-aware scoring methods, with more attention to the false-positive rate of rare normal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regimes.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 (new Appendix E) plus head-level isolation.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We agree the term needs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direct support, and the rare-occupancy threshold sweep isolates its role. The nearest-component likelihood is isolated as a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standalone score head in Table A5, with difficult-subset AUROC 0.603 on WADI, 0.797 on HAI, and 0.479 on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SWaT, beside the mixture density and the density-plus-nearest base; its rationale is stated as assumption A5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in Table 1 ("score against the nearest component, never the weighted mixture, so a rare-but-valid regime is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not penalized"). It is a rare-regime safety term: it keeps a valid window in a sparsely populated regime from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being flagged for rarity alone, protecting the false-alarm rate rather than raising the aggregate score, so on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 dataset without such rare-regime false alarms it can sit marginally below the density head alone (Table A5,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WADI; Section 4.3 ii).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We now measure the false-positive behavior you ask about directly. Appendix E runs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comparison on the 3W oil-well dataset, which has genuinely imbalanced regime occupancy: at a matched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false-alarm rate the nearest-component score removes the mixture's rare-regime false alarms (from 17, 17, 23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to 11, 9, 16 across three seeds). Sweeping the rare-occupancy threshold (2, 5, and 10 percent) against three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imbalance-aware alternatives (a uniform-prior mixture, a tempered π</w:t>
      </w:r>
      <w:r>
        <w:rPr>
          <w:rFonts w:ascii="Times New Roman" w:hAnsi="Times New Roman"/>
          <w:b w:val="0"/>
          <w:i/>
          <w:sz w:val="20"/>
          <w:vertAlign w:val="superscript"/>
        </w:rPr>
        <w:t xml:space="preserve">0.5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mixture, and a kNN latent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density), nearest-component is at or below every alternative at every threshold (at 5 percent, 0.148 versus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0.210 for the π-weighted mixture, with the prior-flattening alternatives in between; Table E2), so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benefit is specifically removal of the −log π rare-regime penalty, not generic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imbalance-awareness. At the genuinely rare thresholds (5 percent occupancy and below) nearest never adds a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rare-regime false alarm (0 of 30 cases per threshold); at a looser 10 percent threshold it can redistribute a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few flags onto moderately-common tails (1 of 30). Difficult-subset detection is unchanged (true-positive rate at 5 percent false-alarm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+0.007 ± 0.068). The property is defensive by design, and the single-mode benchmarks cannot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exhibit it.</w:t>
      </w:r>
    </w:p>
    <w:bookmarkEnd w:id="10"/>
    <w:bookmarkStart w:id="11" w:name="X83734c3127c74857e364cf1918d917998e178c7"/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Comment 3. The connection to industrial-IoT is limited; cite two suggested LoRa/LPWAN papers.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The connection to industrial-IoT system remains limited, and please cite the following important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papers: [1] Chen, Ciyuan, et al. "Enhancing Link Performance for Mobile LoRa Networks." IEEE Transactions on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Mobile Computing (2025). [2] Xu, Zhuqing, et al. "Leveraging imperfect-orthogonality aware scheduling for high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scalability in LPWAN." IEEE Transactions on Mobile Computing 23.10 (2024): 10111-10129.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industrial-IoT connection strengthened.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We agree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industrial-IoT framing should be more explicit, and we have deepened it throughout the revision. Section 1 now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opens inside the IIoT stack: a cyber-physical system couples networked sensors, actuators, and controllers with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 physical process and forms the sensing-and-actuation layer of the Industrial Internet of Things, and anomaly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detection is a core reliability-and-security function of that layer, monitored from streaming telemetry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[</w:t>
      </w:r>
      <w:hyperlink w:anchor="r-iotsurvey">
        <w:r>
          <w:rPr>
            <w:rStyle w:val="Hyperlink"/>
          </w:rPr>
          <w:t xml:space="preserve">5</w:t>
        </w:r>
      </w:hyperlink>
      <w:r>
        <w:rPr>
          <w:rFonts w:ascii="Times New Roman" w:hAnsi="Times New Roman"/>
          <w:b w:val="0"/>
          <w:i/>
          <w:sz w:val="20"/>
        </w:rPr>
        <w:t xml:space="preserve">, </w:t>
      </w:r>
      <w:hyperlink w:anchor="r-iottaxon">
        <w:r>
          <w:rPr>
            <w:rStyle w:val="Hyperlink"/>
          </w:rPr>
          <w:t xml:space="preserve">6</w:t>
        </w:r>
      </w:hyperlink>
      <w:r>
        <w:rPr>
          <w:rFonts w:ascii="Times New Roman" w:hAnsi="Times New Roman"/>
          <w:b w:val="0"/>
          <w:i/>
          <w:sz w:val="20"/>
        </w:rPr>
        <w:t xml:space="preserve">]. Section 2.1 makes the edge thread explicit: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detection is increasingly pushed onto gateways and industrial edge nodes to cut telemetry backhaul and enable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local response, under the compute, memory, and latency budgets that shape model design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[</w:t>
      </w:r>
      <w:hyperlink w:anchor="r-edgeint">
        <w:r>
          <w:rPr>
            <w:rStyle w:val="Hyperlink"/>
          </w:rPr>
          <w:t xml:space="preserve">14</w:t>
        </w:r>
      </w:hyperlink>
      <w:r>
        <w:rPr>
          <w:rFonts w:ascii="Times New Roman" w:hAnsi="Times New Roman"/>
          <w:b w:val="0"/>
          <w:i/>
          <w:sz w:val="20"/>
        </w:rPr>
        <w:t xml:space="preserve">–</w:t>
      </w:r>
      <w:hyperlink w:anchor="r-iotedgeai">
        <w:r>
          <w:rPr>
            <w:rStyle w:val="Hyperlink"/>
          </w:rPr>
          <w:t xml:space="preserve">16</w:t>
        </w:r>
      </w:hyperlink>
      <w:r>
        <w:rPr>
          <w:rFonts w:ascii="Times New Roman" w:hAnsi="Times New Roman"/>
          <w:b w:val="0"/>
          <w:i/>
          <w:sz w:val="20"/>
        </w:rPr>
        <w:t xml:space="preserve">], which now connects directly to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edge-deployment cost measurements we added in Appendix B and Table B1. We also added evidence that fleet-scale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IIoT heterogeneity motivates the core design: global models trained across many devices, subsystems, and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regimes develop detection blind spots that subsystem-specific models recover [</w:t>
      </w:r>
      <w:hyperlink w:anchor="r-islam">
        <w:r>
          <w:rPr>
            <w:rStyle w:val="Hyperlink"/>
          </w:rPr>
          <w:t xml:space="preserve">17</w:t>
        </w:r>
      </w:hyperlink>
      <w:r>
        <w:rPr>
          <w:rFonts w:ascii="Times New Roman" w:hAnsi="Times New Roman"/>
          <w:b w:val="0"/>
          <w:i/>
          <w:sz w:val="20"/>
        </w:rPr>
        <w:t xml:space="preserve">],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direct rationale for factorizing the density over correlation-community subsystems. Figure 1 now shows where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LatAD sits in the IIoT monitoring context (field sensors and PLCs feeding an edge gateway or SCADA historian,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LatAD scoring each completed window online, and the alarm plus most-surprised subsystem forwarded to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operator). The two suggested references address the LoRa link and LPWAN scheduling layer of wireless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connectivity; this paper operates on the process-telemetry layer above it, so we strengthened the industrial-IoT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connection through the sensing, edge-inference, and heterogeneity references cited above.</w:t>
      </w:r>
    </w:p>
    <w:bookmarkEnd w:id="11"/>
    <w:bookmarkStart w:id="12" w:name="Xca984418ba998d9586a9287edc3586ca42bce8d"/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Times New Roman" w:hAnsi="Times New Roman"/>
          <w:b/>
          <w:i w:val="0"/>
          <w:sz w:val="24"/>
        </w:rPr>
        <w:t xml:space="preserve">Comment 4. The regime-community design trains many models; evaluate its practical cost under the same hardware as the baselines.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The regime-community design in this manuscript trains separate representation and density models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for many communities, which may introduce much higher cost than a single global detector. More experiments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are needed to evaluate the practical cost of this design under the same hardware setting as the main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baselines.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We agree the added cost should be quantified. We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added Appendix B and Table B1, reporting parameter count, training wall-clock, per-window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inference latency, peak GPU memory, and host memory for LatAD (global and regime-community) and the deep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baselines on one Modal A10G GPU (24 GB) plus a Modal 8-vCPU CPU edge proxy, the same hardware for every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method. The regime-community stack does instantiate one small density model per subsystem, at a cost Table B1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quantifies: training 50 / 195 / 38 s on WADI / HAI / SWaT and per-window latency of 17 to 32 ms (up to about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52 ms at batch 256), against LatAD-global at 3.2 / 16 / 3.5 s and 0.7 to 13 ms. Even so, LatAD-global trains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roughly 47 to 72 times faster than TranAD (231 / 898 / 163 s), both configurations use only about 19 to 29 MB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of GPU memory and run within about 3.5 to 3.9 GB of host memory, and both stay inside gateway-class real-time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budgets on the CPU edge proxy. Section 4.4 now states the architecture (a separate small VaDE per community,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nothing shared but the input window features, plus one whole-plant expert), and the deployment paragraph in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Section 8 points at these numbers.</w:t>
      </w:r>
    </w:p>
    <w:bookmarkEnd w:id="12"/>
    <w:bookmarkStart w:id="13" w:name="Xa60c53663f94afdb36c9625295a60fbd7eb1c96"/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Comment 5. Sliding windows are strongly time-correlated; use a time-aware test on all three datasets, and clarify the WADI confidence interval and p-value.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The sliding windows in this manuscript are strongly correlated in time, so ordinary resampling may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underestimate the confidence interval. A time-aware statistical test should be used on all three datasets, and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definition of the confidence interval and p-value on WADI should be clarified.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We agree that time correlation matters here.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Every significance statement now uses an episode-block bootstrap that resamples whole attack episodes together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with contiguous normal blocks, rather than independent windows, applied uniformly to all three datasets and to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every confidence interval and P-value (defined in Section 5.4; results in Section 6, Figure 3). The confidence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interval is the two-sided 2.5 / 97.5 percentile of the paired difference; P is the one-sided bootstrap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probability that the difference is at most zero. The block length exceeds the window-overlap span, and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verdicts are unchanged when it is instead selected from the empirical serial dependence (the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autocorrelation-decay length: 264 windows on HAI, 3 on WADI, 4 on SWaT) and under a seed-hierarchical resample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over the five training seeds, so the conclusions do not depend on the block choice.</w:t>
      </w:r>
    </w:p>
    <w:p>
      <w:pPr>
        <w:pStyle w:val="Subtitle"/>
        <w:numPr>
          <w:ilvl w:val="0"/>
          <w:numId w:val="1001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HAI difficult subset: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+0.088, 95 percent CI [0.042, 0.157], P &lt; 0.0005 (167 windows, 26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episodes).</w:t>
      </w:r>
    </w:p>
    <w:p>
      <w:pPr>
        <w:pStyle w:val="Subtitle"/>
        <w:numPr>
          <w:ilvl w:val="0"/>
          <w:numId w:val="1001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Canonical SWaT difficult subset (91 windows, 23 episodes):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raw community score ties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strongest linear baseline (95 percent CI including zero); it becomes significant only after the drift-aware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typing of Section 7, +0.200 (95 percent CI [0.018, 0.355], P = 0.014).</w:t>
      </w:r>
    </w:p>
    <w:p>
      <w:pPr>
        <w:pStyle w:val="Subtitle"/>
        <w:numPr>
          <w:ilvl w:val="0"/>
          <w:numId w:val="1001"/>
        </w:numPr>
        <w:spacing w:before="0" w:after="160"/>
        <w:ind w:left="360" w:hanging="259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WADI difficult subset (clarified):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LatAD (0.771) is significantly ahead of every learned detector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by the same per-detector episode-block bootstrap, each cleared with P &lt; 0.05: vs AutoEncoder +0.143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(P = 0.001), USAD +0.192 (P &lt; 0.0005), TranAD +0.157 (P = 0.0005), Isolation Forest +0.136 (P &lt; 0.0005), and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GDN +0.111 (P &lt; 0.0005). It ties only the linear baseline LinRes (0.750): +0.020, 95 percent CI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[-0.161, 0.205], P = 0.46 over 8 attack episodes, not statistically separable at that episode count.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On the double-hard subset LatAD holds a numerical lead of +0.101 on HAI (13 episodes)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and +0.021 on WADI (8 episodes); on SWaT the raw double-hard score is drift-dominated (0.178) and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drift-aware typing of Section 7 recovers it to 0.671, a significant +0.493 (95 percent CI [0.349, 0.619],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P &lt; 0.001) over the raw score (Table A3). All intervals were recomputed from persisted scores, with no retraining.</w:t>
      </w:r>
    </w:p>
    <w:bookmarkEnd w:id="13"/>
    <w:bookmarkStart w:id="14" w:name="X40d8268bd7ab7e5539fe2d43aab722bc002b95b"/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Comment 6. Six static window statistics: run raw-sequential, temporal, or spectral experiments and ablations to verify whether the gain comes from cross-channel density or from the window representation.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This manuscript mainly uses six static statistics from each window, so the source of the performance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gain is still unclear. Experiments with raw sequential input and temporal or spectral information are needed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to verify whether the gain mainly comes from cross-channel density modeling or from the current window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representation.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made, the source of the gain is now isolated.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We agree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this needs isolating, and Table A4 (cited from Section 6) does so directly. Table A4 swaps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cross-channel latent density for a channel-independent product of per-channel densities, holding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representation fixed: the cross-channel density adds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bCs/>
          <w:i/>
          <w:sz w:val="20"/>
        </w:rPr>
        <w:t xml:space="preserve">+0.200 on HAI</w:t>
      </w:r>
      <w:r>
        <w:rPr>
          <w:rFonts w:ascii="Times New Roman" w:hAnsi="Times New Roman"/>
          <w:b w:val="0"/>
          <w:i/>
          <w:sz w:val="20"/>
        </w:rPr>
        <w:t xml:space="preserve">, essentially nothing on the WADI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difficult subset (+0.017), whose difficult anomalies are single-channel or linear so per-channel marginals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already suffice, and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bCs/>
          <w:i/>
          <w:sz w:val="20"/>
        </w:rPr>
        <w:t xml:space="preserve">does not exceed the per-channel product on SWaT (-0.050)</w:t>
      </w:r>
      <w:r>
        <w:rPr>
          <w:rFonts w:ascii="Times New Roman" w:hAnsi="Times New Roman"/>
          <w:b w:val="0"/>
          <w:i/>
          <w:sz w:val="20"/>
        </w:rPr>
        <w:t xml:space="preserve">. To address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representation directly, Table A2 re-runs the same latent-density detector with a richer ten-feature temporal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and spectral representation in place of the six statistics: immaterial on WADI, +0.071 on HAI and +0.241 on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SWaT, so an expanded representation is a smaller complementary lever aligned with A9, not the source. We also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ran a raw per-timestep sequential-input variant, feeding the flattened 60-sample window with no statistical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reduction to the same detector under the same difficulty mask (five seeds): it strictly lowers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difficult-subset AUROC on all three datasets, by 0.068 on WADI, 0.230 on HAI, and 0.060 on SWaT. The gain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therefore comes from the density mechanism applied to a compact, learnable representation, not from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information the six statistics withhold. The head-level decomposition (Table A5) and the factorization ladder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(Table A1) localize the same gain to the density heads and the regime-community factorization. The source is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dataset-specific: on HAI cross-channel density modeling (+0.200 over the per-channel product); on WADI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regime-community factorization; on SWaT the temporal and drift structure (Section 7). In none of the three is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window representation the source. Section 8 makes this most directly: the single latent-density head, with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no residual term and no factorization, beats the deep reconstruction detectors USAD and TranAD on the HAI and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WADI difficult subsets (Table A5; on SWaT the raw difficult subset is drift-dominated), isolating the density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mechanism from both the representation and the factorization.</w:t>
      </w:r>
    </w:p>
    <w:bookmarkEnd w:id="14"/>
    <w:bookmarkStart w:id="15" w:name="X9098bd254c62847906ca272885de024a5e2da13"/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Evaluation-form items: English, figures and tables, and conclusions.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The English could be improved to more clearly express the research. Figures and tables, and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conclusions, should be improved.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bCs/>
          <w:i/>
          <w:sz w:val="20"/>
        </w:rPr>
        <w:t xml:space="preserve">Response: change made.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We addressed each of these. We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revised the front matter and the longer sentences, and a language pass over the whole manuscript is applied to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submitted version. Two vector figures were added (Figure 1, the IIoT system-model context; Figure 2, the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assumption-tagged LatAD workflow), the difficult-subset results chart is renumbered Figure 3 with a corrected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caption, and the result tables and Tables A1 to A5 were regenerated on the corrected, construct-matched data,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with GDN added as a new baseline in Table 2 and Figure 3. The Conclusion (Section 9) was rewritten to match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the scoped claims and the corrected significance pattern: the best All-subset AUROC of any learned detector on HAI, a significant margin on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HAI, a lead over every learned detector on WADI, and the drift-dominated SWaT difficult subset recovered to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0.723 by the drift-aware typing of Section 7.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Thank you again for reviewing the manuscript. We believe the revision answers each</w:t>
      </w:r>
      <w:r>
        <w:rPr>
          <w:rFonts w:ascii="Times New Roman" w:hAnsi="Times New Roman"/>
          <w:b w:val="0"/>
          <w:i/>
          <w:sz w:val="20"/>
        </w:rPr>
        <w:t xml:space="preserve"> </w:t>
      </w:r>
      <w:r>
        <w:rPr>
          <w:rFonts w:ascii="Times New Roman" w:hAnsi="Times New Roman"/>
          <w:b w:val="0"/>
          <w:i/>
          <w:sz w:val="20"/>
        </w:rPr>
        <w:t xml:space="preserve">point, and where the answer is a limitation we have stated it plainly.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Times New Roman" w:hAnsi="Times New Roman"/>
          <w:b w:val="0"/>
          <w:i/>
          <w:sz w:val="20"/>
        </w:rPr>
        <w:t xml:space="preserve">Sincerely,</w:t>
      </w:r>
      <w:r>
        <w:rPr>
          <w:rFonts w:ascii="Times New Roman" w:hAnsi="Times New Roman"/>
          <w:b w:val="0"/>
          <w:i/>
          <w:sz w:val="20"/>
        </w:rPr>
        <w:br/>
      </w:r>
      <w:r>
        <w:rPr>
          <w:rFonts w:ascii="Times New Roman" w:hAnsi="Times New Roman"/>
          <w:b w:val="0"/>
          <w:i/>
          <w:sz w:val="20"/>
        </w:rPr>
        <w:t xml:space="preserve">Alexander Apartsin and Yehudit Aperstein</w:t>
      </w:r>
    </w:p>
    <w:bookmarkEnd w:id="15"/>
    <w:bookmarkEnd w:id="16"/>
    <w:sectPr w:rsidR="00FC693F" w:rsidRPr="0006063C" w:rsidSect="00034616">
      <w:footerReference w:type="default" r:id="rId9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:autoHyphenation w:val="true"/>
  <w:doNotHyphenateCaps w:val="false"/>
  <w:consecutiveHyphenLimit w:val="2"/>
  <w:hyphenationZone w:val="2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spacing w:after="0" w:before="0" w:line="276" w:lineRule="auto"/>
    </w:pPr>
    <w:rPr>
      <w:rFonts w:ascii="Times New Roman" w:hAnsi="Times New Roman"/>
      <w:b w:val="0"/>
      <w:i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color="4F81BD" w:space="4" w:sz="8" w:themeColor="accent1" w:val="single"/>
      </w:pBdr>
      <w:spacing w:after="160" w:before="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i w:val="0"/>
      <w:color w:themeColor="text2" w:themeShade="BF" w:val="17365D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after="80" w:before="0"/>
      <w:jc w:val="center"/>
    </w:pPr>
    <w:rPr>
      <w:rFonts w:ascii="Times New Roman" w:asciiTheme="majorHAnsi" w:cstheme="majorBidi" w:eastAsiaTheme="majorEastAsia" w:hAnsi="Times New Roman" w:hAnsiTheme="majorHAnsi"/>
      <w:b w:val="0"/>
      <w:i w:val="0"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276" w:lineRule="auto"/>
      <w:ind w:firstLine="360"/>
      <w:jc w:val="both"/>
    </w:pPr>
    <w:rPr>
      <w:rFonts w:ascii="Times New Roman" w:hAnsi="Times New Roman"/>
      <w:b w:val="0"/>
      <w:i w:val="0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pPr>
      <w:keepNext w:val="0"/>
      <w:spacing w:after="0" w:before="0" w:line="276" w:lineRule="auto"/>
      <w:ind w:firstLine="0"/>
      <w:jc w:val="both"/>
    </w:pPr>
    <w:rPr>
      <w:rFonts w:ascii="Times New Roman" w:hAnsi="Times New Roman"/>
      <w:b w:val="0"/>
      <w:i w:val="0"/>
      <w:sz w:val="22"/>
    </w:rPr>
  </w:style>
  <w:style w:customStyle="1" w:styleId="Compact" w:type="paragraph">
    <w:name w:val="Compact"/>
    <w:basedOn w:val="BodyText"/>
    <w:pPr>
      <w:keepNext w:val="0"/>
      <w:spacing w:after="40" w:before="0" w:line="252" w:lineRule="auto"/>
      <w:ind w:left="317" w:hanging="259"/>
      <w:jc w:val="both"/>
    </w:pPr>
    <w:rPr>
      <w:rFonts w:ascii="Times New Roman" w:hAnsi="Times New Roman"/>
      <w:b w:val="0"/>
      <w:i w:val="0"/>
      <w:sz w:val="22"/>
    </w:rPr>
  </w:style>
  <w:style w:customStyle="1" w:styleId="AbstractLabel" w:type="paragraph">
    <w:name w:val="Abstract Label"/>
    <w:basedOn w:val="BodyText"/>
    <w:pPr>
      <w:keepNext/>
      <w:spacing w:after="80" w:before="80"/>
      <w:ind w:firstLine="0"/>
      <w:jc w:val="center"/>
    </w:pPr>
    <w:rPr>
      <w:rFonts w:ascii="Times New Roman" w:hAnsi="Times New Roman"/>
      <w:b/>
      <w:i w:val="0"/>
      <w:sz w:val="22"/>
    </w:rPr>
  </w:style>
  <w:style w:customStyle="1" w:styleId="Keywords" w:type="paragraph">
    <w:name w:val="Keywords"/>
    <w:basedOn w:val="BodyText"/>
    <w:pPr>
      <w:keepNext w:val="0"/>
      <w:spacing w:after="80" w:before="0"/>
      <w:ind w:firstLine="0"/>
      <w:jc w:val="both"/>
    </w:pPr>
    <w:rPr>
      <w:rFonts w:ascii="Times New Roman" w:hAnsi="Times New Roman"/>
      <w:b w:val="0"/>
      <w:i w:val="0"/>
      <w:sz w:val="22"/>
    </w:rPr>
  </w:style>
  <w:style w:customStyle="1" w:styleId="ImageCaption" w:type="paragraph">
    <w:name w:val="Image Caption"/>
    <w:basedOn w:val="BodyText"/>
    <w:pPr>
      <w:keepNext w:val="0"/>
      <w:spacing w:after="120" w:before="80" w:line="240" w:lineRule="auto"/>
      <w:jc w:val="center"/>
    </w:pPr>
    <w:rPr>
      <w:rFonts w:ascii="Times New Roman" w:hAnsi="Times New Roman"/>
      <w:b w:val="0"/>
      <w:i/>
      <w:sz w:val="19"/>
    </w:rPr>
  </w:style>
  <w:style w:customStyle="1" w:styleId="TableCaption" w:type="paragraph">
    <w:name w:val="Table Caption"/>
    <w:basedOn w:val="BodyText"/>
    <w:pPr>
      <w:keepNext/>
      <w:spacing w:after="60" w:before="280" w:line="240" w:lineRule="auto"/>
      <w:jc w:val="center"/>
    </w:pPr>
    <w:rPr>
      <w:rFonts w:ascii="Times New Roman" w:hAnsi="Times New Roman"/>
      <w:b w:val="0"/>
      <w:i/>
      <w:sz w:val="19"/>
    </w:rPr>
  </w:style>
  <w:style w:customStyle="1" w:styleId="ReferencesHeading" w:type="paragraph">
    <w:name w:val="References Heading"/>
    <w:basedOn w:val="Heading1"/>
    <w:pPr>
      <w:keepNext/>
      <w:spacing w:after="120" w:before="240"/>
    </w:pPr>
    <w:rPr>
      <w:rFonts w:ascii="Times New Roman" w:hAnsi="Times New Roman"/>
      <w:b/>
      <w:i w:val="0"/>
      <w:sz w:val="28"/>
    </w:rPr>
  </w:style>
  <w:style w:customStyle="1" w:styleId="ReferenceEntry" w:type="paragraph">
    <w:name w:val="Reference Entry"/>
    <w:basedOn w:val="BodyText"/>
    <w:pPr>
      <w:keepNext w:val="0"/>
      <w:spacing w:after="100" w:before="0" w:line="259" w:lineRule="auto"/>
      <w:ind w:left="475" w:hanging="475"/>
      <w:jc w:val="left"/>
    </w:pPr>
    <w:rPr>
      <w:rFonts w:ascii="Times New Roman" w:hAnsi="Times New Roman"/>
      <w:b w:val="0"/>
      <w:i w:val="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2026-09-21T17:35:15Z</dcterms:created>
  <dcterms:modified xsi:type="dcterms:W3CDTF">2026-09-21T17:35:15Z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