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sponse-to-reviewer-2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the thorough reading and for the clear, specific suggestions on the abstract, introduction,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related work, figures, notation, and typesetting. We found them very useful, and the revised paper follows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them closely. We address each point below, quoting your comment and then giving the change and its location.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 manuscript, and deletions are struck.</w:t>
      </w:r>
    </w:p>
    <w:bookmarkStart w:id="9" w:name="X9fa4232b2c6b07d0f4b27c72ef715541555f54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Expand each abbreviation at first use (LatAD, IIoT, CPS, SCADA, and so on).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When an abbreviation first appears in the abstract or main text, its full form should be provided,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e.g., LatAD, IIoT, CPS, SCADA, etc.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given its full form at first use in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abstract ("Our detector, LatAD (Latent-density Anomaly Detector)"), and CPS, IIoT, and SCADA are expanded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 ("A cyber-physical system (CPS)"; "Industrial Internet of Things (IIoT)"; "Supervisory Control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 Acquisition (SCADA) historians"). The remaining abbreviations (VaDE, GMM, NLL, HC, BIC, AUROC, F1, ICS,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SOTA, KDE) are expanded at first use in the main text; the abstract keeps the compact forms and the main text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re-expands them.</w:t>
      </w:r>
    </w:p>
    <w:bookmarkEnd w:id="9"/>
    <w:bookmarkStart w:id="10" w:name="Xab838143c237d34fa5f3ae106ab26dfc58fe356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2. The abstract spends most of its length on the problems of existing methods; highlight LatAD's technical contribution.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abstract spends most of its length introducing the problems of existing anomaly detection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methods, while providing very little introduction to the principle of the paper's core contribution, LatAD.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Please highlight the technical contributions of this paper in the abstract.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abstract was rebalanced toward the mechanism: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"Our detector, LatAD (Latent-density Anomaly Detector), models normal as a jointly learned latent Gaussian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(VaDE) and scores by probability rather than reconstruction, factorizing the density over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correlation-community subsystems and combining per-subsystem surprises by cohesion-weighted Higher Criticism;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reconstruction re-enters only through an auto-gated residual head." It now carries one headline result per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claim (best overall AUROC on HAI 0.948 and SWaT 0.938, a significant lead on the difficult subset of HAI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SWaT) and closes on the code and checkpoint release.</w:t>
      </w:r>
    </w:p>
    <w:bookmarkEnd w:id="10"/>
    <w:bookmarkStart w:id="11" w:name="X7af710ab4acf61a30e2b12f71d537d8ccb20fd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3. The introduction logic is unclear; delete the first-paragraph method sentence, keep contributions out of paragraph 1, and add CPS background.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logic of the Introduction is not clear enough and should be carefully revised. In the first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paragraph, the last sentence, "This paper detects them by XXX," should be deleted. The paper's contributions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should not be introduced in the first paragraph of the Introduction. It is suggested to add background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cyber-physical systems in the first paragraph.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"This paper detects them by ..." sentence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struck (shown as a deletion), no contributions appear in the first paragraph, and Section 1 now opens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CPS and IIoT background: "A cyber-physical system (CPS) couples networked sensors, actuators, and controllers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a physical process, forming the sensing-and-actuation layer of the Industrial Internet of Things (IIoT);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monitoring its telemetry for faults and attacks is central to reliability and safety." The contributions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stated later in Section 1, after the problem and the two obstacles are set out.</w:t>
      </w:r>
    </w:p>
    <w:bookmarkEnd w:id="11"/>
    <w:bookmarkStart w:id="12" w:name="X0e6824d14d37d32df8f162b783e2556b4530b0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Page 2, line 71: "the task is often framed as ..." - state which task.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Page 2, line 71, "the task is often framed as XXX"-what task does "the task" specifically refer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to? Please state it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sentence now names the task explicitly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1): "Unsupervised anomaly detection for CPS telemetry is often framed as characterizing the anomalies, but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that framing is misleading."</w:t>
      </w:r>
    </w:p>
    <w:bookmarkEnd w:id="12"/>
    <w:bookmarkStart w:id="13" w:name="Xbae222148d527abe8faf910d5a12242cf95dd49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The "two obstacles": does LatAD contribute to both, and what problem does it address or improve?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paper states that modeling and evaluation are "two obstacles that have obscured this failure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mode." Has LatAD made contributions to both aspects? What specific problem is LatAD proposed to address,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what existing method does it improve? Please explain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dedicated paragraph in Section 1 states this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directly: "LatAD addresses the modeling obstacle: it replaces the reconstruction residual of USAD-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TranAD-style deep detectors with a probability score in a jointly learned latent regime space, factorized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plant's physical subsystems. The evaluation obstacle it addresses by adopting the critique's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protocol, raw metrics with difficulty stratification, which we use rather than claim as a contribution." 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a modeling contribution; on evaluation it adopts an existing protocol rather than claiming novelty.</w:t>
      </w:r>
    </w:p>
    <w:bookmarkEnd w:id="13"/>
    <w:bookmarkStart w:id="14" w:name="X8f53ed15700d6d5fc7c82f7e41e24e03d7fa952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6. Restructure Related Work: move the anomaly-detection definition to the introduction, delete the three LatAD self-descriptions, rewrite Section 2.3, and delete Section 2.5.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structure of the Related Work section also has major problems ... move the definition of anomaly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detection to the Introduction ... delete the last sentence of the first paragraph, "LatAD sits squarely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this line XXX"; the last sentence of Section 2.1, "LatAD addresses a complementary IIoT problem XXX";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last paragraph of Section 2.2, "LatAD adopts this critique as XXX." Section 2.3 is entirely an introduction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and needs to be rewritten. Section 2.5 is suggested to be deleted.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anomaly-detection definition is relocated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1. The three LatAD self-descriptions (the last sentence of the Related Work preamble, the last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sentence of Section 2.1, and the last paragraph of Section 2.2) are struck. Section 2.3 is rewritten as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neutral survey of latent and clustering models and now cites Deep SVDD, OmniAnomaly, and THOC. The former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2.5 "Benchmark datasets" is removed; in its place Section 2.5 is now "Benchmark scale", a short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scholarly paragraph on the size of public CPS benchmarks versus operational scale, which supports the scoping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of assumptions A8 to A10 (a pointer to Section 5.1 covers the dataset details).</w:t>
      </w:r>
    </w:p>
    <w:bookmarkEnd w:id="14"/>
    <w:bookmarkStart w:id="15" w:name="Xdfdeda9217e16f1c5ae7e96de9c9e9dd9945f9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7. Add a system-model or application-scenario diagram showing where in the IIoT LatAD collects data and detects.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Add a system model diagram or an application scenario diagram that shows at which stage of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Industrial IoT the proposed LatAD method collects data and performs anomaly detection.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1 (Section 1) shows the IIoT monitoring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context: field sensors and PLCs feed an edge gateway or SCADA historian that aggregates and windows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multivariate telemetry, LatAD scores each completed window online, and an anomaly alarm together with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most-surprised subsystem is forwarded to the operator, maintenance, or security stack. It is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1 text, and the caption notes that model fitting and calibration use train-normal telemetry only,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 a site is commissioned from its own normal data without labeled attacks. The most-surprised community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1 forwards is now a validated triage output: Section 7 (new Table 7) reports that a three-community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shortlist ranked by train-normal p-value contains the attacked subsystem in 68 to 79 percent of HAI and SWaT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attacks, against 49 to 56 percent for a random shortlist of the same size.</w:t>
      </w:r>
    </w:p>
    <w:bookmarkEnd w:id="15"/>
    <w:bookmarkStart w:id="16" w:name="X8d984c77b7c0cc9a6b36b775225f0a5ff41b77d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8. Explain the relationship between MIIM (Section 3) and the LatAD detector (Section 4).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What is the relationship between the MIIM presented in Section 3 and the LatAD detector presented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4? Are they studied independently or closely related? Please add an explanation of their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relationship.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3 now adds a checklist sentence stating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MIIM is a specification a dataset realizes to varying degrees, and Section 4 states the relationship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explicitly, immediately after the workflow figure: "A1 to A10 specify what a model of CPS normal must capture, not how to implement it; the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below is one concrete realization of A1 to A7." Table 1 now carries a "Realized by" column naming, for every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assumption, the LatAD design section and mechanism that implements it, and the rows are grouped into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realized-and-validated block (A1 to A7) and the specified-for-future-work block (A8 to A10), so the mapping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visible at a glance.</w:t>
      </w:r>
    </w:p>
    <w:bookmarkEnd w:id="16"/>
    <w:bookmarkStart w:id="17" w:name="Xe359d82b5a11a0e060fd9cd2e104140dc503ab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9. Section 4 readability: map Sections 4.1 to 4.4 to pipeline stages and add a LatAD workflow figure.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readability of Section 4 needs to be improved. Sections 4.1 to 4.4 barely mention LatAD in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main text ... Which parts of the LatAD detector pipeline do the representation stage and scoring stage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correspond to? Please add a figure to introduce the LatAD workflow.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Section 4 heading now names its pipeline stage: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4.1 "Representation: Variational Deep Embedding (VaDE) (the representation stage; Figure 2, top)";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4.3 "The scoring stack (the scoring stage; Figure 2, per-community heads)"; and Section 4.4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"Regime-community density (the subsystem-factorization stage; Figure 2, community fan-out and HC combiner)".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2, the LatAD workflow with each block tagged by the assumption it serves, is added and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4 preamble.</w:t>
      </w:r>
    </w:p>
    <w:bookmarkEnd w:id="17"/>
    <w:bookmarkStart w:id="18" w:name="X01292dcdf78565d903990272a8b444dee15ce8c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10. Is VaDE plus density plus residual fitted separately per community, or is the encoder shared? Report training time, GPU memory, and inference latency.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Is VaDE + density head + residual head fitted separately for each community? Or is the encoder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shared? The paper does not report training time, GPU memory, or inference latency, which is critical for IIoT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deployment.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4.4 now states the architecture explicitly: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each community we fit a separate small VaDE, each with its own encoder, Gaussian mixture, and scoring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heads, its regime count and latent dimension scaled to the community size; nothing is shared across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communities except the input window features, so the model is a stack of independent per-subsystem experts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plus one global expert. The encoder is therefore not shared. Cost is now reported in Appendix B and Table B1: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peak GPU memory, and host memory for LatAD (global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regime-community) and the deep baselines, on one shared GPU machine plus a CPU edge proxy. LatAD-global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trains in 3.2 / 16 / 3.5 s on WADI / HAI / SWaT (roughly 47 to 72 times faster than TranAD), per-window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latency is 0.7 to 13 ms global and 17 to 32 ms for the full community stack, and both configurations run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within about 3.5 to 3.9 GB of host memory.</w:t>
      </w:r>
    </w:p>
    <w:bookmarkEnd w:id="18"/>
    <w:bookmarkStart w:id="19" w:name="Xba7252f00bb347a2b5200ed8104ae294a31083f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11. The symbol z denotes both a latent variable (Section 4.3) and a standardized per-channel value (Section 5.3); replace one.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symbol z denotes a latent variable in Section 4.3 but a standardized per-channel value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5.3 ... the symbol conflict is still serious. It is suggested to replace z with another symbol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4.2 or Section 5.3.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conflict is resolved. The latent variable keeps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symbol z, the standardization operator is renamed std(.), and the trivial-rule per-channel value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renamed u throughout Tables 3 and 4 and the prose (Sections 5.3 and 5.5, Section 6). The old disambiguation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clause is replaced by a short parenthetical at first use in Section 5.3, and the remaining "z-score units"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phrasing in Section 4.4 and the Table A1 caption is changed to "standardized units."</w:t>
      </w:r>
    </w:p>
    <w:bookmarkEnd w:id="19"/>
    <w:bookmarkStart w:id="20" w:name="Xb09a860fca78b4a51a57f298994adeb98f0be9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12. Typesetting: unify paragraph indentation and number all equations.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Typesetting issues: Some paragraphs begin flush left, while others are indented. Please unify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format. None of the equations in the paper are numbered.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All nine display equations are now numbered (1)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(9), right-aligned (Sections 3, 4.1, 4.3, and 4.4). Paragraph-indentation is unified under one body style,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applied at the DOCX build stage so that every paragraph follows the same first-line-indent convention.</w:t>
      </w:r>
    </w:p>
    <w:bookmarkEnd w:id="20"/>
    <w:bookmarkStart w:id="21" w:name="on-results-clarity-english-and-figures.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results clarity, English, and figures.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results should be clearer, the English could be improved, and the figures and tables should be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well-presented.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results section was rewritten around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corrected, construct-matched numbers, with the significance test and window and episode counts stated for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dataset, and a new source-of-gain table (Table 5) added. A construct-matched graph baseline (GDN) was added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Tables 3 and 4 and to Figure 3. Figures 1 and 2 were added and the results chart renumbered Figure 3 with a corrected caption.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revised the front matter and the longer sentences, and a language pass over the whole manuscript is applied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submitted version.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suggestions, which improved the clarity and structure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paper considerably.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21"/>
    <w:bookmarkEnd w:id="2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2026-09-18T18:03:48Z</dcterms:created>
  <dcterms:modified xsi:type="dcterms:W3CDTF">2026-09-18T18:03:48Z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