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response-to-reviewer-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Manuscript IoT-4522779, MDPI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IoT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Title: Modeling Normal Is All You Need: Joint Latent Clustering for Anomaly Detection in Multimodal Industrial-IoT Cyber-Physical Systems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Authors: Alexander Apartsin and Yehudit Aperstein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Dear Reviewer,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for a careful and constructive reading. Your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comments pushed us to validate or remeasure the previously unused assumptions, to support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nearest-component score directly, to benchmark computational cost, to put every significance claim on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time-aware footing, and to isolate the source of the gain. We address each point below, giving the change we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made and where to find it, or a rebuttal with the supporting evidence. While preparing the revision we also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re-audited every number and corrected a difficulty-stratification artifact on WADI; the corrected numbers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used throughout and are reflected in the responses.</w:t>
      </w:r>
    </w:p>
    <w:bookmarkStart w:id="9" w:name="X5169a9d53f31ba643c7c4225a23dd88e4fb3c08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1. A9 and A10 are unused, and the basin-agreement head (A3) is inactive on all three datasets; run data that activates them or limit the contribution to the validated assumptions.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introduces ten structural assumptions from A1 to A10, but the current model does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fully realize them. A9 and A10 are not used in the model, while the basin-agreement head for A3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inactive on all three datasets. More experiments are needed on data that can activate and test these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assumptions, otherwise the contribution should be limited to the assumptions that are actually validated.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 and assumptions remeasured.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now present MIIM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 assumptions of which seven are realized by the detector and validated here (A1 to A7) and three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 for future work (A8 to A10). Table 1 is grouped into these two blocks and gains a "Realized by"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column mapping each assumption to the design section that implements it. The between-regime assumption whose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basin head you note as inactive (your "A3") is renumbered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A8</w:t>
      </w:r>
      <w:r>
        <w:rPr>
          <w:rFonts w:ascii="Times New Roman" w:hAnsi="Times New Roman"/>
          <w:b w:val="0"/>
          <w:i/>
          <w:sz w:val="20"/>
        </w:rPr>
        <w:t xml:space="preserve">, so the realized instantaneous-window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properties are contiguous A1 to A7.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Rather than only scoping A8 down, we remeasured it. The earlier apparent signal came from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cluster-responsibility screen that is blind by construction: on a synthetic overlap positive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 (30 to 2 percent Bayes error) it rated the regimes as maximally crisp, and on SKAB the signal proved to be a variance-floor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artifact of the estimator on a 400-window sample (Appendix C, Table C1). Under valid observation-space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metrics the A8 precondition (adjacent but distinct regimes) is present on nearly every real CPS dataset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screened, but heavy mode overlap is absent; the masking form of A8 is detectable only through the trajectory,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which couples it to A10, and the over-coverage form is already defended by the shipped 80-component density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 (a wide two-component head misses about 80 percent of WADI's isolated anomalies, the 80-component head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13 percent). A8 is therefore specified, partly defended, and verifiable at operational scale (Section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7, Appendix C).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A9 (multiscale structure) is present in the data as a measured property: per-channel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autocorrelation timescales span 3.4 to 3.7 decades on all three plants, and a longer 600-sample window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about +0.06 difficult-subset AUROC on HAI, corroborating the +0.072 that explicit temporal features add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Appendix A. A10 (path dependence) is measured absent on these snapshot-detectable benchmarks by three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conditional scorers (a linear autoregressor, a nearest-neighbour successor model, and a regime-transition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matrix), each validated against a passing synthetic positive control and guarded by an order-shuffle control.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"Snapshot detectable" is thus now a measured finding for these benchmarks, not an assumption (Table 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7). Because the public benchmarks are small and snapshot-detectable, we added a benchmark-scale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discussion (Section 2.5, Section 7) arguing that exercising A8 to A10 further requires operational-scale data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history-dependent faults.</w:t>
      </w:r>
    </w:p>
    <w:bookmarkEnd w:id="9"/>
    <w:bookmarkStart w:id="10" w:name="X5ca7be4bb510d066e129f16835a3b24352fac8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2. The nearest-component likelihood lacks direct support: compare mixture NLL, nearest-component NLL, and other imbalance-aware scores across regime-imbalance ratios, with attention to the false-positive rate of rare normal 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rare-regime-safe nearest-component likelihood in this manuscript lacks direct experimental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support. Experiments under different regime imbalance ratios should compare mixture NLL,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NLL, and other imbalance-aware scoring methods, with more attention to the false-positive rate of rare normal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regimes.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rebuttal plus head-level isolation.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nearest-component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likelihood is isolated as a standalone score head in Table 6, with difficult-subset AUROC 0.603 on WADI,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0.797 on HAI, and 0.723 on SWaT, reported beside the mixture density and the density-plus-nearest base; its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design rationale is stated as assumption A5 in Table 1 ("score against the nearest component, never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weighted mixture, so a rare-but-valid regime is not penalized"). It is a rare-regime safety term: it keeps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valid window in a sparsely populated regime from being flagged for rarity alone, protecting the false-alarm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rate rather than raising the aggregate score, and on a dataset without such rare-regime false alarms it can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sit marginally below the density head alone (Table 6, WADI; Section 4.3 ii). Its distinctive benefit over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mixture NLL, and the rare-regime false-positive rate you ask about, would surface under the operating-regime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imbalance sweep you propose. We did not run that imbalance sweep, and we support the head here with the Table 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head-level isolation and the A5 design argument rather than assert a benefit we did not measure.</w:t>
      </w:r>
    </w:p>
    <w:bookmarkEnd w:id="10"/>
    <w:bookmarkStart w:id="11" w:name="X3e07ee6c45a2d4e1c1a09dd5b3fd5015a11ee5c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Comment 3. The regime-community design trains many models; evaluate its practical cost under the same hardware as the 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regime-community design in this manuscript trains separate representation and density models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many communities, which may introduce much higher cost than a single global detector. More experiments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needed to evaluate the practical cost of this design under the same hardware setting as the main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Appendix B and Table B1, reporting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parameter count, training wall-clock, per-window inference latency, peak GPU memory, and host memory for LatAD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(global and regime-community) and the deep baselines on one Modal A10G GPU (24 GB) plus a Modal 8-vCPU CPU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edge proxy, the same hardware for every method.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stack does instantiate one small density model per subsystem, and Table B1 quantifies the resulting cost: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training 50 / 195 / 38 s on WADI / HAI / SWaT and per-window latency of 17 to 32 ms (up to about 52 ms 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batch 256), against LatAD-global at 3.2 / 16 / 3.5 s and 0.7 to 13 ms. Even so, LatAD-global trains roughly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47 to 72 times faster than TranAD (231 / 898 / 163 s), both configurations use only tens of MB of GPU memory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(about 20 to 29 MB) and run within about 3.5 to 3.9 GB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host memory, and both stay inside gateway-class real-time budgets on the CPU edge proxy. Section 4.4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states the architecture explicitly (a separate small VaDE per community, nothing shared but the input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features, plus one whole-plant expert), and the deployment paragraph in Section 7 points at these numbers.</w:t>
      </w:r>
    </w:p>
    <w:bookmarkEnd w:id="11"/>
    <w:bookmarkStart w:id="12" w:name="Xce63068459775cc697145350186a8763dd4e1de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4. Sliding windows are strongly time-correlated; use a time-aware test on all three datasets, and clarify the WADI confidence interval and p-value.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sliding windows in this manuscript are strongly correlated in time, so ordinary resampling may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underestimate the confidence interval. A time-aware statistical test should be used on all three datasets,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definition of the confidence interval and p-value on WADI should be clarified.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significance statement is on an episode-block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that resamples whole attack episodes together with contiguous normal blocks, rather than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windows, applied uniformly to all three datasets and to every reported confidence interval and P-value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(defined in Section 5.4; results in Section 6, Table 4, Figure 3). We define both quantities: the confidence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interval is the two-sided 2.5 / 97.5 percentile of the paired difference, and P is the one-sided bootstrap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probability that the difference is at most zero.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HAI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+0.088, 95 percent CI [0.042, 0.157], P about 0 (167 windows, 26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Canonical SWaT difficult subset: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+0.055, 95 percent CI [0.012, 0.104], P = 0.007 (85 windows,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23 episodes).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WADI difficult subset (clarified):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LatAD (0.771) is significantly ahead of every learned detector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by the same per-detector episode-block bootstrap, each cleared with P &lt; 0.05: vs AutoEncoder +0.142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(P = 0.001), USAD +0.192 (P = 0.000), TranAD +0.157 (P = 0.0005), Isolation Forest +0.136 (P = 0.000),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GDN +0.111 (P = 0.000). It ties only the linear baseline LinRes (0.750): +0.020, 95 percent CI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[-0.161, 0.205], P = 0.46 over 8 attack episodes, not statistically separable at that episode count.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On the double-hard subset the same test gives HAI +0.084 (95 percent CI [0.019, 0.189],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 = 0.0005) and SWaT +0.085 (95 percent CI [0.030, 0.146], P = 0.0005), with WADI a numerical lead over 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episodes (Table 4). All intervals were recomputed from persisted scores, with no retraining.</w:t>
      </w:r>
    </w:p>
    <w:bookmarkEnd w:id="12"/>
    <w:bookmarkStart w:id="13" w:name="X87f63f0476ed2f671557a703e7a3bd76e7727a6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5. Six static window statistics: run raw-sequential, temporal, or spectral experiments and ablations to verify whether the gain comes from cross-channel density or from the window 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This manuscript mainly uses six static statistics from each window, so the source of the performance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gain is still unclear. Experiments with raw sequential input and temporal or spectral information are needed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to verify whether the gain mainly comes from cross-channel density modeling or from the current window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made, the source of the gain is now isolated.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added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main-text source-of-gain table (Table 5, Section 6) that swaps the cross-channel latent density for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channel-independent product of per-channel densities, holding the representation fixed. The cross-channel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density adds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+0.200 on HAI and +0.141 on SWaT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the channel-independent baseline,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datasets where LatAD wins significantly, and essentially nothing on the WADI difficult subset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(+0.017), whose difficult anomalies are single-channel or linear so per-channel marginals already suffice.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address the representation directly, Table A2 re-runs the same latent-density detector with a richer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ten-feature temporal and spectral representation in place of the six statistics: it is immaterial on WADI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adds +0.072 on HAI and +0.026 on SWaT, so an expanded temporal representation is a smaller, complementary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lever aligned with A9, not the source of the reported advantage. We did not run a raw per-timestep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sequential-input variant of LatAD; the temporal-and-spectral part of your request is answered at the feature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level by Table A2, which injects explicit temporal and spectral features into the window representation while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leaving the latent-density mechanism unchanged. The head-level decomposition (Table 6)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factorization ladder (Table A1) localize the same gain to the density heads and the regime-community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factorization. The gain is therefore cross-channel density modeling rather than the window representation.</w:t>
      </w:r>
    </w:p>
    <w:bookmarkEnd w:id="13"/>
    <w:bookmarkStart w:id="14" w:name="Xe1595187189a22776b750bdd0e11e1628b2aee7"/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Comment on English, figures, and conclusions.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English could be improved to more clearly express the research. Figures and tables,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conclusions, should be improved.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Response: change made.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revised the front matter and the longer sentences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flagged during restructuring, and a language pass over the whole manuscript is applied to the submitted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version. Two vector figures were added (Figure 1, the IIoT system-model context; Figure 2, the LatAD workflow,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assumption-tagged), the difficult-subset results chart is renumbered Figure 3 with a corrected caption,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Tables 3 to 6 and A1 were regenerated on the corrected, construct-matched data, with GDN added as a new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 in Tables 3 and 4 and in Figure 3. The Conclusion (Section 8) was rewritten to match the scoped claims and the corrected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significance pattern: best overall AUROC on HAI and SWaT, a lead on the difficult subset of all three,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significant margins on HAI and canonical SWaT and a lead over every learned detector on WADI.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Thank you again for the detailed and helpful review. We believe the revision answers 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point, and where the answer is a limitation we have stated it plainly.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</w:t>
      </w:r>
      <w:r>
        <w:rPr>
          <w:rFonts w:ascii="Times New Roman" w:hAnsi="Times New Roman"/>
          <w:b w:val="0"/>
          <w:i/>
          <w:sz w:val="20"/>
        </w:rPr>
        <w:br/>
      </w:r>
      <w:r>
        <w:rPr>
          <w:rFonts w:ascii="Times New Roman" w:hAnsi="Times New Roman"/>
          <w:b w:val="0"/>
          <w:i/>
          <w:sz w:val="20"/>
        </w:rPr>
        <w:t xml:space="preserve">Alexander Apartsin and Yehudit Aperstein</w:t>
      </w:r>
    </w:p>
    <w:bookmarkEnd w:id="14"/>
    <w:bookmarkEnd w:id="15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2026-09-18T16:43:05Z</dcterms:created>
  <dcterms:modified xsi:type="dcterms:W3CDTF">2026-09-18T16:43:05Z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