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D7DFC" w14:textId="30B1D67D" w:rsidR="007E326C" w:rsidRPr="00BF5F39" w:rsidRDefault="007E326C" w:rsidP="007E326C">
      <w:pPr>
        <w:pStyle w:val="MDPI11articletype"/>
      </w:pPr>
      <w:r w:rsidRPr="00BF5F39">
        <w:t>Article</w:t>
      </w:r>
    </w:p>
    <w:p w14:paraId="08970651" w14:textId="088A894A" w:rsidR="007E326C" w:rsidRPr="00BF5F39" w:rsidRDefault="004757AE" w:rsidP="007E326C">
      <w:pPr>
        <w:pStyle w:val="MDPI12title"/>
      </w:pPr>
      <w:r>
        <w:t xml:space="preserve">Title: Concise and Informative</w:t>
      </w:r>
    </w:p>
    <w:p w14:paraId="24D9F5C5" w14:textId="2E36D152" w:rsidR="004A6017" w:rsidRPr="00BF5F39" w:rsidRDefault="00D453B1" w:rsidP="007E326C">
      <w:pPr>
        <w:pStyle w:val="MDPI13authornames"/>
      </w:pPr>
      <w:proofErr w:type="gramStart"/>
      <w:proofErr w:type="gramEnd"/>
      <w:r>
        <w:t xml:space="preserve">Firstname Lastname 1,*, Firstname Lastname 2 and Firstname Lastname 3</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4A6017" w:rsidRPr="00BF5F39" w14:paraId="5F776AF6" w14:textId="77777777" w:rsidTr="000E60BC">
        <w:tc>
          <w:tcPr>
            <w:tcW w:w="2410" w:type="dxa"/>
          </w:tcPr>
          <w:p w14:paraId="58B63DB6" w14:textId="77777777" w:rsidR="004A6017" w:rsidRPr="00BF5F39" w:rsidRDefault="004A6017" w:rsidP="000E60BC">
            <w:pPr>
              <w:pStyle w:val="MDPI15academiceditor"/>
              <w:spacing w:before="0" w:after="120"/>
            </w:pPr>
            <w:r w:rsidRPr="00BF5F39">
              <w:t xml:space="preserve">Academic Editor: </w:t>
            </w:r>
            <w:proofErr w:type="spellStart"/>
            <w:r w:rsidRPr="00BF5F39">
              <w:t>Firstname</w:t>
            </w:r>
            <w:proofErr w:type="spellEnd"/>
            <w:r w:rsidRPr="00BF5F39">
              <w:t xml:space="preserve"> Lastname</w:t>
            </w:r>
          </w:p>
          <w:p w14:paraId="626A6354" w14:textId="77777777" w:rsidR="004A6017" w:rsidRPr="00BF5F39" w:rsidRDefault="004A6017" w:rsidP="000E60BC">
            <w:pPr>
              <w:pStyle w:val="MDPI14history"/>
              <w:spacing w:before="120"/>
            </w:pPr>
            <w:r w:rsidRPr="00BF5F39">
              <w:t>Received: date</w:t>
            </w:r>
          </w:p>
          <w:p w14:paraId="26718328" w14:textId="77777777" w:rsidR="004A6017" w:rsidRPr="00BF5F39" w:rsidRDefault="004A6017" w:rsidP="000E60BC">
            <w:pPr>
              <w:pStyle w:val="MDPI14history"/>
            </w:pPr>
            <w:r w:rsidRPr="00BF5F39">
              <w:t>Revised: date</w:t>
            </w:r>
          </w:p>
          <w:p w14:paraId="6BC14FC0" w14:textId="77777777" w:rsidR="004A6017" w:rsidRPr="00BF5F39" w:rsidRDefault="004A6017" w:rsidP="000E60BC">
            <w:pPr>
              <w:pStyle w:val="MDPI14history"/>
            </w:pPr>
            <w:r w:rsidRPr="00BF5F39">
              <w:t>Accepted: date</w:t>
            </w:r>
          </w:p>
          <w:p w14:paraId="721D57C2" w14:textId="77777777" w:rsidR="004A6017" w:rsidRPr="00BF5F39" w:rsidRDefault="004A6017" w:rsidP="000E60BC">
            <w:pPr>
              <w:pStyle w:val="MDPI14history"/>
              <w:spacing w:after="120"/>
            </w:pPr>
            <w:r w:rsidRPr="00BF5F39">
              <w:t>Published: date</w:t>
            </w:r>
          </w:p>
          <w:p w14:paraId="6ABC939A" w14:textId="77777777" w:rsidR="004A6017" w:rsidRPr="00BF5F39" w:rsidRDefault="004A6017" w:rsidP="000E60BC">
            <w:pPr>
              <w:pStyle w:val="MDPI72copyright"/>
              <w:rPr>
                <w:rFonts w:eastAsia="DengXian"/>
                <w:noProof w:val="0"/>
                <w:lang w:val="en-US" w:bidi="en-US"/>
              </w:rPr>
            </w:pPr>
            <w:r w:rsidRPr="00BF5F39">
              <w:rPr>
                <w:rFonts w:eastAsia="DengXian"/>
                <w:b/>
                <w:noProof w:val="0"/>
                <w:lang w:val="en-US" w:bidi="en-US"/>
              </w:rPr>
              <w:t>Copyright:</w:t>
            </w:r>
            <w:r w:rsidRPr="00BF5F39">
              <w:rPr>
                <w:rFonts w:eastAsia="DengXian"/>
                <w:noProof w:val="0"/>
                <w:lang w:val="en-US" w:bidi="en-US"/>
              </w:rPr>
              <w:t xml:space="preserve"> © </w:t>
            </w:r>
            <w:r>
              <w:rPr>
                <w:rFonts w:eastAsia="DengXian"/>
                <w:noProof w:val="0"/>
                <w:lang w:val="en-US" w:bidi="en-US"/>
              </w:rPr>
              <w:t>2026</w:t>
            </w:r>
            <w:r w:rsidRPr="00BF5F39">
              <w:rPr>
                <w:rFonts w:eastAsia="DengXian"/>
                <w:noProof w:val="0"/>
                <w:lang w:val="en-US" w:bidi="en-US"/>
              </w:rPr>
              <w:t xml:space="preserve"> by the authors. Submitted for possible open access publication under the terms and conditions of the </w:t>
            </w:r>
            <w:hyperlink r:id="rId7" w:history="1">
              <w:r w:rsidRPr="004A6017">
                <w:rPr>
                  <w:rStyle w:val="Hyperlink"/>
                  <w:rFonts w:eastAsia="DengXian"/>
                  <w:noProof w:val="0"/>
                  <w:u w:val="none"/>
                  <w:lang w:val="en-US" w:bidi="en-US"/>
                </w:rPr>
                <w:t>Creative Commons Attribution (CC BY) license</w:t>
              </w:r>
            </w:hyperlink>
            <w:r>
              <w:rPr>
                <w:rFonts w:eastAsia="DengXian"/>
                <w:noProof w:val="0"/>
                <w:lang w:val="en-US" w:bidi="en-US"/>
              </w:rPr>
              <w:t>.</w:t>
            </w:r>
          </w:p>
        </w:tc>
      </w:tr>
    </w:tbl>
    <w:p w14:paraId="034F4E6A" w14:textId="1485AD00" w:rsidR="007E326C" w:rsidRPr="002938C4" w:rsidRDefault="00D06FE4" w:rsidP="007E326C">
      <w:pPr>
        <w:pStyle w:val="MDPI16affiliation"/>
      </w:pPr>
      <w:r>
        <w:t xml:space="preserve">1	First affiliation; email1@example.com</w:t>
      </w:r>
    </w:p>
    <w:p w14:paraId="147FF354" w14:textId="60C20F73" w:rsidR="007E326C" w:rsidRPr="002938C4" w:rsidRDefault="007E326C" w:rsidP="007E326C">
      <w:pPr>
        <w:pStyle w:val="MDPI16affiliation"/>
      </w:pPr>
      <w:r>
        <w:t xml:space="preserve">2	Second affiliation; email2@example.com</w:t>
      </w:r>
    </w:p>
    <w:p w14:paraId="15D03709" w14:textId="2BA5B26E" w:rsidR="008F4315" w:rsidRPr="00BF5F39" w:rsidRDefault="008F4315" w:rsidP="00661717">
      <w:pPr>
        <w:pStyle w:val="MDPI16affiliation"/>
      </w:pPr>
      <w:r>
        <w:t xml:space="preserve">*	Correspondence: corresponding.author@example.com</w:t>
      </w:r>
    </w:p>
    <w:p w14:paraId="0BA6A78D" w14:textId="54A74AB2" w:rsidR="007E326C" w:rsidRPr="00BF5F39" w:rsidRDefault="007E326C" w:rsidP="00D453B1">
      <w:pPr>
        <w:pStyle w:val="MDPI16affiliation"/>
      </w:pPr>
      <w:r>
        <w:t xml:space="preserve"/>
      </w:r>
    </w:p>
    <w:p w14:paraId="13768206" w14:textId="77777777" w:rsidR="00D756C4" w:rsidRPr="00D756C4" w:rsidRDefault="007E326C" w:rsidP="00D756C4">
      <w:pPr>
        <w:pStyle w:val="MDPI17abstract"/>
        <w:jc w:val="left"/>
        <w:rPr>
          <w:b/>
        </w:rPr>
      </w:pPr>
      <w:r w:rsidRPr="00D756C4">
        <w:rPr>
          <w:b/>
        </w:rPr>
        <w:t>Abstract</w:t>
      </w:r>
    </w:p>
    <w:bookmarkEnd w:id="2"/>
    <w:bookmarkEnd w:id="3"/>
    <w:bookmarkEnd w:id="4"/>
    <w:bookmarkEnd w:id="7"/>
    <w:bookmarkEnd w:id="8"/>
    <w:bookmarkEnd w:id="9"/>
    <w:bookmarkEnd w:id="13"/>
    <w:bookmarkEnd w:id="14"/>
    <w:bookmarkEnd w:id="15"/>
    <w:p>
      <w:pPr>
        <w:pStyle w:val="MDPI17abstract"/>
      </w:pPr>
      <w:r>
        <w:t xml:space="preserve">Fault detection in networked cyber-physical systems (CPS), which form the sensing and actuation layer of industrial Internet-of-Things deployments, is difficult because faults are rare and poorly represented in available data. Detection must therefore rely on models of normal behaviour rather than representative fault examples. However, existing AI methods often fail because they ignore the unique structure of CPS, where stochastic behaviour is constrained by physical laws, engineered control logic, and numerous operating regimes. More generally, normal CPS behaviour is not a single distribution, but a union of many imbalanced, curved, and sparsely populated regimes. We formalize this structure through ten assumptions, A1–A10, summarized as</w:t>
      </w:r>
      <w:r>
        <w:t xml:space="preserve"> </w:t>
      </w:r>
      <w:r>
        <w:rPr>
          <w:i/>
          <w:iCs/>
        </w:rPr>
        <w:t xml:space="preserve">Massive, Implicit, Imbalanced Multimodality</w:t>
      </w:r>
      <w:r>
        <w:t xml:space="preserve"> </w:t>
      </w:r>
      <w:r>
        <w:t xml:space="preserve">(MIIM). Based on these assumptions, we jointly learn a latent representation and a Gaussian-mixture clustering of operating modes. Anomaly scores are computed in the clustered latent space rather than from data-space reconstruction error. Aggregate scores are dominated by trivially detectable faults, so we evaluate under raw point-wise metrics with a difficulty split that isolates the stealthy, joint-structure faults a simple per-channel detector cannot see. Across three real CPS attack benchmarks (WADI, HAI, and SWaT), the detector attains the best overall AUROC on every dataset (0.792, 0.933, and 0.991). On the stealthy difficult subset it is strongest on HAI (0.811 over five seeds, a statistically significant margin over the next-best baseline, paired episode-bootstrap 95% CI on the difference [0.015, 0.089]), and it matches the strongest baseline on WADI (0.690) and SWaT (0.960); the HAI advantage persists under a stronger difficulty split that also removes any window separable by a single per-channel statistic. On a stricter double-hard subset that additionally removes windows a linear cross-channel predictor separates, the detector has the highest mean AUROC on all three datasets, with statistically supported superiority on HAI and numerical leads on the smaller WADI and single-episode SWaT subsets. On WADI and HAI, whose difficult faults are reconstructable but improbable sensor combinations that reconstruction error cannot separate from normal, the deep detectors USAD and TranAD collapse to 0.30–0.50. The contributions are the MIIM assumptions, the difficulty-stratified protocol, and a latent-primary anomaly score with an auto-gated reconstruction-residual head.</w:t>
      </w:r>
    </w:p>
    <w:p>
      <w:pPr>
        <w:pStyle w:val="MDPI18keywords"/>
        <w:ind w:left="2608"/>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p>
      <w:pPr>
        <w:pStyle w:val="MDPI21heading1"/>
        <w:ind w:left="2608"/>
      </w:pPr>
      <w:r>
        <w:t xml:space="preserve">1  Introduction</w:t>
      </w:r>
    </w:p>
    <w:p>
      <w:pPr>
        <w:pStyle w:val="MDPI32textnoindent"/>
        <w:ind w:left="2608"/>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1</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MDPI31text"/>
        <w:ind w:left="2608"/>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MDPI31text"/>
        <w:ind w:left="2608"/>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3</w:t>
        </w:r>
      </w:hyperlink>
      <w:r>
        <w:t xml:space="preserve">,</w:t>
      </w:r>
      <w:r>
        <w:t xml:space="preserve"> </w:t>
      </w:r>
      <w:hyperlink w:anchor="r-garg">
        <w:r>
          <w:rPr>
            <w:rStyle w:val="Hyperlink"/>
          </w:rPr>
          <w:t xml:space="preserve">4</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MDPI31text"/>
        <w:ind w:left="2608"/>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one concrete realization of these assumptions, whose whole design is</w:t>
      </w:r>
      <w:r>
        <w:t xml:space="preserve"> </w:t>
      </w:r>
      <w:r>
        <w:t xml:space="preserve">faithfully modeling that normal law: a jointly learned latent plus explicit Gaussian-mixture mode clustering</w:t>
      </w:r>
      <w:r>
        <w:t xml:space="preserve"> </w:t>
      </w:r>
      <w:r>
        <w:t xml:space="preserve">(VaDE), scored in the latent by a mixture density head and a rare-mode-safe nearest-component likelihood; a key mechanism is demoting reconstruction from the</w:t>
      </w:r>
      <w:r>
        <w:t xml:space="preserve"> </w:t>
      </w:r>
      <w:r>
        <w:t xml:space="preserve">default score, since a flexible decoder reconstructs the hard faults faithfully, while an optional</w:t>
      </w:r>
      <w:r>
        <w:t xml:space="preserve"> </w:t>
      </w:r>
      <w:r>
        <w:t xml:space="preserve">reconstruction-residual head is auto-gated back on only where it provably generalises to held-out normal</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raw point-wise F1, train-normal-only calibration) on</w:t>
      </w:r>
      <w:r>
        <w:t xml:space="preserve"> </w:t>
      </w:r>
      <w:r>
        <w:t xml:space="preserve">three real CPS attack benchmarks, and compare against classical baselines and against two deep detectors, USAD</w:t>
      </w:r>
      <w:r>
        <w:t xml:space="preserve"> </w:t>
      </w:r>
      <w:r>
        <w:t xml:space="preserve">and TranAD, re-computed with the same raw metrics (§5–6). The detector attains the best overall AUROC</w:t>
      </w:r>
      <w:r>
        <w:t xml:space="preserve"> </w:t>
      </w:r>
      <w:r>
        <w:t xml:space="preserve">on every dataset and is strongest on the difficult subset over five seeds, most decisively and significantly on</w:t>
      </w:r>
      <w:r>
        <w:t xml:space="preserve"> </w:t>
      </w:r>
      <w:r>
        <w:t xml:space="preserve">HAI, where the difficult faults break joint structure and the deep detectors collapse; on WADI and SWaT it ties</w:t>
      </w:r>
      <w:r>
        <w:t xml:space="preserve"> </w:t>
      </w:r>
      <w:r>
        <w:t xml:space="preserve">the strongest baseline at the top of the difficult column.</w:t>
      </w:r>
    </w:p>
    <w:p>
      <w:pPr>
        <w:pStyle w:val="MDPI31text"/>
        <w:ind w:left="2608"/>
      </w:pPr>
      <w:r>
        <w:t xml:space="preserve">We are explicit about scope. This study covers three datasets with a single trained model</w:t>
      </w:r>
      <w:r>
        <w:t xml:space="preserve"> </w:t>
      </w:r>
      <w:r>
        <w:t xml:space="preserve">per dataset; AUROC is reported as a five-seed mean and the best-F1 threshold is an oracle (disclosed in §5). We</w:t>
      </w:r>
      <w:r>
        <w:t xml:space="preserve"> </w:t>
      </w:r>
      <w:r>
        <w:t xml:space="preserve">report only raw metrics and we treat the difficult subset, not the headline, as the discriminative test.</w:t>
      </w:r>
    </w:p>
    <w:p>
      <w:pPr>
        <w:pStyle w:val="MDPI21heading1"/>
        <w:ind w:left="2608"/>
      </w:pPr>
      <w:r>
        <w:t xml:space="preserve">2  Related work</w:t>
      </w:r>
    </w:p>
    <w:p>
      <w:pPr>
        <w:pStyle w:val="MDPI32textnoindent"/>
        <w:ind w:left="2608"/>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1</w:t>
        </w:r>
      </w:hyperlink>
      <w:r>
        <w:t xml:space="preserve">, </w:t>
      </w:r>
      <w:hyperlink w:anchor="r-pang">
        <w:r>
          <w:rPr>
            <w:rStyle w:val="Hyperlink"/>
          </w:rPr>
          <w:t xml:space="preserve">6</w:t>
        </w:r>
      </w:hyperlink>
      <w:r>
        <w:t xml:space="preserve">, </w:t>
      </w:r>
      <w:hyperlink w:anchor="r-ruff">
        <w:r>
          <w:rPr>
            <w:rStyle w:val="Hyperlink"/>
          </w:rPr>
          <w:t xml:space="preserve">2</w:t>
        </w:r>
      </w:hyperlink>
      <w:r>
        <w:t xml:space="preserve">]. On time series it must additionally respect temporal and cross-channel dependence [</w:t>
      </w:r>
      <w:hyperlink w:anchor="r-tsreview">
        <w:r>
          <w:rPr>
            <w:rStyle w:val="Hyperlink"/>
          </w:rPr>
          <w:t xml:space="preserve">7</w:t>
        </w:r>
      </w:hyperlink>
      <w:r>
        <w:t xml:space="preserve">], and on cyber-physical and industrial control systems it underpins physics-aware intrusion and fault detection [</w:t>
      </w:r>
      <w:hyperlink w:anchor="r-icssurvey">
        <w:r>
          <w:rPr>
            <w:rStyle w:val="Hyperlink"/>
          </w:rPr>
          <w:t xml:space="preserve">8</w:t>
        </w:r>
      </w:hyperlink>
      <w:r>
        <w:t xml:space="preserve">]. LatAD sits squarely in this line: unsupervised, trained on normal only, and specialised to the multimodal structure of cyber-physical normal behaviour.</w:t>
      </w:r>
    </w:p>
    <w:p>
      <w:pPr>
        <w:pStyle w:val="MDPI22heading2"/>
        <w:ind w:left="2608"/>
      </w:pPr>
      <w:r>
        <w:t xml:space="preserve">2.1  The illusion of progress in time-series anomaly-detection evaluation</w:t>
      </w:r>
    </w:p>
    <w:p>
      <w:pPr>
        <w:pStyle w:val="MDPI32textnoindent"/>
        <w:ind w:left="2608"/>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3</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4</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9</w:t>
        </w:r>
      </w:hyperlink>
      <w:r>
        <w:t xml:space="preserve">]</w:t>
      </w:r>
      <w:r>
        <w:t xml:space="preserve"> </w:t>
      </w:r>
      <w:r>
        <w:t xml:space="preserve">diagnose the point-adjustment reward structure and propose a rectified evaluation, and proximity- and event-aware</w:t>
      </w:r>
      <w:r>
        <w:t xml:space="preserve"> </w:t>
      </w:r>
      <w:r>
        <w:t xml:space="preserve">metrics such as PATE [</w:t>
      </w:r>
      <w:hyperlink w:anchor="r-pate">
        <w:r>
          <w:rPr>
            <w:rStyle w:val="Hyperlink"/>
          </w:rPr>
          <w:t xml:space="preserve">10</w:t>
        </w:r>
      </w:hyperlink>
      <w:r>
        <w:t xml:space="preserve">] move beyond point adjustment altogether. The critique now spans metrics and benchmarks alike. Wu and Keogh</w:t>
      </w:r>
      <w:r>
        <w:t xml:space="preserve"> </w:t>
      </w:r>
      <w:r>
        <w:t xml:space="preserve">[</w:t>
      </w:r>
      <w:hyperlink w:anchor="r-wukeogh">
        <w:r>
          <w:rPr>
            <w:rStyle w:val="Hyperlink"/>
          </w:rPr>
          <w:t xml:space="preserve">5</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11</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 Recent</w:t>
      </w:r>
      <w:r>
        <w:t xml:space="preserve"> </w:t>
      </w:r>
      <w:r>
        <w:t xml:space="preserve">large-scale benchmarks confirm that detector rankings are strongly dataset-dependent [</w:t>
      </w:r>
      <w:hyperlink w:anchor="r-tab">
        <w:r>
          <w:rPr>
            <w:rStyle w:val="Hyperlink"/>
          </w:rPr>
          <w:t xml:space="preserve">12</w:t>
        </w:r>
      </w:hyperlink>
      <w:r>
        <w:t xml:space="preserve">],</w:t>
      </w:r>
      <w:r>
        <w:t xml:space="preserve"> </w:t>
      </w:r>
      <w:r>
        <w:t xml:space="preserve">which is why we read every method per dataset and per difficulty subset rather than by a single headline number.</w:t>
      </w:r>
    </w:p>
    <w:p>
      <w:pPr>
        <w:pStyle w:val="MDPI31text"/>
        <w:ind w:left="2608"/>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13</w:t>
        </w:r>
      </w:hyperlink>
      <w:r>
        <w:t xml:space="preserve">] show this assumption is unreliable, because anomalies lying far from normal data can be reconstructed perfectly in practice, and Gong et al. [</w:t>
      </w:r>
      <w:hyperlink w:anchor="r-memae">
        <w:r>
          <w:rPr>
            <w:rStyle w:val="Hyperlink"/>
          </w:rPr>
          <w:t xml:space="preserve">14</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15</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16</w:t>
        </w:r>
      </w:hyperlink>
      <w:r>
        <w:t xml:space="preserve">] re-audit the widely used multivariate benchmarks, discard the ones with erroneous labels, and note the absence of any standard evaluation metric.</w:t>
      </w:r>
    </w:p>
    <w:p>
      <w:pPr>
        <w:pStyle w:val="MDPI31text"/>
        <w:ind w:left="2608"/>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and re-computation of the deep SOTA baselines</w:t>
      </w:r>
      <w:r>
        <w:t xml:space="preserve"> </w:t>
      </w:r>
      <w:r>
        <w:t xml:space="preserve">(USAD and TranAD) under the</w:t>
      </w:r>
      <w:r>
        <w:t xml:space="preserve"> </w:t>
      </w:r>
      <w:r>
        <w:rPr>
          <w:i/>
          <w:iCs/>
        </w:rPr>
        <w:t xml:space="preserve">same</w:t>
      </w:r>
      <w:r>
        <w:t xml:space="preserve"> </w:t>
      </w:r>
      <w:r>
        <w:t xml:space="preserve">raw metrics rather than their point-adjusted published figures</w:t>
      </w:r>
      <w:r>
        <w:t xml:space="preserve"> </w:t>
      </w:r>
      <w:r>
        <w:t xml:space="preserve">(§5).</w:t>
      </w:r>
    </w:p>
    <w:p>
      <w:pPr>
        <w:pStyle w:val="MDPI22heading2"/>
        <w:ind w:left="2608"/>
      </w:pPr>
      <w:r>
        <w:t xml:space="preserve">2.2  Latent and clustering models for anomaly detection</w:t>
      </w:r>
    </w:p>
    <w:p>
      <w:pPr>
        <w:pStyle w:val="MDPI32textnoindent"/>
        <w:ind w:left="2608"/>
      </w:pPr>
      <w:r>
        <w:t xml:space="preserve">Our representation is Variational Deep Embedding (VaDE) [</w:t>
      </w:r>
      <w:hyperlink w:anchor="r-vade">
        <w:r>
          <w:rPr>
            <w:rStyle w:val="Hyperlink"/>
          </w:rPr>
          <w:t xml:space="preserve">17</w:t>
        </w:r>
      </w:hyperlink>
      <w:r>
        <w:t xml:space="preserve">], a VAE with a Gaussian-mixture</w:t>
      </w:r>
      <w:r>
        <w:t xml:space="preserve"> </w:t>
      </w:r>
      <w:r>
        <w:t xml:space="preserve">latent prior that learns representation and clusters jointly. DAGMM [</w:t>
      </w:r>
      <w:hyperlink w:anchor="r-dagmm">
        <w:r>
          <w:rPr>
            <w:rStyle w:val="Hyperlink"/>
          </w:rPr>
          <w:t xml:space="preserve">18</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19</w:t>
        </w:r>
      </w:hyperlink>
      <w:r>
        <w:t xml:space="preserve">]. Classical baselines are Isolation Forest [</w:t>
      </w:r>
      <w:hyperlink w:anchor="r-if">
        <w:r>
          <w:rPr>
            <w:rStyle w:val="Hyperlink"/>
          </w:rPr>
          <w:t xml:space="preserve">20</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p>
      <w:pPr>
        <w:pStyle w:val="MDPI22heading2"/>
        <w:ind w:left="2608"/>
      </w:pPr>
      <w:r>
        <w:t xml:space="preserve">2.3  Deep multivariate CPS anomaly detection</w:t>
      </w:r>
    </w:p>
    <w:p>
      <w:pPr>
        <w:pStyle w:val="MDPI32textnoindent"/>
        <w:ind w:left="2608"/>
      </w:pPr>
      <w:r>
        <w:t xml:space="preserve">USAD [</w:t>
      </w:r>
      <w:hyperlink w:anchor="r-usad">
        <w:r>
          <w:rPr>
            <w:rStyle w:val="Hyperlink"/>
          </w:rPr>
          <w:t xml:space="preserve">22</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a widely used deep SOTA on SWaT/WADI-style benchmarks. More recent detectors refine rather than</w:t>
      </w:r>
      <w:r>
        <w:t xml:space="preserve"> </w:t>
      </w:r>
      <w:r>
        <w:t xml:space="preserve">abandon reconstruction: SensitiveHUE [</w:t>
      </w:r>
      <w:hyperlink w:anchor="r-sensitivehue">
        <w:r>
          <w:rPr>
            <w:rStyle w:val="Hyperlink"/>
          </w:rPr>
          <w:t xml:space="preserve">25</w:t>
        </w:r>
      </w:hyperlink>
      <w:r>
        <w:t xml:space="preserve">] models per-variable heteroscedastic</w:t>
      </w:r>
      <w:r>
        <w:t xml:space="preserve"> </w:t>
      </w:r>
      <w:r>
        <w:t xml:space="preserve">uncertainty to sharpen sensitivity to normal patterns, and CATCH [</w:t>
      </w:r>
      <w:hyperlink w:anchor="r-catch">
        <w:r>
          <w:rPr>
            <w:rStyle w:val="Hyperlink"/>
          </w:rPr>
          <w:t xml:space="preserve">26</w:t>
        </w:r>
      </w:hyperlink>
      <w:r>
        <w:t xml:space="preserve">] learns channel</w:t>
      </w:r>
      <w:r>
        <w:t xml:space="preserve"> </w:t>
      </w:r>
      <w:r>
        <w:t xml:space="preserve">correlations through frequency-domain patching. Both remain reconstruction-based, so the mechanism analysis of</w:t>
      </w:r>
      <w:r>
        <w:t xml:space="preserve"> </w:t>
      </w:r>
      <w:r>
        <w:t xml:space="preserve">§7 predicts they too will miss the reconstructable-but-improbable joint faults that define our difficult</w:t>
      </w:r>
      <w:r>
        <w:t xml:space="preserve"> </w:t>
      </w:r>
      <w:r>
        <w:t xml:space="preserve">subset. We benchmark USAD and TranAD, the reconstruction- and transformer-based deep detectors, under the same</w:t>
      </w:r>
      <w:r>
        <w:t xml:space="preserve"> </w:t>
      </w:r>
      <w:r>
        <w:t xml:space="preserve">raw, difficulty-stratified metrics over five seeds (the re-scored comparison is in §6), and additionally</w:t>
      </w:r>
      <w:r>
        <w:t xml:space="preserve"> </w:t>
      </w:r>
      <w:r>
        <w:t xml:space="preserve">re-run the cross-channel GDN under the identical raw protocol where its per-window graph training was tractable</w:t>
      </w:r>
      <w:r>
        <w:t xml:space="preserve"> </w:t>
      </w:r>
      <w:r>
        <w:t xml:space="preserve">(SWaT). A raw-metric evaluation of the newer reconstruction detectors (SensitiveHUE, CATCH) is left to future</w:t>
      </w:r>
      <w:r>
        <w:t xml:space="preserve"> </w:t>
      </w:r>
      <w:r>
        <w:t xml:space="preserve">work.</w:t>
      </w:r>
    </w:p>
    <w:p>
      <w:pPr>
        <w:pStyle w:val="MDPI31text"/>
        <w:ind w:left="2608"/>
      </w:pPr>
      <w:r>
        <w:t xml:space="preserve">Beyond public benchmarks, sensor-driven condition monitoring and fault prediction in operational CPS motivate</w:t>
      </w:r>
      <w:r>
        <w:t xml:space="preserve"> </w:t>
      </w:r>
      <w:r>
        <w:t xml:space="preserve">modelling the multivariate sensor stream directly: vibration-based machine diagnostics [</w:t>
      </w:r>
      <w:hyperlink w:anchor="r-gearbox">
        <w:r>
          <w:rPr>
            <w:rStyle w:val="Hyperlink"/>
          </w:rPr>
          <w:t xml:space="preserve">27</w:t>
        </w:r>
      </w:hyperlink>
      <w:r>
        <w:t xml:space="preserve">, </w:t>
      </w:r>
      <w:hyperlink w:anchor="r-vibdecomp">
        <w:r>
          <w:rPr>
            <w:rStyle w:val="Hyperlink"/>
          </w:rPr>
          <w:t xml:space="preserve">28</w:t>
        </w:r>
      </w:hyperlink>
      <w:r>
        <w:t xml:space="preserve">],</w:t>
      </w:r>
      <w:r>
        <w:t xml:space="preserve"> </w:t>
      </w:r>
      <w:r>
        <w:t xml:space="preserve">structural-health monitoring of rotorcraft components [</w:t>
      </w:r>
      <w:hyperlink w:anchor="r-bolt">
        <w:r>
          <w:rPr>
            <w:rStyle w:val="Hyperlink"/>
          </w:rPr>
          <w:t xml:space="preserve">29</w:t>
        </w:r>
      </w:hyperlink>
      <w:r>
        <w:t xml:space="preserve">], and fault prediction in</w:t>
      </w:r>
      <w:r>
        <w:t xml:space="preserve"> </w:t>
      </w:r>
      <w:r>
        <w:t xml:space="preserve">rotorcraft flight controls [</w:t>
      </w:r>
      <w:hyperlink w:anchor="r-rotorcraft">
        <w:r>
          <w:rPr>
            <w:rStyle w:val="Hyperlink"/>
          </w:rPr>
          <w:t xml:space="preserve">30</w:t>
        </w:r>
      </w:hyperlink>
      <w:r>
        <w:t xml:space="preserve">]. LatAD generalises this applied line to unsupervised,</w:t>
      </w:r>
      <w:r>
        <w:t xml:space="preserve"> </w:t>
      </w:r>
      <w:r>
        <w:t xml:space="preserve">multimodal-latent anomaly detection.</w:t>
      </w:r>
    </w:p>
    <w:p>
      <w:pPr>
        <w:pStyle w:val="MDPI22heading2"/>
        <w:ind w:left="2608"/>
      </w:pPr>
      <w:r>
        <w:t xml:space="preserve">2.4  Benchmark datasets</w:t>
      </w:r>
    </w:p>
    <w:p>
      <w:pPr>
        <w:pStyle w:val="MDPI32textnoindent"/>
        <w:ind w:left="2608"/>
      </w:pPr>
      <w:r>
        <w:t xml:space="preserve">We evaluate on three real CPS attack testbeds. WADI [</w:t>
      </w:r>
      <w:hyperlink w:anchor="r-wadi">
        <w:r>
          <w:rPr>
            <w:rStyle w:val="Hyperlink"/>
          </w:rPr>
          <w:t xml:space="preserve">31</w:t>
        </w:r>
      </w:hyperlink>
      <w:r>
        <w:t xml:space="preserve">] is a 123-channel water-distribution testbed from iTrust, and SWaT [</w:t>
      </w:r>
      <w:hyperlink w:anchor="r-swat">
        <w:r>
          <w:rPr>
            <w:rStyle w:val="Hyperlink"/>
          </w:rPr>
          <w:t xml:space="preserve">32</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3</w:t>
        </w:r>
      </w:hyperlink>
      <w:r>
        <w:t xml:space="preserve">, </w:t>
      </w:r>
      <w:hyperlink w:anchor="r-wukeogh">
        <w:r>
          <w:rPr>
            <w:rStyle w:val="Hyperlink"/>
          </w:rPr>
          <w:t xml:space="preserve">5</w:t>
        </w:r>
      </w:hyperlink>
      <w:r>
        <w:t xml:space="preserve">]. HAI [</w:t>
      </w:r>
      <w:hyperlink w:anchor="r-hai">
        <w:r>
          <w:rPr>
            <w:rStyle w:val="Hyperlink"/>
          </w:rPr>
          <w:t xml:space="preserve">33</w:t>
        </w:r>
      </w:hyperlink>
      <w:r>
        <w:t xml:space="preserve">] is a 59-channel hardware-in-the-loop industrial control testbed spanning several coupled processes. All three carry real executed attacks and are strongly multimodal (BIC-optimal mode counts</w:t>
      </w:r>
      <w:r>
        <w:t xml:space="preserve"> </w:t>
      </w:r>
      <w:r>
        <w:rPr>
          <w:i/>
          <w:iCs/>
        </w:rPr>
        <w:t xml:space="preserve">K</w:t>
      </w:r>
      <w:r>
        <w:t xml:space="preserve">* ≥ 22; §3), so the difficulty-stratified results read directly against the MIIM structure of each dataset.</w:t>
      </w:r>
    </w:p>
    <w:p>
      <w:pPr>
        <w:pStyle w:val="MDPI21heading1"/>
        <w:ind w:left="2608"/>
      </w:pPr>
      <w:r>
        <w:t xml:space="preserve">3  The MIIM assumptions about CPS normal data</w:t>
      </w:r>
    </w:p>
    <w:p>
      <w:pPr>
        <w:pStyle w:val="MDPI32textnoindent"/>
        <w:ind w:left="2608"/>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MDPI41tablecaption"/>
        <w:ind w:left="2608"/>
      </w:pPr>
      <w:r>
        <w:rPr>
          <w:b/>
          <w:bCs/>
        </w:rPr>
        <w:t xml:space="preserve">Table 1.</w:t>
      </w:r>
      <w:r>
        <w:t xml:space="preserve"> </w:t>
      </w:r>
      <w:r>
        <w:t xml:space="preserve">The ten CPS normal-data assumptions, their physical origin, and the detector</w:t>
      </w:r>
      <w:r>
        <w:t xml:space="preserve"> </w:t>
      </w:r>
      <w:r>
        <w:t xml:space="preserve">design choice each motivates. A1–A8 shape the instantaneous window; A9–A10 shape the trajectory.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5"/>
        <w:gridCol w:w="1811"/>
        <w:gridCol w:w="3003"/>
        <w:gridCol w:w="254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 GMM prior of VaDE.</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Mode explosion</w:t>
            </w:r>
            <w:r>
              <w:rPr>
                <w:sz w:val="18"/>
                <w:szCs w:val="18"/>
              </w:rPr>
              <w:t xml:space="preserve"> </w:t>
            </w:r>
            <w:r>
              <w:rPr>
                <w:sz w:val="18"/>
                <w:szCs w:val="18"/>
              </w:rPr>
              <w:t xml:space="preserve">(exponential mode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mode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w:t>
            </w:r>
            <w:r>
              <w:rPr>
                <w:i/>
                <w:iCs/>
                <w:sz w:val="18"/>
                <w:szCs w:val="18"/>
              </w:rPr>
              <w:t xml:space="preserve">K</w:t>
            </w:r>
            <w:r>
              <w:rPr>
                <w:sz w:val="18"/>
                <w:szCs w:val="18"/>
              </w:rPr>
              <w:t xml:space="preserve"> </w:t>
            </w:r>
            <w:r>
              <w:rPr>
                <w:sz w:val="18"/>
                <w:szCs w:val="18"/>
              </w:rPr>
              <w:t xml:space="preserve">density head) rather than a handful.</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Hard envelopes</w:t>
            </w:r>
            <w:r>
              <w:rPr>
                <w:sz w:val="18"/>
                <w:szCs w:val="18"/>
              </w:rPr>
              <w:t xml:space="preserve"> </w:t>
            </w:r>
            <w:r>
              <w:rPr>
                <w:sz w:val="18"/>
                <w:szCs w:val="18"/>
              </w:rPr>
              <w:t xml:space="preserve">(bounded modes; thin between-mode pockets)</w:t>
            </w:r>
          </w:p>
        </w:tc>
        <w:tc>
          <w:tcPr>
            <w:vAlign w:val="center"/>
          </w:tcPr>
          <w:p>
            <w:pPr>
              <w:pStyle w:val="Compact"/>
              <w:suppressAutoHyphens/>
              <w:jc w:val="center"/>
            </w:pPr>
            <w:r>
              <w:rPr>
                <w:sz w:val="18"/>
                <w:szCs w:val="18"/>
              </w:rPr>
              <w:t xml:space="preserve">Controllers hold each regime within setpoint/actuator bands; the space between regimes is passed through, rarely dwelt in, leaving thin anomalous pockets.</w:t>
            </w:r>
          </w:p>
        </w:tc>
        <w:tc>
          <w:tcPr>
            <w:vAlign w:val="center"/>
          </w:tcPr>
          <w:p>
            <w:pPr>
              <w:pStyle w:val="Compact"/>
              <w:suppressAutoHyphens/>
              <w:jc w:val="center"/>
            </w:pPr>
            <w:r>
              <w:rPr>
                <w:sz w:val="18"/>
                <w:szCs w:val="18"/>
              </w:rPr>
              <w:t xml:space="preserve">A between-mode point must score anomalous even when every channel is in range: the basin-agreement head (v).</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(intra-mode sparsity)</w:t>
            </w:r>
          </w:p>
        </w:tc>
        <w:tc>
          <w:tcPr>
            <w:vAlign w:val="center"/>
          </w:tcPr>
          <w:p>
            <w:pPr>
              <w:pStyle w:val="Compact"/>
              <w:suppressAutoHyphens/>
              <w:jc w:val="center"/>
            </w:pPr>
            <w:r>
              <w:rPr>
                <w:sz w:val="18"/>
                <w:szCs w:val="18"/>
              </w:rPr>
              <w:t xml:space="preserve">Within a mode the system dwells near a typical operating point and reaches the edges only occasionally; each mode holds legitimate low-density regions near its boundary.</w:t>
            </w:r>
          </w:p>
        </w:tc>
        <w:tc>
          <w:tcPr>
            <w:vAlign w:val="center"/>
          </w:tcPr>
          <w:p>
            <w:pPr>
              <w:pStyle w:val="Compact"/>
              <w:suppressAutoHyphens/>
              <w:jc w:val="center"/>
            </w:pPr>
            <w:r>
              <w:rPr>
                <w:sz w:val="18"/>
                <w:szCs w:val="18"/>
              </w:rPr>
              <w:t xml:space="preserve">Density inside a mode is non-Gaussian → a parametric high-</w:t>
            </w:r>
            <w:r>
              <w:rPr>
                <w:i/>
                <w:iCs/>
                <w:sz w:val="18"/>
                <w:szCs w:val="18"/>
              </w:rPr>
              <w:t xml:space="preserve">K</w:t>
            </w:r>
            <w:r>
              <w:rPr>
                <w:sz w:val="18"/>
                <w:szCs w:val="18"/>
              </w:rPr>
              <w:t xml:space="preserve"> </w:t>
            </w:r>
            <w:r>
              <w:rPr>
                <w:sz w:val="18"/>
                <w:szCs w:val="18"/>
              </w:rPr>
              <w:t xml:space="preserve">mixture density head, not one Gaussian per mode.</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6–16 across datasets) suffices; faults appear as departures within that latent.</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mode is not penalised (iii).</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modes)</w:t>
            </w:r>
          </w:p>
        </w:tc>
        <w:tc>
          <w:tcPr>
            <w:vAlign w:val="center"/>
          </w:tcPr>
          <w:p>
            <w:pPr>
              <w:pStyle w:val="Compact"/>
              <w:suppressAutoHyphens/>
              <w:jc w:val="center"/>
            </w:pPr>
            <w:r>
              <w:rPr>
                <w:sz w:val="18"/>
                <w:szCs w:val="18"/>
              </w:rPr>
              <w:t xml:space="preserve">True regimes are an emergent artifact of coupling and are not logged; modes must be discovered approximately from raw streams.</w:t>
            </w:r>
          </w:p>
        </w:tc>
        <w:tc>
          <w:tcPr>
            <w:vAlign w:val="center"/>
          </w:tcPr>
          <w:p>
            <w:pPr>
              <w:pStyle w:val="Compact"/>
              <w:suppressAutoHyphens/>
              <w:jc w:val="center"/>
            </w:pPr>
            <w:r>
              <w:rPr>
                <w:sz w:val="18"/>
                <w:szCs w:val="18"/>
              </w:rPr>
              <w:t xml:space="preserve">Discover modes jointly with the representation (VaDE), unsupervised; never use mode labels.</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(heterogeneous, typed channels)</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Per-feature standardisation on train-normal; a whitened (Mahalanobis) residual that respects per-channel scale and cross-channel correlation (iv).</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(but, empirically, does not require) explicit temporal features.</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it is inert (see §7), so the reported model is window-only.</w:t>
            </w:r>
          </w:p>
        </w:tc>
      </w:tr>
    </w:tbl>
    <w:p>
      <w:pPr>
        <w:pStyle w:val="MDPI31text"/>
        <w:ind w:left="2608"/>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p>
      <w:pPr>
        <w:pStyle w:val="MDPI21heading1"/>
        <w:ind w:left="2608"/>
      </w:pPr>
      <w:r>
        <w:t xml:space="preserve">4  Method</w:t>
      </w:r>
    </w:p>
    <w:p>
      <w:pPr>
        <w:pStyle w:val="MDPI32textnoindent"/>
        <w:ind w:left="2608"/>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MDPI31text"/>
        <w:ind w:left="2608"/>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p>
      <w:pPr>
        <w:pStyle w:val="MDPI31text"/>
        <w:ind w:left="2608"/>
      </w:pPr>
      <w:r>
        <w:rPr>
          <w:b/>
          <w:bCs/>
        </w:rPr>
        <w:t xml:space="preserve">One realization of the assumptions.</w:t>
      </w:r>
      <w:r>
        <w:t xml:space="preserve"> </w:t>
      </w:r>
      <w:r>
        <w:t xml:space="preserve">A1–A10 specify</w:t>
      </w:r>
      <w:r>
        <w:t xml:space="preserve"> </w:t>
      </w:r>
      <w:r>
        <w:rPr>
          <w:i/>
          <w:iCs/>
        </w:rPr>
        <w:t xml:space="preserve">what</w:t>
      </w:r>
      <w:r>
        <w:t xml:space="preserve"> </w:t>
      </w:r>
      <w:r>
        <w:t xml:space="preserve">a model of CPS normal</w:t>
      </w:r>
      <w:r>
        <w:t xml:space="preserve"> </w:t>
      </w:r>
      <w:r>
        <w:t xml:space="preserve">must capture — a massive, implicit, imbalanced multimodal law with thin fringes and rare regimes — not</w:t>
      </w:r>
      <w:r>
        <w:t xml:space="preserve"> </w:t>
      </w:r>
      <w:r>
        <w:rPr>
          <w:i/>
          <w:iCs/>
        </w:rPr>
        <w:t xml:space="preserve">how</w:t>
      </w:r>
      <w:r>
        <w:t xml:space="preserve"> </w:t>
      </w:r>
      <w:r>
        <w:t xml:space="preserve">to implement it. The detector described below is one concrete realization, reported in full so that</w:t>
      </w:r>
      <w:r>
        <w:t xml:space="preserve"> </w:t>
      </w:r>
      <w:r>
        <w:t xml:space="preserve">each of its choices is auditable; but each choice is a point in a larger design space that the same assumptions</w:t>
      </w:r>
      <w:r>
        <w:t xml:space="preserve"> </w:t>
      </w:r>
      <w:r>
        <w:t xml:space="preserve">admit. Regime separation (A1, A7) is realized here by a jointly learned VaDE Gaussian mixture, yet the assumptions</w:t>
      </w:r>
      <w:r>
        <w:t xml:space="preserve"> </w:t>
      </w:r>
      <w:r>
        <w:t xml:space="preserve">equally admit correlation-structure clustering or other unsupervised partitioners. Intra-mode density (A2, A4) is</w:t>
      </w:r>
      <w:r>
        <w:t xml:space="preserve"> </w:t>
      </w:r>
      <w:r>
        <w:t xml:space="preserve">realized here by a single high-</w:t>
      </w:r>
      <w:r>
        <w:rPr>
          <w:i/>
          <w:iCs/>
        </w:rPr>
        <w:t xml:space="preserve">K</w:t>
      </w:r>
      <w:r>
        <w:t xml:space="preserve"> </w:t>
      </w:r>
      <w:r>
        <w:t xml:space="preserve">latent mixture, yet equally by non-parametric estimators or by ensembles</w:t>
      </w:r>
      <w:r>
        <w:t xml:space="preserve"> </w:t>
      </w:r>
      <w:r>
        <w:t xml:space="preserve">of lower-dimensional density models, which resist the dilution of a sparse joint fault in a high-dimensional</w:t>
      </w:r>
      <w:r>
        <w:t xml:space="preserve"> </w:t>
      </w:r>
      <w:r>
        <w:t xml:space="preserve">score. The cross-channel term (A8) is realized here by a whitened reconstruction residual, yet equally by explicit</w:t>
      </w:r>
      <w:r>
        <w:t xml:space="preserve"> </w:t>
      </w:r>
      <w:r>
        <w:t xml:space="preserve">factorised likelihoods over correlated channel groups. We therefore treat the MIIM assumptions, not any single</w:t>
      </w:r>
      <w:r>
        <w:t xml:space="preserve"> </w:t>
      </w:r>
      <w:r>
        <w:t xml:space="preserve">estimator, as the portable contribution: the model of §4 shows that the assumptions</w:t>
      </w:r>
      <w:r>
        <w:t xml:space="preserve"> </w:t>
      </w:r>
      <w:r>
        <w:rPr>
          <w:i/>
          <w:iCs/>
        </w:rPr>
        <w:t xml:space="preserve">can</w:t>
      </w:r>
      <w:r>
        <w:t xml:space="preserve"> </w:t>
      </w:r>
      <w:r>
        <w:t xml:space="preserve">be realized</w:t>
      </w:r>
      <w:r>
        <w:t xml:space="preserve"> </w:t>
      </w:r>
      <w:r>
        <w:t xml:space="preserve">and that doing so delivers the reported gains, and §7 returns to these alternative routes as future work.</w:t>
      </w:r>
    </w:p>
    <w:p>
      <w:pPr>
        <w:pStyle w:val="MDPI22heading2"/>
        <w:ind w:left="2608"/>
      </w:pPr>
      <w:r>
        <w:t xml:space="preserve">4.1  Representation: Variational Deep Embedding (VaDE)</w:t>
      </w:r>
    </w:p>
    <w:p>
      <w:pPr>
        <w:pStyle w:val="MDPI32textnoindent"/>
        <w:ind w:left="2608"/>
      </w:pPr>
      <w:r>
        <w:t xml:space="preserve">VaDE [</w:t>
      </w:r>
      <w:hyperlink w:anchor="r-vade">
        <w:r>
          <w:rPr>
            <w:rStyle w:val="Hyperlink"/>
          </w:rPr>
          <w:t xml:space="preserve">17</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MDPI39equation"/>
        <w:ind w:left="2608"/>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MDPI39equation"/>
        <w:ind w:left="2608"/>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MDPI32textnoindent"/>
        <w:ind w:left="2608"/>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18</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p>
      <w:pPr>
        <w:pStyle w:val="MDPI22heading2"/>
        <w:ind w:left="2608"/>
      </w:pPr>
      <w:r>
        <w:t xml:space="preserve">4.2  Scoring: why we demote reconstruction</w:t>
      </w:r>
    </w:p>
    <w:p>
      <w:pPr>
        <w:pStyle w:val="MDPI32textnoindent"/>
        <w:ind w:left="2608"/>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MDPI41tablecaption"/>
        <w:ind w:left="2608"/>
      </w:pPr>
      <w:r>
        <w:rPr>
          <w:b/>
          <w:bCs/>
        </w:rPr>
        <w:t xml:space="preserve">Table 2.</w:t>
      </w:r>
      <w:r>
        <w:t xml:space="preserve"> </w:t>
      </w:r>
      <w:r>
        <w:t xml:space="preserve">Difficult-subset AUROC of the two natural score terms (single trained model per</w:t>
      </w:r>
      <w:r>
        <w:t xml:space="preserve"> </w:t>
      </w:r>
      <w:r>
        <w:t xml:space="preserve">dataset). The reconstruction residual is near chance on WADI (0.490) and, although informative on HAI (0.689),</w:t>
      </w:r>
      <w:r>
        <w:t xml:space="preserve"> </w:t>
      </w:r>
      <w:r>
        <w:t xml:space="preserve">it stays below the latent term (0.760) and drags the summed joint score down; the latent likelihood carries the</w:t>
      </w:r>
      <w:r>
        <w:t xml:space="preserve"> </w:t>
      </w:r>
      <w:r>
        <w:t xml:space="preserve">signal but a single diagonal Gaussian per mode is coarse. A multi-seed, three-dataset head ablation is reported</w:t>
      </w:r>
      <w:r>
        <w:t xml:space="preserve"> </w:t>
      </w:r>
      <w:r>
        <w:t xml:space="preserve">in Table 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94"/>
        <w:gridCol w:w="1186"/>
        <w:gridCol w:w="1078"/>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rPr>
              <w:t xml:space="preserve">0.490</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rPr>
              <w:t xml:space="preserve">0.663</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rPr>
              <w:t xml:space="preserve">0.494</w:t>
            </w:r>
          </w:p>
        </w:tc>
        <w:tc>
          <w:tcPr>
            <w:vAlign w:val="center"/>
          </w:tcPr>
          <w:p>
            <w:pPr>
              <w:pStyle w:val="Compact"/>
              <w:suppressAutoHyphens/>
              <w:jc w:val="center"/>
            </w:pPr>
            <w:r>
              <w:rPr>
                <w:sz w:val="18"/>
                <w:szCs w:val="18"/>
              </w:rPr>
              <w:t xml:space="preserve">0.689</w:t>
            </w:r>
          </w:p>
        </w:tc>
      </w:tr>
    </w:tbl>
    <w:p>
      <w:pPr>
        <w:pStyle w:val="MDPI31text"/>
        <w:ind w:left="2608"/>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Demoting</w:t>
      </w:r>
      <w:r>
        <w:t xml:space="preserve"> </w:t>
      </w:r>
      <w:r>
        <w:t xml:space="preserve">reconstruction from the default score is a universal difficult-subset improvement and also lifts the combined and</w:t>
      </w:r>
      <w:r>
        <w:t xml:space="preserve"> </w:t>
      </w:r>
      <w:r>
        <w:t xml:space="preserve">easy columns on HAI. The base scoring stack works entirely in the jointly learned latent; reconstruction re-enters</w:t>
      </w:r>
      <w:r>
        <w:t xml:space="preserve"> </w:t>
      </w:r>
      <w:r>
        <w:t xml:space="preserve">only through the optional, auto-gated residual head (§4.3 iv), which fires only where it provably</w:t>
      </w:r>
      <w:r>
        <w:t xml:space="preserve"> </w:t>
      </w:r>
      <w:r>
        <w:t xml:space="preserve">generalises to held-out normal (HAI and SWaT here, not WADI).</w:t>
      </w:r>
    </w:p>
    <w:p>
      <w:pPr>
        <w:pStyle w:val="MDPI22heading2"/>
        <w:ind w:left="2608"/>
      </w:pPr>
      <w:r>
        <w:t xml:space="preserve">4.3  The scoring stack</w:t>
      </w:r>
    </w:p>
    <w:p>
      <w:pPr>
        <w:pStyle w:val="MDPI32textnoindent"/>
        <w:ind w:left="2608"/>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p>
      <w:pPr>
        <w:pStyle w:val="MDPI23heading3"/>
        <w:ind w:left="2608"/>
      </w:pPr>
      <w:r>
        <w:t xml:space="preserve">(i)–(ii) Latent mixture-density head (parametric KDE for non-Gaussian pockets)</w:t>
      </w:r>
    </w:p>
    <w:p>
      <w:pPr>
        <w:pStyle w:val="MDPI32textnoindent"/>
        <w:ind w:left="2608"/>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MDPI39equation"/>
        <w:ind w:left="2608"/>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t xml:space="preserve">(iii) Nearest-component NLL (rare-mode-safe)</w:t>
      </w:r>
    </w:p>
    <w:p>
      <w:pPr>
        <w:pStyle w:val="MDPI32textnoindent"/>
        <w:ind w:left="2608"/>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MDPI39equation"/>
        <w:ind w:left="2608"/>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Using the maximum over components rather than the Bayesian mixture sum keeps a rare-mode signal that the</w:t>
      </w:r>
      <w:r>
        <w:t xml:space="preserve"> </w:t>
      </w:r>
      <w:r>
        <w:t xml:space="preserve">mixture sum washes out (A6): the nearest-component distance retains a deviation confined to a single sparsely</w:t>
      </w:r>
      <w:r>
        <w:t xml:space="preserve"> </w:t>
      </w:r>
      <w:r>
        <w:t xml:space="preserve">populated mode, whereas the mixture sum averages it away.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p>
      <w:pPr>
        <w:pStyle w:val="MDPI23heading3"/>
        <w:ind w:left="2608"/>
      </w:pPr>
      <w:r>
        <w:t xml:space="preserve">(iv) Optional responsibility-weighted whitened residual, auto-gated</w:t>
      </w:r>
    </w:p>
    <w:p>
      <w:pPr>
        <w:pStyle w:val="MDPI32textnoindent"/>
        <w:ind w:left="2608"/>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19</w:t>
        </w:r>
      </w:hyperlink>
      <w:r>
        <w:t xml:space="preserve">] precision per mode, and combines the per-mode whitened</w:t>
      </w:r>
      <w:r>
        <w:t xml:space="preserve"> </w:t>
      </w:r>
      <w:r>
        <w:t xml:space="preserve">energies by responsibility:</w:t>
      </w:r>
    </w:p>
    <w:p>
      <w:pPr>
        <w:pStyle w:val="MDPI39equation"/>
        <w:ind w:left="2608"/>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p>
      <w:pPr>
        <w:pStyle w:val="MDPI23heading3"/>
        <w:ind w:left="2608"/>
      </w:pPr>
      <w:r>
        <w:t xml:space="preserve">(v) Optional basin-agreement rescue, auto-scaled</w:t>
      </w:r>
    </w:p>
    <w:p>
      <w:pPr>
        <w:pStyle w:val="MDPI32textnoindent"/>
        <w:ind w:left="2608"/>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MDPI39equation"/>
        <w:ind w:left="2608"/>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MDPI32textnoindent"/>
        <w:ind w:left="2608"/>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 SWaT)</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the basin head is</w:t>
      </w:r>
      <w:r>
        <w:t xml:space="preserve"> </w:t>
      </w:r>
      <w:r>
        <w:t xml:space="preserve">a design provision for datasets with heavily overlapping modes; it stays inactive on all three benchmarks here and</w:t>
      </w:r>
      <w:r>
        <w:t xml:space="preserve"> </w:t>
      </w:r>
      <w:r>
        <w:t xml:space="preserve">is therefore not part of the empirical contribution, with its validation on overlapping-mode data left to future</w:t>
      </w:r>
      <w:r>
        <w:t xml:space="preserve"> </w:t>
      </w:r>
      <w:r>
        <w:t xml:space="preserve">work. Thus the reported model configures its heads purely from training-normal statistics, with no test-set</w:t>
      </w:r>
      <w:r>
        <w:t xml:space="preserve"> </w:t>
      </w:r>
      <w:r>
        <w:t xml:space="preserve">tuning: the residual head fires on HAI and SWaT, and both optional heads stay off on WADI.</w:t>
      </w:r>
    </w:p>
    <w:p>
      <w:pPr>
        <w:pStyle w:val="MDPI31text"/>
        <w:ind w:left="2608"/>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and SWaT: on; WADI: off). The basin head (v)</w:t>
      </w:r>
      <w:r>
        <w:t xml:space="preserve"> </w:t>
      </w:r>
      <w:r>
        <w:t xml:space="preserve">fires when train-normal modes overlap; it is a near no-op on all three datasets here. All calibration uses</w:t>
      </w:r>
      <w:r>
        <w:t xml:space="preserve"> </w:t>
      </w:r>
      <w:r>
        <w:t xml:space="preserve">train-normal only.</w:t>
      </w:r>
    </w:p>
    <w:p>
      <w:pPr>
        <w:pStyle w:val="MDPI21heading1"/>
        <w:ind w:left="2608"/>
      </w:pPr>
      <w:r>
        <w:t xml:space="preserve">5  Experimental methodology</w:t>
      </w:r>
    </w:p>
    <w:p>
      <w:pPr>
        <w:pStyle w:val="MDPI22heading2"/>
        <w:ind w:left="2608"/>
      </w:pPr>
      <w:r>
        <w:t xml:space="preserve">5.1  Datasets</w:t>
      </w:r>
    </w:p>
    <w:p>
      <w:pPr>
        <w:pStyle w:val="MDPI32textnoindent"/>
        <w:ind w:left="2608"/>
      </w:pPr>
      <w:r>
        <w:t xml:space="preserve">We use three real CPS datasets and no synthetic data in the results tables.</w:t>
      </w:r>
    </w:p>
    <w:p>
      <w:pPr>
        <w:pStyle w:val="MDPI38bullet"/>
        <w:numPr>
          <w:ilvl w:val="0"/>
          <w:numId w:val="2"/>
        </w:numPr>
        <w:ind w:left="3328" w:hanging="360"/>
      </w:pPr>
      <w:r>
        <w:rPr>
          <w:b/>
          <w:bCs/>
        </w:rPr>
        <w:t xml:space="preserve">WADI</w:t>
      </w:r>
      <w:r>
        <w:t xml:space="preserve"> </w:t>
      </w:r>
      <w:r>
        <w:t xml:space="preserve">[</w:t>
      </w:r>
      <w:hyperlink w:anchor="r-wadi">
        <w:r>
          <w:rPr>
            <w:rStyle w:val="Hyperlink"/>
          </w:rPr>
          <w:t xml:space="preserve">31</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MDPI38bullet"/>
        <w:numPr>
          <w:ilvl w:val="0"/>
          <w:numId w:val="2"/>
        </w:numPr>
        <w:ind w:left="3328" w:hanging="360"/>
      </w:pPr>
      <w:r>
        <w:rPr>
          <w:b/>
          <w:bCs/>
        </w:rPr>
        <w:t xml:space="preserve">HAI</w:t>
      </w:r>
      <w:r>
        <w:t xml:space="preserve"> </w:t>
      </w:r>
      <w:r>
        <w:t xml:space="preserve">[</w:t>
      </w:r>
      <w:hyperlink w:anchor="r-hai">
        <w:r>
          <w:rPr>
            <w:rStyle w:val="Hyperlink"/>
          </w:rPr>
          <w:t xml:space="preserve">33</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MDPI38bullet"/>
        <w:numPr>
          <w:ilvl w:val="0"/>
          <w:numId w:val="2"/>
        </w:numPr>
        <w:ind w:left="3328" w:hanging="360"/>
      </w:pPr>
      <w:r>
        <w:rPr>
          <w:b/>
          <w:bCs/>
        </w:rPr>
        <w:t xml:space="preserve">SWaT</w:t>
      </w:r>
      <w:r>
        <w:t xml:space="preserve"> </w:t>
      </w:r>
      <w:r>
        <w:t xml:space="preserve">[</w:t>
      </w:r>
      <w:hyperlink w:anchor="r-swat">
        <w:r>
          <w:rPr>
            <w:rStyle w:val="Hyperlink"/>
          </w:rPr>
          <w:t xml:space="preserve">32</w:t>
        </w:r>
      </w:hyperlink>
      <w:r>
        <w:t xml:space="preserve">], the Secure Water Treatment testbed from iTrust, a</w:t>
      </w:r>
      <w:r>
        <w:t xml:space="preserve"> </w:t>
      </w:r>
      <w:r>
        <w:t xml:space="preserve">51-channel six-stage water-treatment plant with real executed attacks. No clipping. SWaT is downsampled 10×</w:t>
      </w:r>
      <w:r>
        <w:t xml:space="preserve"> </w:t>
      </w:r>
      <w:r>
        <w:t xml:space="preserve">on both streams, with the train and test horizons matched.</w:t>
      </w:r>
    </w:p>
    <w:p>
      <w:pPr>
        <w:pStyle w:val="MDPI22heading2"/>
        <w:ind w:left="2608"/>
      </w:pPr>
      <w:r>
        <w:t xml:space="preserve">5.2  Windows and features</w:t>
      </w:r>
    </w:p>
    <w:p>
      <w:pPr>
        <w:pStyle w:val="MDPI32textnoindent"/>
        <w:ind w:left="2608"/>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The reported model uses these static per-channel features; explicit multiscale</w:t>
      </w:r>
      <w:r>
        <w:t xml:space="preserve"> </w:t>
      </w:r>
      <w:r>
        <w:t xml:space="preserve">temporal features (slope, velocity, spectral band power) motivated by A9 are left to future work (§7).</w:t>
      </w:r>
    </w:p>
    <w:p>
      <w:pPr>
        <w:pStyle w:val="MDPI22heading2"/>
        <w:ind w:left="2608"/>
      </w:pPr>
      <w:r>
        <w:t xml:space="preserve">5.3  Difficulty stratification</w:t>
      </w:r>
    </w:p>
    <w:p>
      <w:pPr>
        <w:pStyle w:val="MDPI32textnoindent"/>
        <w:ind w:left="2608"/>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those the max-mean</w:t>
      </w:r>
      <w:r>
        <w:t xml:space="preserve"> </w:t>
      </w:r>
      <w:r>
        <w:t xml:space="preserve">range rule does not separate; §6 confirms the HAI advantage persists under a stronger split that also removes</w:t>
      </w:r>
      <w:r>
        <w:t xml:space="preserve"> </w:t>
      </w:r>
      <w:r>
        <w:t xml:space="preserve">windows flagged by any of the six per-channel statistics, so difficulty is not defined by a single hand-picked</w:t>
      </w:r>
      <w:r>
        <w:t xml:space="preserve"> </w:t>
      </w:r>
      <w:r>
        <w:t xml:space="preserve">statistic.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p>
      <w:pPr>
        <w:pStyle w:val="MDPI22heading2"/>
        <w:ind w:left="2608"/>
      </w:pPr>
      <w:r>
        <w:t xml:space="preserve">5.4  Comparable metrics</w:t>
      </w:r>
    </w:p>
    <w:p>
      <w:pPr>
        <w:pStyle w:val="MDPI32textnoindent"/>
        <w:ind w:left="2608"/>
      </w:pPr>
      <w:r>
        <w:t xml:space="preserve">We report two raw, point-wise metrics and are explicit about their comparability across subsets.</w:t>
      </w:r>
    </w:p>
    <w:p>
      <w:pPr>
        <w:pStyle w:val="MDPI38bullet"/>
        <w:numPr>
          <w:ilvl w:val="0"/>
          <w:numId w:val="2"/>
        </w:numPr>
        <w:ind w:left="3328" w:hanging="360"/>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 reported as a five-seed mean for the learned</w:t>
      </w:r>
      <w:r>
        <w:t xml:space="preserve"> </w:t>
      </w:r>
      <w:r>
        <w:t xml:space="preserve">detectors.</w:t>
      </w:r>
    </w:p>
    <w:p>
      <w:pPr>
        <w:pStyle w:val="MDPI38bullet"/>
        <w:numPr>
          <w:ilvl w:val="0"/>
          <w:numId w:val="2"/>
        </w:numPr>
        <w:ind w:left="3328" w:hanging="360"/>
      </w:pPr>
      <w:r>
        <w:rPr>
          <w:b/>
          <w:bCs/>
        </w:rPr>
        <w:t xml:space="preserve">F1</w:t>
      </w:r>
      <w:r>
        <w:t xml:space="preserve"> </w:t>
      </w:r>
      <w:r>
        <w:t xml:space="preserve">is the best raw point-wise F1 over score thresholds (an oracle, field-standard threshold,</w:t>
      </w:r>
      <w:r>
        <w:t xml:space="preserve"> </w:t>
      </w:r>
      <w:r>
        <w:t xml:space="preserve">disclosed plainly). Because the subsets differ in positive count it is not directly comparable across them and</w:t>
      </w:r>
      <w:r>
        <w:t xml:space="preserve"> </w:t>
      </w:r>
      <w:r>
        <w:t xml:space="preserve">serves as a secondary, within-subset figure.</w:t>
      </w:r>
    </w:p>
    <w:p>
      <w:pPr>
        <w:pStyle w:val="MDPI32textnoindent"/>
        <w:ind w:left="2608"/>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 threshold uses the test-swept oracle, which we</w:t>
      </w:r>
      <w:r>
        <w:t xml:space="preserve"> </w:t>
      </w:r>
      <w:r>
        <w:t xml:space="preserve">flag.</w:t>
      </w:r>
    </w:p>
    <w:p>
      <w:pPr>
        <w:pStyle w:val="MDPI22heading2"/>
        <w:ind w:left="2608"/>
      </w:pPr>
      <w:r>
        <w:t xml:space="preserve">5.5  Baselines and SOTA re-computation</w:t>
      </w:r>
    </w:p>
    <w:p>
      <w:pPr>
        <w:pStyle w:val="MDPI32textnoindent"/>
        <w:ind w:left="2608"/>
      </w:pPr>
      <w:r>
        <w:t xml:space="preserve">Classical baselines are Isolation Forest [</w:t>
      </w:r>
      <w:hyperlink w:anchor="r-if">
        <w:r>
          <w:rPr>
            <w:rStyle w:val="Hyperlink"/>
          </w:rPr>
          <w:t xml:space="preserve">20</w:t>
        </w:r>
      </w:hyperlink>
      <w:r>
        <w:t xml:space="preserve">] and a deep autoencoder, both on the same</w:t>
      </w:r>
      <w:r>
        <w:t xml:space="preserve"> </w:t>
      </w:r>
      <w:r>
        <w:t xml:space="preserve">window features, together with a linear cross-channel baseline (LinRes): a leave-one-channel-out linear regression</w:t>
      </w:r>
      <w:r>
        <w:t xml:space="preserve"> </w:t>
      </w:r>
      <w:r>
        <w:t xml:space="preserve">that predicts each channel's window summary from the others, with discrete actuator channels one-hot encoded,</w:t>
      </w:r>
      <w:r>
        <w:t xml:space="preserve"> </w:t>
      </w:r>
      <w:r>
        <w:t xml:space="preserve">scored by its residual. For modern SOTA we re-run USAD [</w:t>
      </w:r>
      <w:hyperlink w:anchor="r-usad">
        <w:r>
          <w:rPr>
            <w:rStyle w:val="Hyperlink"/>
          </w:rPr>
          <w:t xml:space="preserve">22</w:t>
        </w:r>
      </w:hyperlink>
      <w:r>
        <w:t xml:space="preserve">] and TranAD</w:t>
      </w:r>
      <w:r>
        <w:t xml:space="preserve"> </w:t>
      </w:r>
      <w:r>
        <w:t xml:space="preserve">[</w:t>
      </w:r>
      <w:hyperlink w:anchor="r-tranad">
        <w:r>
          <w:rPr>
            <w:rStyle w:val="Hyperlink"/>
          </w:rPr>
          <w:t xml:space="preserve">23</w:t>
        </w:r>
      </w:hyperlink>
      <w:r>
        <w:t xml:space="preserve">] through the TranAD evaluation harness over five seeds and score them with the</w:t>
      </w:r>
      <w:r>
        <w:t xml:space="preserve"> </w:t>
      </w:r>
      <w:r>
        <w:rPr>
          <w:i/>
          <w:iCs/>
        </w:rPr>
        <w:t xml:space="preserve">same raw point-wise metrics</w:t>
      </w:r>
      <w:r>
        <w:t xml:space="preserve">, aggregating their per-timestep scores onto our window grid (with an</w:t>
      </w:r>
      <w:r>
        <w:t xml:space="preserve"> </w:t>
      </w:r>
      <w:r>
        <w:t xml:space="preserve">integer-ratio correction for HAI's downsampling). We also re-run the graph-based GDN [</w:t>
      </w:r>
      <w:hyperlink w:anchor="r-gdn">
        <w:r>
          <w:rPr>
            <w:rStyle w:val="Hyperlink"/>
          </w:rPr>
          <w:t xml:space="preserve">24</w:t>
        </w:r>
      </w:hyperlink>
      <w:r>
        <w:t xml:space="preserve">]</w:t>
      </w:r>
      <w:r>
        <w:t xml:space="preserve"> </w:t>
      </w:r>
      <w:r>
        <w:t xml:space="preserve">under the identical protocol; its per-window graph training completed within our compute budget only on SWaT,</w:t>
      </w:r>
      <w:r>
        <w:t xml:space="preserve"> </w:t>
      </w:r>
      <w:r>
        <w:t xml:space="preserve">where it matches the other deep detectors (difficult-subset AUROC 0.871, below ours).</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p>
      <w:pPr>
        <w:pStyle w:val="MDPI21heading1"/>
        <w:ind w:left="2608"/>
      </w:pPr>
      <w:r>
        <w:t xml:space="preserve">6  Results</w:t>
      </w:r>
    </w:p>
    <w:p>
      <w:pPr>
        <w:pStyle w:val="MDPI32textnoindent"/>
        <w:ind w:left="2608"/>
      </w:pPr>
      <w:r>
        <w:t xml:space="preserve">Table 3 reports AUROC and best raw point-wise F1 for every method on the three datasets and the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 AUROC for the learned detectors is reported as mean±standard deviation over</w:t>
      </w:r>
      <w:r>
        <w:t xml:space="preserve"> </w:t>
      </w:r>
      <w:r>
        <w:t xml:space="preserve">five seeds.</w:t>
      </w:r>
    </w:p>
    <w:p>
      <w:pPr>
        <w:pStyle w:val="MDPI41tablecaption"/>
        <w:ind w:left="2608"/>
      </w:pPr>
      <w:r>
        <w:rPr>
          <w:b/>
          <w:bCs/>
        </w:rPr>
        <w:t xml:space="preserve">Table 3.</w:t>
      </w:r>
      <w:r>
        <w:t xml:space="preserve"> </w:t>
      </w:r>
      <w:r>
        <w:t xml:space="preserve">Per-dataset, per-subset results [AUROC, F1] on three real CPS attack</w:t>
      </w:r>
      <w:r>
        <w:t xml:space="preserve"> </w:t>
      </w:r>
      <w:r>
        <w:t xml:space="preserve">benchmarks. AUROC is leak-free; F1 is the best raw point-wise F1 over thresholds. Higher is better. Learned</w:t>
      </w:r>
      <w:r>
        <w:t xml:space="preserve"> </w:t>
      </w:r>
      <w:r>
        <w:t xml:space="preserve">detectors (Isolation Forest, AutoEncoder, USAD, TranAD, and the VaDE family) report AUROC as</w:t>
      </w:r>
      <w:r>
        <w:t xml:space="preserve"> </w:t>
      </w:r>
      <w:r>
        <w:t xml:space="preserve">mean±standard deviation over five seeds; GDN, whose per-window graph training completed only on SWaT within</w:t>
      </w:r>
      <w:r>
        <w:t xml:space="preserve"> </w:t>
      </w:r>
      <w:r>
        <w:t xml:space="preserve">our compute budget, is reported single-run on SWaT. Bold = best AUROC in that dataset×subset column (ties</w:t>
      </w:r>
      <w:r>
        <w:t xml:space="preserve"> </w:t>
      </w:r>
      <w:r>
        <w:t xml:space="preserve">bolded jointly). “Ours” = the VaDE-hard+resid(auto) headline model. The</w:t>
      </w:r>
      <w:r>
        <w:t xml:space="preserve"> </w:t>
      </w:r>
      <w:r>
        <w:rPr>
          <w:i/>
          <w:iCs/>
        </w:rPr>
        <w:t xml:space="preserve">trivial max|z|</w:t>
      </w:r>
      <w:r>
        <w:t xml:space="preserve"> </w:t>
      </w:r>
      <w:r>
        <w:t xml:space="preserve">row is the univariate range rule that</w:t>
      </w:r>
      <w:r>
        <w:t xml:space="preserve"> </w:t>
      </w:r>
      <w:r>
        <w:t xml:space="preserve">defines the difficulty split (§5.3): strong on Easy and near chance on Difficult, which is what makes the</w:t>
      </w:r>
      <w:r>
        <w:t xml:space="preserve"> </w:t>
      </w:r>
      <w:r>
        <w:t xml:space="preserve">split meaningful.</w:t>
      </w:r>
      <w:r>
        <w:t xml:space="preserve"> </w:t>
      </w:r>
      <w:r>
        <w:rPr>
          <w:i/>
          <w:iCs/>
        </w:rPr>
        <w:t xml:space="preserve">LinRes</w:t>
      </w:r>
      <w:r>
        <w:t xml:space="preserve"> </w:t>
      </w:r>
      <w:r>
        <w:t xml:space="preserve">is a leave-one-channel-out linear cross-channel predictor, a simple</w:t>
      </w:r>
      <w:r>
        <w:t xml:space="preserve"> </w:t>
      </w:r>
      <w:r>
        <w:t xml:space="preserve">correlation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1"/>
        <w:gridCol w:w="859"/>
        <w:gridCol w:w="1191"/>
        <w:gridCol w:w="617"/>
        <w:gridCol w:w="1191"/>
        <w:gridCol w:w="617"/>
        <w:gridCol w:w="1191"/>
        <w:gridCol w:w="621"/>
      </w:tblGrid>
      <w:tr>
        <w:trPr>
          <w:tblHeader w:val="on"/>
        </w:trPr>
        <w:tc>
          <w:tcPr>
            <w:vMerge w:val="restart"/>
            <w:vAlign w:val="center"/>
          </w:tcPr>
          <w:p>
            <w:pPr>
              <w:pStyle w:val="Compact"/>
              <w:suppressAutoHyphens/>
              <w:jc w:val="center"/>
            </w:pPr>
            <w:r>
              <w:rPr>
                <w:b/>
                <w:sz w:val="18"/>
                <w:szCs w:val="18"/>
              </w:rPr>
              <w:t xml:space="preserve">Method</w:t>
            </w:r>
          </w:p>
        </w:tc>
        <w:tc>
          <w:tcPr>
            <w:vMerge w:val="restart"/>
            <w:vAlign w:val="center"/>
          </w:tcPr>
          <w:p>
            <w:pPr>
              <w:pStyle w:val="Compact"/>
              <w:suppressAutoHyphens/>
              <w:jc w:val="center"/>
            </w:pPr>
            <w:r>
              <w:rPr>
                <w:b/>
                <w:sz w:val="18"/>
                <w:szCs w:val="18"/>
              </w:rPr>
              <w:t xml:space="preserve">Group</w:t>
            </w:r>
          </w:p>
        </w:tc>
        <w:tc>
          <w:tcPr>
            <w:gridSpan w:val="2"/>
            <w:vAlign w:val="center"/>
          </w:tcPr>
          <w:p>
            <w:pPr>
              <w:pStyle w:val="Compact"/>
              <w:suppressAutoHyphens/>
              <w:jc w:val="center"/>
            </w:pPr>
            <w:r>
              <w:rPr>
                <w:b/>
                <w:sz w:val="18"/>
                <w:szCs w:val="18"/>
              </w:rPr>
              <w:t xml:space="preserve">All</w:t>
            </w:r>
          </w:p>
        </w:tc>
        <w:tc>
          <w:tcPr>
            <w:gridSpan w:val="2"/>
            <w:vAlign w:val="center"/>
          </w:tcPr>
          <w:p>
            <w:pPr>
              <w:pStyle w:val="Compact"/>
              <w:suppressAutoHyphens/>
              <w:jc w:val="center"/>
            </w:pPr>
            <w:r>
              <w:rPr>
                <w:b/>
                <w:sz w:val="18"/>
                <w:szCs w:val="18"/>
              </w:rPr>
              <w:t xml:space="preserve">Easy</w:t>
            </w:r>
          </w:p>
        </w:tc>
        <w:tc>
          <w:tcPr>
            <w:gridSpan w:val="2"/>
            <w:vAlign w:val="center"/>
          </w:tcPr>
          <w:p>
            <w:pPr>
              <w:pStyle w:val="Compact"/>
              <w:suppressAutoHyphens/>
              <w:jc w:val="center"/>
            </w:pPr>
            <w:r>
              <w:rPr>
                <w:b/>
                <w:sz w:val="18"/>
                <w:szCs w:val="18"/>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r>
      <w:tr>
        <w:tc>
          <w:tcPr>
            <w:gridSpan w:val="8"/>
            <w:vAlign w:val="center"/>
          </w:tcPr>
          <w:p>
            <w:pPr>
              <w:pStyle w:val="Compact"/>
              <w:suppressAutoHyphens/>
              <w:jc w:val="center"/>
            </w:pPr>
            <w:r>
              <w:rPr>
                <w:b/>
                <w:bCs/>
                <w:sz w:val="18"/>
                <w:szCs w:val="18"/>
              </w:rPr>
              <w:t xml:space="preserve">WADI</w:t>
            </w:r>
            <w:r>
              <w:rPr>
                <w:sz w:val="18"/>
                <w:szCs w:val="18"/>
              </w:rPr>
              <w:t xml:space="preserve"> </w:t>
            </w:r>
            <w:r>
              <w:rPr>
                <w:sz w:val="18"/>
                <w:szCs w:val="18"/>
              </w:rPr>
              <w:t xml:space="preserve"> </w:t>
            </w:r>
            <w:r>
              <w:rPr>
                <w:sz w:val="18"/>
                <w:szCs w:val="18"/>
              </w:rPr>
              <w:t xml:space="preserve">(anom 56 = 37 easy + 19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0.558</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0.687</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0.307</w:t>
            </w:r>
          </w:p>
        </w:tc>
        <w:tc>
          <w:tcPr>
            <w:vAlign w:val="center"/>
          </w:tcPr>
          <w:p>
            <w:pPr>
              <w:pStyle w:val="Compact"/>
              <w:suppressAutoHyphens/>
              <w:jc w:val="center"/>
            </w:pPr>
            <w:r>
              <w:rPr>
                <w:sz w:val="18"/>
                <w:szCs w:val="18"/>
              </w:rPr>
              <w:t xml:space="preserve">0.000</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0.726±0.007</w:t>
            </w:r>
          </w:p>
        </w:tc>
        <w:tc>
          <w:tcPr>
            <w:vAlign w:val="center"/>
          </w:tcPr>
          <w:p>
            <w:pPr>
              <w:pStyle w:val="Compact"/>
              <w:suppressAutoHyphens/>
              <w:jc w:val="center"/>
            </w:pPr>
            <w:r>
              <w:rPr>
                <w:sz w:val="18"/>
                <w:szCs w:val="18"/>
              </w:rPr>
              <w:t xml:space="preserve">0.375</w:t>
            </w:r>
          </w:p>
        </w:tc>
        <w:tc>
          <w:tcPr>
            <w:vAlign w:val="center"/>
          </w:tcPr>
          <w:p>
            <w:pPr>
              <w:pStyle w:val="Compact"/>
              <w:suppressAutoHyphens/>
              <w:jc w:val="center"/>
            </w:pPr>
            <w:r>
              <w:rPr>
                <w:sz w:val="18"/>
                <w:szCs w:val="18"/>
              </w:rPr>
              <w:t xml:space="preserve">0.751±0.010</w:t>
            </w:r>
          </w:p>
        </w:tc>
        <w:tc>
          <w:tcPr>
            <w:vAlign w:val="center"/>
          </w:tcPr>
          <w:p>
            <w:pPr>
              <w:pStyle w:val="Compact"/>
              <w:suppressAutoHyphens/>
              <w:jc w:val="center"/>
            </w:pPr>
            <w:r>
              <w:rPr>
                <w:sz w:val="18"/>
                <w:szCs w:val="18"/>
              </w:rPr>
              <w:t xml:space="preserve">0.373</w:t>
            </w:r>
          </w:p>
        </w:tc>
        <w:tc>
          <w:tcPr>
            <w:vAlign w:val="center"/>
          </w:tcPr>
          <w:p>
            <w:pPr>
              <w:pStyle w:val="Compact"/>
              <w:suppressAutoHyphens/>
              <w:jc w:val="center"/>
            </w:pPr>
            <w:r>
              <w:rPr>
                <w:sz w:val="18"/>
                <w:szCs w:val="18"/>
              </w:rPr>
              <w:t xml:space="preserve">0.677±0.011</w:t>
            </w:r>
          </w:p>
        </w:tc>
        <w:tc>
          <w:tcPr>
            <w:vAlign w:val="center"/>
          </w:tcPr>
          <w:p>
            <w:pPr>
              <w:pStyle w:val="Compact"/>
              <w:suppressAutoHyphens/>
              <w:jc w:val="center"/>
            </w:pPr>
            <w:r>
              <w:rPr>
                <w:sz w:val="18"/>
                <w:szCs w:val="18"/>
              </w:rPr>
              <w:t xml:space="preserve">0.149</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0.743±0.001</w:t>
            </w:r>
          </w:p>
        </w:tc>
        <w:tc>
          <w:tcPr>
            <w:vAlign w:val="center"/>
          </w:tcPr>
          <w:p>
            <w:pPr>
              <w:pStyle w:val="Compact"/>
              <w:suppressAutoHyphens/>
              <w:jc w:val="center"/>
            </w:pPr>
            <w:r>
              <w:rPr>
                <w:sz w:val="18"/>
                <w:szCs w:val="18"/>
              </w:rPr>
              <w:t xml:space="preserve">0.604</w:t>
            </w:r>
          </w:p>
        </w:tc>
        <w:tc>
          <w:tcPr>
            <w:vAlign w:val="center"/>
          </w:tcPr>
          <w:p>
            <w:pPr>
              <w:pStyle w:val="Compact"/>
              <w:suppressAutoHyphens/>
              <w:jc w:val="center"/>
            </w:pPr>
            <w:r>
              <w:rPr>
                <w:sz w:val="18"/>
                <w:szCs w:val="18"/>
              </w:rPr>
              <w:t xml:space="preserve">0.907±0.002</w:t>
            </w:r>
          </w:p>
        </w:tc>
        <w:tc>
          <w:tcPr>
            <w:vAlign w:val="center"/>
          </w:tcPr>
          <w:p>
            <w:pPr>
              <w:pStyle w:val="Compact"/>
              <w:suppressAutoHyphens/>
              <w:jc w:val="center"/>
            </w:pPr>
            <w:r>
              <w:rPr>
                <w:sz w:val="18"/>
                <w:szCs w:val="18"/>
              </w:rPr>
              <w:t xml:space="preserve">0.724</w:t>
            </w:r>
          </w:p>
        </w:tc>
        <w:tc>
          <w:tcPr>
            <w:vAlign w:val="center"/>
          </w:tcPr>
          <w:p>
            <w:pPr>
              <w:pStyle w:val="Compact"/>
              <w:suppressAutoHyphens/>
              <w:jc w:val="center"/>
            </w:pPr>
            <w:r>
              <w:rPr>
                <w:sz w:val="18"/>
                <w:szCs w:val="18"/>
              </w:rPr>
              <w:t xml:space="preserve">0.425±0.005</w:t>
            </w:r>
          </w:p>
        </w:tc>
        <w:tc>
          <w:tcPr>
            <w:vAlign w:val="center"/>
          </w:tcPr>
          <w:p>
            <w:pPr>
              <w:pStyle w:val="Compact"/>
              <w:suppressAutoHyphens/>
              <w:jc w:val="center"/>
            </w:pPr>
            <w:r>
              <w:rPr>
                <w:sz w:val="18"/>
                <w:szCs w:val="18"/>
              </w:rPr>
              <w:t xml:space="preserve">0.218</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0.595</w:t>
            </w:r>
          </w:p>
        </w:tc>
        <w:tc>
          <w:tcPr>
            <w:vAlign w:val="center"/>
          </w:tcPr>
          <w:p>
            <w:pPr>
              <w:pStyle w:val="Compact"/>
              <w:suppressAutoHyphens/>
              <w:jc w:val="center"/>
            </w:pPr>
            <w:r>
              <w:rPr>
                <w:sz w:val="18"/>
                <w:szCs w:val="18"/>
              </w:rPr>
              <w:t xml:space="preserve">0.215</w:t>
            </w:r>
          </w:p>
        </w:tc>
        <w:tc>
          <w:tcPr>
            <w:vAlign w:val="center"/>
          </w:tcPr>
          <w:p>
            <w:pPr>
              <w:pStyle w:val="Compact"/>
              <w:suppressAutoHyphens/>
              <w:jc w:val="center"/>
            </w:pPr>
            <w:r>
              <w:rPr>
                <w:sz w:val="18"/>
                <w:szCs w:val="18"/>
              </w:rPr>
              <w:t xml:space="preserve">0.699</w:t>
            </w:r>
          </w:p>
        </w:tc>
        <w:tc>
          <w:tcPr>
            <w:vAlign w:val="center"/>
          </w:tcPr>
          <w:p>
            <w:pPr>
              <w:pStyle w:val="Compact"/>
              <w:suppressAutoHyphens/>
              <w:jc w:val="center"/>
            </w:pPr>
            <w:r>
              <w:rPr>
                <w:sz w:val="18"/>
                <w:szCs w:val="18"/>
              </w:rPr>
              <w:t xml:space="preserve">0.214</w:t>
            </w:r>
          </w:p>
        </w:tc>
        <w:tc>
          <w:tcPr>
            <w:vAlign w:val="center"/>
          </w:tcPr>
          <w:p>
            <w:pPr>
              <w:pStyle w:val="Compact"/>
              <w:suppressAutoHyphens/>
              <w:jc w:val="center"/>
            </w:pPr>
            <w:r>
              <w:rPr>
                <w:sz w:val="18"/>
                <w:szCs w:val="18"/>
              </w:rPr>
              <w:t xml:space="preserve">0.392</w:t>
            </w:r>
          </w:p>
        </w:tc>
        <w:tc>
          <w:tcPr>
            <w:vAlign w:val="center"/>
          </w:tcPr>
          <w:p>
            <w:pPr>
              <w:pStyle w:val="Compact"/>
              <w:suppressAutoHyphens/>
              <w:jc w:val="center"/>
            </w:pPr>
            <w:r>
              <w:rPr>
                <w:sz w:val="18"/>
                <w:szCs w:val="18"/>
              </w:rPr>
              <w:t xml:space="preserve">0.174</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0.700±0.001</w:t>
            </w:r>
          </w:p>
        </w:tc>
        <w:tc>
          <w:tcPr>
            <w:vAlign w:val="center"/>
          </w:tcPr>
          <w:p>
            <w:pPr>
              <w:pStyle w:val="Compact"/>
              <w:suppressAutoHyphens/>
              <w:jc w:val="center"/>
            </w:pPr>
            <w:r>
              <w:rPr>
                <w:sz w:val="18"/>
                <w:szCs w:val="18"/>
              </w:rPr>
              <w:t xml:space="preserve">0.512</w:t>
            </w:r>
          </w:p>
        </w:tc>
        <w:tc>
          <w:tcPr>
            <w:vAlign w:val="center"/>
          </w:tcPr>
          <w:p>
            <w:pPr>
              <w:pStyle w:val="Compact"/>
              <w:suppressAutoHyphens/>
              <w:jc w:val="center"/>
            </w:pPr>
            <w:r>
              <w:rPr>
                <w:sz w:val="18"/>
                <w:szCs w:val="18"/>
              </w:rPr>
              <w:t xml:space="preserve">0.903±0.002</w:t>
            </w:r>
          </w:p>
        </w:tc>
        <w:tc>
          <w:tcPr>
            <w:vAlign w:val="center"/>
          </w:tcPr>
          <w:p>
            <w:pPr>
              <w:pStyle w:val="Compact"/>
              <w:suppressAutoHyphens/>
              <w:jc w:val="center"/>
            </w:pPr>
            <w:r>
              <w:rPr>
                <w:sz w:val="18"/>
                <w:szCs w:val="18"/>
              </w:rPr>
              <w:t xml:space="preserve">0.655</w:t>
            </w:r>
          </w:p>
        </w:tc>
        <w:tc>
          <w:tcPr>
            <w:vAlign w:val="center"/>
          </w:tcPr>
          <w:p>
            <w:pPr>
              <w:pStyle w:val="Compact"/>
              <w:suppressAutoHyphens/>
              <w:jc w:val="center"/>
            </w:pPr>
            <w:r>
              <w:rPr>
                <w:sz w:val="18"/>
                <w:szCs w:val="18"/>
              </w:rPr>
              <w:t xml:space="preserve">0.305±0.004</w:t>
            </w:r>
          </w:p>
        </w:tc>
        <w:tc>
          <w:tcPr>
            <w:vAlign w:val="center"/>
          </w:tcPr>
          <w:p>
            <w:pPr>
              <w:pStyle w:val="Compact"/>
              <w:suppressAutoHyphens/>
              <w:jc w:val="center"/>
            </w:pPr>
            <w:r>
              <w:rPr>
                <w:sz w:val="18"/>
                <w:szCs w:val="18"/>
              </w:rPr>
              <w:t xml:space="preserve">0.030</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0.717±0.003</w:t>
            </w:r>
          </w:p>
        </w:tc>
        <w:tc>
          <w:tcPr>
            <w:vAlign w:val="center"/>
          </w:tcPr>
          <w:p>
            <w:pPr>
              <w:pStyle w:val="Compact"/>
              <w:suppressAutoHyphens/>
              <w:jc w:val="center"/>
            </w:pPr>
            <w:r>
              <w:rPr>
                <w:sz w:val="18"/>
                <w:szCs w:val="18"/>
              </w:rPr>
              <w:t xml:space="preserve">0.571</w:t>
            </w:r>
          </w:p>
        </w:tc>
        <w:tc>
          <w:tcPr>
            <w:vAlign w:val="center"/>
          </w:tcPr>
          <w:p>
            <w:pPr>
              <w:pStyle w:val="Compact"/>
              <w:suppressAutoHyphens/>
              <w:jc w:val="center"/>
            </w:pPr>
            <w:r>
              <w:rPr>
                <w:sz w:val="18"/>
                <w:szCs w:val="18"/>
              </w:rPr>
              <w:t xml:space="preserve">0.918±0.002</w:t>
            </w:r>
          </w:p>
        </w:tc>
        <w:tc>
          <w:tcPr>
            <w:vAlign w:val="center"/>
          </w:tcPr>
          <w:p>
            <w:pPr>
              <w:pStyle w:val="Compact"/>
              <w:suppressAutoHyphens/>
              <w:jc w:val="center"/>
            </w:pPr>
            <w:r>
              <w:rPr>
                <w:sz w:val="18"/>
                <w:szCs w:val="18"/>
              </w:rPr>
              <w:t xml:space="preserve">0.708</w:t>
            </w:r>
          </w:p>
        </w:tc>
        <w:tc>
          <w:tcPr>
            <w:vAlign w:val="center"/>
          </w:tcPr>
          <w:p>
            <w:pPr>
              <w:pStyle w:val="Compact"/>
              <w:suppressAutoHyphens/>
              <w:jc w:val="center"/>
            </w:pPr>
            <w:r>
              <w:rPr>
                <w:sz w:val="18"/>
                <w:szCs w:val="18"/>
              </w:rPr>
              <w:t xml:space="preserve">0.325±0.004</w:t>
            </w:r>
          </w:p>
        </w:tc>
        <w:tc>
          <w:tcPr>
            <w:vAlign w:val="center"/>
          </w:tcPr>
          <w:p>
            <w:pPr>
              <w:pStyle w:val="Compact"/>
              <w:suppressAutoHyphens/>
              <w:jc w:val="center"/>
            </w:pPr>
            <w:r>
              <w:rPr>
                <w:sz w:val="18"/>
                <w:szCs w:val="18"/>
              </w:rPr>
              <w:t xml:space="preserve">0.025</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0.792±0.012</w:t>
            </w:r>
          </w:p>
        </w:tc>
        <w:tc>
          <w:tcPr>
            <w:vAlign w:val="center"/>
          </w:tcPr>
          <w:p>
            <w:pPr>
              <w:pStyle w:val="Compact"/>
              <w:suppressAutoHyphens/>
              <w:jc w:val="center"/>
            </w:pPr>
            <w:r>
              <w:rPr>
                <w:sz w:val="18"/>
                <w:szCs w:val="18"/>
              </w:rPr>
              <w:t xml:space="preserve">0.563</w:t>
            </w:r>
          </w:p>
        </w:tc>
        <w:tc>
          <w:tcPr>
            <w:vAlign w:val="center"/>
          </w:tcPr>
          <w:p>
            <w:pPr>
              <w:pStyle w:val="Compact"/>
              <w:suppressAutoHyphens/>
              <w:jc w:val="center"/>
            </w:pPr>
            <w:r>
              <w:rPr>
                <w:sz w:val="18"/>
                <w:szCs w:val="18"/>
              </w:rPr>
              <w:t xml:space="preserve">0.845±0.007</w:t>
            </w:r>
          </w:p>
        </w:tc>
        <w:tc>
          <w:tcPr>
            <w:vAlign w:val="center"/>
          </w:tcPr>
          <w:p>
            <w:pPr>
              <w:pStyle w:val="Compact"/>
              <w:suppressAutoHyphens/>
              <w:jc w:val="center"/>
            </w:pPr>
            <w:r>
              <w:rPr>
                <w:sz w:val="18"/>
                <w:szCs w:val="18"/>
              </w:rPr>
              <w:t xml:space="preserve">0.678</w:t>
            </w:r>
          </w:p>
        </w:tc>
        <w:tc>
          <w:tcPr>
            <w:vAlign w:val="center"/>
          </w:tcPr>
          <w:p>
            <w:pPr>
              <w:pStyle w:val="Compact"/>
              <w:suppressAutoHyphens/>
              <w:jc w:val="center"/>
            </w:pPr>
            <w:r>
              <w:rPr>
                <w:sz w:val="18"/>
                <w:szCs w:val="18"/>
              </w:rPr>
              <w:t xml:space="preserve">0.690±0.027</w:t>
            </w:r>
          </w:p>
        </w:tc>
        <w:tc>
          <w:tcPr>
            <w:vAlign w:val="center"/>
          </w:tcPr>
          <w:p>
            <w:pPr>
              <w:pStyle w:val="Compact"/>
              <w:suppressAutoHyphens/>
              <w:jc w:val="center"/>
            </w:pPr>
            <w:r>
              <w:rPr>
                <w:sz w:val="18"/>
                <w:szCs w:val="18"/>
              </w:rPr>
              <w:t xml:space="preserve">0.216</w:t>
            </w:r>
          </w:p>
        </w:tc>
      </w:tr>
      <w:tr>
        <w:tc>
          <w:tcPr>
            <w:gridSpan w:val="8"/>
            <w:vAlign w:val="center"/>
          </w:tcPr>
          <w:p>
            <w:pPr>
              <w:pStyle w:val="Compact"/>
              <w:suppressAutoHyphens/>
              <w:jc w:val="center"/>
            </w:pPr>
            <w:r>
              <w:rPr>
                <w:b/>
                <w:bCs/>
                <w:sz w:val="18"/>
                <w:szCs w:val="18"/>
              </w:rPr>
              <w:t xml:space="preserve">HAI</w:t>
            </w:r>
            <w:r>
              <w:rPr>
                <w:sz w:val="18"/>
                <w:szCs w:val="18"/>
              </w:rPr>
              <w:t xml:space="preserve"> </w:t>
            </w:r>
            <w:r>
              <w:rPr>
                <w:sz w:val="18"/>
                <w:szCs w:val="18"/>
              </w:rPr>
              <w:t xml:space="preserve"> </w:t>
            </w:r>
            <w:r>
              <w:rPr>
                <w:sz w:val="18"/>
                <w:szCs w:val="18"/>
              </w:rPr>
              <w:t xml:space="preserve">(anom 652 = 485 easy + 167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0.806</w:t>
            </w:r>
          </w:p>
        </w:tc>
        <w:tc>
          <w:tcPr>
            <w:vAlign w:val="center"/>
          </w:tcPr>
          <w:p>
            <w:pPr>
              <w:pStyle w:val="Compact"/>
              <w:suppressAutoHyphens/>
              <w:jc w:val="center"/>
            </w:pPr>
            <w:r>
              <w:rPr>
                <w:sz w:val="18"/>
                <w:szCs w:val="18"/>
              </w:rPr>
              <w:t xml:space="preserve">0.666</w:t>
            </w:r>
          </w:p>
        </w:tc>
        <w:tc>
          <w:tcPr>
            <w:vAlign w:val="center"/>
          </w:tcPr>
          <w:p>
            <w:pPr>
              <w:pStyle w:val="Compact"/>
              <w:suppressAutoHyphens/>
              <w:jc w:val="center"/>
            </w:pPr>
            <w:r>
              <w:rPr>
                <w:sz w:val="18"/>
                <w:szCs w:val="18"/>
              </w:rPr>
              <w:t xml:space="preserve">0.966</w:t>
            </w:r>
          </w:p>
        </w:tc>
        <w:tc>
          <w:tcPr>
            <w:vAlign w:val="center"/>
          </w:tcPr>
          <w:p>
            <w:pPr>
              <w:pStyle w:val="Compact"/>
              <w:suppressAutoHyphens/>
              <w:jc w:val="center"/>
            </w:pPr>
            <w:r>
              <w:rPr>
                <w:sz w:val="18"/>
                <w:szCs w:val="18"/>
              </w:rPr>
              <w:t xml:space="preserve">0.800</w:t>
            </w:r>
          </w:p>
        </w:tc>
        <w:tc>
          <w:tcPr>
            <w:vAlign w:val="center"/>
          </w:tcPr>
          <w:p>
            <w:pPr>
              <w:pStyle w:val="Compact"/>
              <w:suppressAutoHyphens/>
              <w:jc w:val="center"/>
            </w:pPr>
            <w:r>
              <w:rPr>
                <w:sz w:val="18"/>
                <w:szCs w:val="18"/>
              </w:rPr>
              <w:t xml:space="preserve">0.340</w:t>
            </w:r>
          </w:p>
        </w:tc>
        <w:tc>
          <w:tcPr>
            <w:vAlign w:val="center"/>
          </w:tcPr>
          <w:p>
            <w:pPr>
              <w:pStyle w:val="Compact"/>
              <w:suppressAutoHyphens/>
              <w:jc w:val="center"/>
            </w:pPr>
            <w:r>
              <w:rPr>
                <w:sz w:val="18"/>
                <w:szCs w:val="18"/>
              </w:rPr>
              <w:t xml:space="preserve">0.011</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0.844±0.011</w:t>
            </w:r>
          </w:p>
        </w:tc>
        <w:tc>
          <w:tcPr>
            <w:vAlign w:val="center"/>
          </w:tcPr>
          <w:p>
            <w:pPr>
              <w:pStyle w:val="Compact"/>
              <w:suppressAutoHyphens/>
              <w:jc w:val="center"/>
            </w:pPr>
            <w:r>
              <w:rPr>
                <w:sz w:val="18"/>
                <w:szCs w:val="18"/>
              </w:rPr>
              <w:t xml:space="preserve">0.418</w:t>
            </w:r>
          </w:p>
        </w:tc>
        <w:tc>
          <w:tcPr>
            <w:vAlign w:val="center"/>
          </w:tcPr>
          <w:p>
            <w:pPr>
              <w:pStyle w:val="Compact"/>
              <w:suppressAutoHyphens/>
              <w:jc w:val="center"/>
            </w:pPr>
            <w:r>
              <w:rPr>
                <w:sz w:val="18"/>
                <w:szCs w:val="18"/>
              </w:rPr>
              <w:t xml:space="preserve">0.919±0.016</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0.627±0.005</w:t>
            </w:r>
          </w:p>
        </w:tc>
        <w:tc>
          <w:tcPr>
            <w:vAlign w:val="center"/>
          </w:tcPr>
          <w:p>
            <w:pPr>
              <w:pStyle w:val="Compact"/>
              <w:suppressAutoHyphens/>
              <w:jc w:val="center"/>
            </w:pPr>
            <w:r>
              <w:rPr>
                <w:sz w:val="18"/>
                <w:szCs w:val="18"/>
              </w:rPr>
              <w:t xml:space="preserve">0.055</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0.923±0.001</w:t>
            </w:r>
          </w:p>
        </w:tc>
        <w:tc>
          <w:tcPr>
            <w:vAlign w:val="center"/>
          </w:tcPr>
          <w:p>
            <w:pPr>
              <w:pStyle w:val="Compact"/>
              <w:suppressAutoHyphens/>
              <w:jc w:val="center"/>
            </w:pPr>
            <w:r>
              <w:rPr>
                <w:sz w:val="18"/>
                <w:szCs w:val="18"/>
              </w:rPr>
              <w:t xml:space="preserve">0.744</w:t>
            </w:r>
          </w:p>
        </w:tc>
        <w:tc>
          <w:tcPr>
            <w:vAlign w:val="center"/>
          </w:tcPr>
          <w:p>
            <w:pPr>
              <w:pStyle w:val="Compact"/>
              <w:suppressAutoHyphens/>
              <w:jc w:val="center"/>
            </w:pPr>
            <w:r>
              <w:rPr>
                <w:sz w:val="18"/>
                <w:szCs w:val="18"/>
              </w:rPr>
              <w:t xml:space="preserve">0.980±0.000</w:t>
            </w:r>
          </w:p>
        </w:tc>
        <w:tc>
          <w:tcPr>
            <w:vAlign w:val="center"/>
          </w:tcPr>
          <w:p>
            <w:pPr>
              <w:pStyle w:val="Compact"/>
              <w:suppressAutoHyphens/>
              <w:jc w:val="center"/>
            </w:pPr>
            <w:r>
              <w:rPr>
                <w:sz w:val="18"/>
                <w:szCs w:val="18"/>
              </w:rPr>
              <w:t xml:space="preserve">0.789</w:t>
            </w:r>
          </w:p>
        </w:tc>
        <w:tc>
          <w:tcPr>
            <w:vAlign w:val="center"/>
          </w:tcPr>
          <w:p>
            <w:pPr>
              <w:pStyle w:val="Compact"/>
              <w:suppressAutoHyphens/>
              <w:jc w:val="center"/>
            </w:pPr>
            <w:r>
              <w:rPr>
                <w:sz w:val="18"/>
                <w:szCs w:val="18"/>
              </w:rPr>
              <w:t xml:space="preserve">0.757±0.003</w:t>
            </w:r>
          </w:p>
        </w:tc>
        <w:tc>
          <w:tcPr>
            <w:vAlign w:val="center"/>
          </w:tcPr>
          <w:p>
            <w:pPr>
              <w:pStyle w:val="Compact"/>
              <w:suppressAutoHyphens/>
              <w:jc w:val="center"/>
            </w:pPr>
            <w:r>
              <w:rPr>
                <w:sz w:val="18"/>
                <w:szCs w:val="18"/>
              </w:rPr>
              <w:t xml:space="preserve">0.343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0.779</w:t>
            </w:r>
          </w:p>
        </w:tc>
        <w:tc>
          <w:tcPr>
            <w:vAlign w:val="center"/>
          </w:tcPr>
          <w:p>
            <w:pPr>
              <w:pStyle w:val="Compact"/>
              <w:suppressAutoHyphens/>
              <w:jc w:val="center"/>
            </w:pPr>
            <w:r>
              <w:rPr>
                <w:sz w:val="18"/>
                <w:szCs w:val="18"/>
              </w:rPr>
              <w:t xml:space="preserve">0.483</w:t>
            </w:r>
          </w:p>
        </w:tc>
        <w:tc>
          <w:tcPr>
            <w:vAlign w:val="center"/>
          </w:tcPr>
          <w:p>
            <w:pPr>
              <w:pStyle w:val="Compact"/>
              <w:suppressAutoHyphens/>
              <w:jc w:val="center"/>
            </w:pPr>
            <w:r>
              <w:rPr>
                <w:sz w:val="18"/>
                <w:szCs w:val="18"/>
              </w:rPr>
              <w:t xml:space="preserve">0.846</w:t>
            </w:r>
          </w:p>
        </w:tc>
        <w:tc>
          <w:tcPr>
            <w:vAlign w:val="center"/>
          </w:tcPr>
          <w:p>
            <w:pPr>
              <w:pStyle w:val="Compact"/>
              <w:suppressAutoHyphens/>
              <w:jc w:val="center"/>
            </w:pPr>
            <w:r>
              <w:rPr>
                <w:sz w:val="18"/>
                <w:szCs w:val="18"/>
              </w:rPr>
              <w:t xml:space="preserve">0.581</w:t>
            </w:r>
          </w:p>
        </w:tc>
        <w:tc>
          <w:tcPr>
            <w:vAlign w:val="center"/>
          </w:tcPr>
          <w:p>
            <w:pPr>
              <w:pStyle w:val="Compact"/>
              <w:suppressAutoHyphens/>
              <w:jc w:val="center"/>
            </w:pPr>
            <w:r>
              <w:rPr>
                <w:sz w:val="18"/>
                <w:szCs w:val="18"/>
              </w:rPr>
              <w:t xml:space="preserve">0.586</w:t>
            </w:r>
          </w:p>
        </w:tc>
        <w:tc>
          <w:tcPr>
            <w:vAlign w:val="center"/>
          </w:tcPr>
          <w:p>
            <w:pPr>
              <w:pStyle w:val="Compact"/>
              <w:suppressAutoHyphens/>
              <w:jc w:val="center"/>
            </w:pPr>
            <w:r>
              <w:rPr>
                <w:sz w:val="18"/>
                <w:szCs w:val="18"/>
              </w:rPr>
              <w:t xml:space="preserve">0.121</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0.843±0.005</w:t>
            </w:r>
          </w:p>
        </w:tc>
        <w:tc>
          <w:tcPr>
            <w:vAlign w:val="center"/>
          </w:tcPr>
          <w:p>
            <w:pPr>
              <w:pStyle w:val="Compact"/>
              <w:suppressAutoHyphens/>
              <w:jc w:val="center"/>
            </w:pPr>
            <w:r>
              <w:rPr>
                <w:sz w:val="18"/>
                <w:szCs w:val="18"/>
              </w:rPr>
              <w:t xml:space="preserve">0.699</w:t>
            </w:r>
          </w:p>
        </w:tc>
        <w:tc>
          <w:tcPr>
            <w:vAlign w:val="center"/>
          </w:tcPr>
          <w:p>
            <w:pPr>
              <w:pStyle w:val="Compact"/>
              <w:suppressAutoHyphens/>
              <w:jc w:val="center"/>
            </w:pPr>
            <w:r>
              <w:rPr>
                <w:sz w:val="18"/>
                <w:szCs w:val="18"/>
              </w:rPr>
              <w:t xml:space="preserve">0.969±0.001</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0.477±0.018</w:t>
            </w:r>
          </w:p>
        </w:tc>
        <w:tc>
          <w:tcPr>
            <w:vAlign w:val="center"/>
          </w:tcPr>
          <w:p>
            <w:pPr>
              <w:pStyle w:val="Compact"/>
              <w:suppressAutoHyphens/>
              <w:jc w:val="center"/>
            </w:pPr>
            <w:r>
              <w:rPr>
                <w:sz w:val="18"/>
                <w:szCs w:val="18"/>
              </w:rPr>
              <w:t xml:space="preserve">0.022</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0.834±0.002</w:t>
            </w:r>
          </w:p>
        </w:tc>
        <w:tc>
          <w:tcPr>
            <w:vAlign w:val="center"/>
          </w:tcPr>
          <w:p>
            <w:pPr>
              <w:pStyle w:val="Compact"/>
              <w:suppressAutoHyphens/>
              <w:jc w:val="center"/>
            </w:pPr>
            <w:r>
              <w:rPr>
                <w:sz w:val="18"/>
                <w:szCs w:val="18"/>
              </w:rPr>
              <w:t xml:space="preserve">0.693</w:t>
            </w:r>
          </w:p>
        </w:tc>
        <w:tc>
          <w:tcPr>
            <w:vAlign w:val="center"/>
          </w:tcPr>
          <w:p>
            <w:pPr>
              <w:pStyle w:val="Compact"/>
              <w:suppressAutoHyphens/>
              <w:jc w:val="center"/>
            </w:pPr>
            <w:r>
              <w:rPr>
                <w:sz w:val="18"/>
                <w:szCs w:val="18"/>
              </w:rPr>
              <w:t xml:space="preserve">0.968±0.000</w:t>
            </w:r>
          </w:p>
        </w:tc>
        <w:tc>
          <w:tcPr>
            <w:vAlign w:val="center"/>
          </w:tcPr>
          <w:p>
            <w:pPr>
              <w:pStyle w:val="Compact"/>
              <w:suppressAutoHyphens/>
              <w:jc w:val="center"/>
            </w:pPr>
            <w:r>
              <w:rPr>
                <w:sz w:val="18"/>
                <w:szCs w:val="18"/>
              </w:rPr>
              <w:t xml:space="preserve">0.824</w:t>
            </w:r>
          </w:p>
        </w:tc>
        <w:tc>
          <w:tcPr>
            <w:vAlign w:val="center"/>
          </w:tcPr>
          <w:p>
            <w:pPr>
              <w:pStyle w:val="Compact"/>
              <w:suppressAutoHyphens/>
              <w:jc w:val="center"/>
            </w:pPr>
            <w:r>
              <w:rPr>
                <w:sz w:val="18"/>
                <w:szCs w:val="18"/>
              </w:rPr>
              <w:t xml:space="preserve">0.444±0.010</w:t>
            </w:r>
          </w:p>
        </w:tc>
        <w:tc>
          <w:tcPr>
            <w:vAlign w:val="center"/>
          </w:tcPr>
          <w:p>
            <w:pPr>
              <w:pStyle w:val="Compact"/>
              <w:suppressAutoHyphens/>
              <w:jc w:val="center"/>
            </w:pPr>
            <w:r>
              <w:rPr>
                <w:sz w:val="18"/>
                <w:szCs w:val="18"/>
              </w:rPr>
              <w:t xml:space="preserve">0.019</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0.933±0.007</w:t>
            </w:r>
          </w:p>
        </w:tc>
        <w:tc>
          <w:tcPr>
            <w:vAlign w:val="center"/>
          </w:tcPr>
          <w:p>
            <w:pPr>
              <w:pStyle w:val="Compact"/>
              <w:suppressAutoHyphens/>
              <w:jc w:val="center"/>
            </w:pPr>
            <w:r>
              <w:rPr>
                <w:sz w:val="18"/>
                <w:szCs w:val="18"/>
              </w:rPr>
              <w:t xml:space="preserve">0.712</w:t>
            </w:r>
          </w:p>
        </w:tc>
        <w:tc>
          <w:tcPr>
            <w:vAlign w:val="center"/>
          </w:tcPr>
          <w:p>
            <w:pPr>
              <w:pStyle w:val="Compact"/>
              <w:suppressAutoHyphens/>
              <w:jc w:val="center"/>
            </w:pPr>
            <w:r>
              <w:rPr>
                <w:sz w:val="18"/>
                <w:szCs w:val="18"/>
              </w:rPr>
              <w:t xml:space="preserve">0.975±0.004</w:t>
            </w:r>
          </w:p>
        </w:tc>
        <w:tc>
          <w:tcPr>
            <w:vAlign w:val="center"/>
          </w:tcPr>
          <w:p>
            <w:pPr>
              <w:pStyle w:val="Compact"/>
              <w:suppressAutoHyphens/>
              <w:jc w:val="center"/>
            </w:pPr>
            <w:r>
              <w:rPr>
                <w:sz w:val="18"/>
                <w:szCs w:val="18"/>
              </w:rPr>
              <w:t xml:space="preserve">0.773</w:t>
            </w:r>
          </w:p>
        </w:tc>
        <w:tc>
          <w:tcPr>
            <w:vAlign w:val="center"/>
          </w:tcPr>
          <w:p>
            <w:pPr>
              <w:pStyle w:val="Compact"/>
              <w:suppressAutoHyphens/>
              <w:jc w:val="center"/>
            </w:pPr>
            <w:r>
              <w:rPr>
                <w:sz w:val="18"/>
                <w:szCs w:val="18"/>
              </w:rPr>
              <w:t xml:space="preserve">0.811±0.016</w:t>
            </w:r>
          </w:p>
        </w:tc>
        <w:tc>
          <w:tcPr>
            <w:vAlign w:val="center"/>
          </w:tcPr>
          <w:p>
            <w:pPr>
              <w:pStyle w:val="Compact"/>
              <w:suppressAutoHyphens/>
              <w:jc w:val="center"/>
            </w:pPr>
            <w:r>
              <w:rPr>
                <w:sz w:val="18"/>
                <w:szCs w:val="18"/>
              </w:rPr>
              <w:t xml:space="preserve">0.356</w:t>
            </w:r>
          </w:p>
        </w:tc>
      </w:tr>
      <w:tr>
        <w:tc>
          <w:tcPr>
            <w:gridSpan w:val="8"/>
            <w:vAlign w:val="center"/>
          </w:tcPr>
          <w:p>
            <w:pPr>
              <w:pStyle w:val="Compact"/>
              <w:suppressAutoHyphens/>
              <w:jc w:val="center"/>
            </w:pPr>
            <w:r>
              <w:rPr>
                <w:b/>
                <w:bCs/>
                <w:sz w:val="18"/>
                <w:szCs w:val="18"/>
              </w:rPr>
              <w:t xml:space="preserve">SWaT</w:t>
            </w:r>
            <w:r>
              <w:rPr>
                <w:sz w:val="18"/>
                <w:szCs w:val="18"/>
              </w:rPr>
              <w:t xml:space="preserve"> </w:t>
            </w:r>
            <w:r>
              <w:rPr>
                <w:sz w:val="18"/>
                <w:szCs w:val="18"/>
              </w:rPr>
              <w:t xml:space="preserve"> </w:t>
            </w:r>
            <w:r>
              <w:rPr>
                <w:sz w:val="18"/>
                <w:szCs w:val="18"/>
              </w:rPr>
              <w:t xml:space="preserve">(anom 182 = 144 easy + 38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0.988</w:t>
            </w:r>
          </w:p>
        </w:tc>
        <w:tc>
          <w:tcPr>
            <w:vAlign w:val="center"/>
          </w:tcPr>
          <w:p>
            <w:pPr>
              <w:pStyle w:val="Compact"/>
              <w:suppressAutoHyphens/>
              <w:jc w:val="center"/>
            </w:pPr>
            <w:r>
              <w:rPr>
                <w:sz w:val="18"/>
                <w:szCs w:val="18"/>
              </w:rPr>
              <w:t xml:space="preserve">0.972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0.943</w:t>
            </w:r>
          </w:p>
        </w:tc>
        <w:tc>
          <w:tcPr>
            <w:vAlign w:val="center"/>
          </w:tcPr>
          <w:p>
            <w:pPr>
              <w:pStyle w:val="Compact"/>
              <w:suppressAutoHyphens/>
              <w:jc w:val="center"/>
            </w:pPr>
            <w:r>
              <w:rPr>
                <w:sz w:val="18"/>
                <w:szCs w:val="18"/>
              </w:rPr>
              <w:t xml:space="preserve">0.848</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0.959±0.003</w:t>
            </w:r>
          </w:p>
        </w:tc>
        <w:tc>
          <w:tcPr>
            <w:vAlign w:val="center"/>
          </w:tcPr>
          <w:p>
            <w:pPr>
              <w:pStyle w:val="Compact"/>
              <w:suppressAutoHyphens/>
              <w:jc w:val="center"/>
            </w:pPr>
            <w:r>
              <w:rPr>
                <w:sz w:val="18"/>
                <w:szCs w:val="18"/>
              </w:rPr>
              <w:t xml:space="preserve">0.910</w:t>
            </w:r>
          </w:p>
        </w:tc>
        <w:tc>
          <w:tcPr>
            <w:vAlign w:val="center"/>
          </w:tcPr>
          <w:p>
            <w:pPr>
              <w:pStyle w:val="Compact"/>
              <w:suppressAutoHyphens/>
              <w:jc w:val="center"/>
            </w:pPr>
            <w:r>
              <w:rPr>
                <w:sz w:val="18"/>
                <w:szCs w:val="18"/>
              </w:rPr>
              <w:t xml:space="preserve">0.987±0.002</w:t>
            </w:r>
          </w:p>
        </w:tc>
        <w:tc>
          <w:tcPr>
            <w:vAlign w:val="center"/>
          </w:tcPr>
          <w:p>
            <w:pPr>
              <w:pStyle w:val="Compact"/>
              <w:suppressAutoHyphens/>
              <w:jc w:val="center"/>
            </w:pPr>
            <w:r>
              <w:rPr>
                <w:sz w:val="18"/>
                <w:szCs w:val="18"/>
              </w:rPr>
              <w:t xml:space="preserve">0.961</w:t>
            </w:r>
          </w:p>
        </w:tc>
        <w:tc>
          <w:tcPr>
            <w:vAlign w:val="center"/>
          </w:tcPr>
          <w:p>
            <w:pPr>
              <w:pStyle w:val="Compact"/>
              <w:suppressAutoHyphens/>
              <w:jc w:val="center"/>
            </w:pPr>
            <w:r>
              <w:rPr>
                <w:sz w:val="18"/>
                <w:szCs w:val="18"/>
              </w:rPr>
              <w:t xml:space="preserve">0.853±0.011</w:t>
            </w:r>
          </w:p>
        </w:tc>
        <w:tc>
          <w:tcPr>
            <w:vAlign w:val="center"/>
          </w:tcPr>
          <w:p>
            <w:pPr>
              <w:pStyle w:val="Compact"/>
              <w:suppressAutoHyphens/>
              <w:jc w:val="center"/>
            </w:pPr>
            <w:r>
              <w:rPr>
                <w:sz w:val="18"/>
                <w:szCs w:val="18"/>
              </w:rPr>
              <w:t xml:space="preserve">0.661</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0.987±0.001</w:t>
            </w:r>
          </w:p>
        </w:tc>
        <w:tc>
          <w:tcPr>
            <w:vAlign w:val="center"/>
          </w:tcPr>
          <w:p>
            <w:pPr>
              <w:pStyle w:val="Compact"/>
              <w:suppressAutoHyphens/>
              <w:jc w:val="center"/>
            </w:pPr>
            <w:r>
              <w:rPr>
                <w:sz w:val="18"/>
                <w:szCs w:val="18"/>
              </w:rPr>
              <w:t xml:space="preserve">0.933</w:t>
            </w:r>
          </w:p>
        </w:tc>
        <w:tc>
          <w:tcPr>
            <w:vAlign w:val="center"/>
          </w:tcPr>
          <w:p>
            <w:pPr>
              <w:pStyle w:val="Compact"/>
              <w:suppressAutoHyphens/>
              <w:jc w:val="center"/>
            </w:pPr>
            <w:r>
              <w:rPr>
                <w:sz w:val="18"/>
                <w:szCs w:val="18"/>
              </w:rPr>
              <w:t xml:space="preserve">1.000±0.000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0.939±0.006</w:t>
            </w:r>
          </w:p>
        </w:tc>
        <w:tc>
          <w:tcPr>
            <w:vAlign w:val="center"/>
          </w:tcPr>
          <w:p>
            <w:pPr>
              <w:pStyle w:val="Compact"/>
              <w:suppressAutoHyphens/>
              <w:jc w:val="center"/>
            </w:pPr>
            <w:r>
              <w:rPr>
                <w:sz w:val="18"/>
                <w:szCs w:val="18"/>
              </w:rPr>
              <w:t xml:space="preserve">0.613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0.991</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0.959</w:t>
            </w:r>
          </w:p>
        </w:tc>
        <w:tc>
          <w:tcPr>
            <w:vAlign w:val="center"/>
          </w:tcPr>
          <w:p>
            <w:pPr>
              <w:pStyle w:val="Compact"/>
              <w:suppressAutoHyphens/>
              <w:jc w:val="center"/>
            </w:pPr>
            <w:r>
              <w:rPr>
                <w:sz w:val="18"/>
                <w:szCs w:val="18"/>
              </w:rPr>
              <w:t xml:space="preserve">0.698</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0.972±0.001</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1.000±0.000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0.867±0.005</w:t>
            </w:r>
          </w:p>
        </w:tc>
        <w:tc>
          <w:tcPr>
            <w:vAlign w:val="center"/>
          </w:tcPr>
          <w:p>
            <w:pPr>
              <w:pStyle w:val="Compact"/>
              <w:suppressAutoHyphens/>
              <w:jc w:val="center"/>
            </w:pPr>
            <w:r>
              <w:rPr>
                <w:sz w:val="18"/>
                <w:szCs w:val="18"/>
              </w:rPr>
              <w:t xml:space="preserve">0.705</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0.972±0.000</w:t>
            </w:r>
          </w:p>
        </w:tc>
        <w:tc>
          <w:tcPr>
            <w:vAlign w:val="center"/>
          </w:tcPr>
          <w:p>
            <w:pPr>
              <w:pStyle w:val="Compact"/>
              <w:suppressAutoHyphens/>
              <w:jc w:val="center"/>
            </w:pPr>
            <w:r>
              <w:rPr>
                <w:sz w:val="18"/>
                <w:szCs w:val="18"/>
              </w:rPr>
              <w:t xml:space="preserve">0.952</w:t>
            </w:r>
          </w:p>
        </w:tc>
        <w:tc>
          <w:tcPr>
            <w:vAlign w:val="center"/>
          </w:tcPr>
          <w:p>
            <w:pPr>
              <w:pStyle w:val="Compact"/>
              <w:suppressAutoHyphens/>
              <w:jc w:val="center"/>
            </w:pPr>
            <w:r>
              <w:rPr>
                <w:sz w:val="18"/>
                <w:szCs w:val="18"/>
              </w:rPr>
              <w:t xml:space="preserve">1.000±0.000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0.867±0.001</w:t>
            </w:r>
          </w:p>
        </w:tc>
        <w:tc>
          <w:tcPr>
            <w:vAlign w:val="center"/>
          </w:tcPr>
          <w:p>
            <w:pPr>
              <w:pStyle w:val="Compact"/>
              <w:suppressAutoHyphens/>
              <w:jc w:val="center"/>
            </w:pPr>
            <w:r>
              <w:rPr>
                <w:sz w:val="18"/>
                <w:szCs w:val="18"/>
              </w:rPr>
              <w:t xml:space="preserve">0.726</w:t>
            </w:r>
          </w:p>
        </w:tc>
      </w:tr>
      <w:tr>
        <w:tc>
          <w:tcPr>
            <w:vAlign w:val="center"/>
          </w:tcPr>
          <w:p>
            <w:pPr>
              <w:pStyle w:val="Compact"/>
              <w:suppressAutoHyphens/>
              <w:jc w:val="center"/>
            </w:pPr>
            <w:r>
              <w:rPr>
                <w:sz w:val="18"/>
                <w:szCs w:val="18"/>
              </w:rPr>
              <w:t xml:space="preserve">GDN</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0.973</w:t>
            </w:r>
          </w:p>
        </w:tc>
        <w:tc>
          <w:tcPr>
            <w:vAlign w:val="center"/>
          </w:tcPr>
          <w:p>
            <w:pPr>
              <w:pStyle w:val="Compact"/>
              <w:suppressAutoHyphens/>
              <w:jc w:val="center"/>
            </w:pPr>
            <w:r>
              <w:rPr>
                <w:sz w:val="18"/>
                <w:szCs w:val="18"/>
              </w:rPr>
              <w:t xml:space="preserve">0.946</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0.871</w:t>
            </w:r>
          </w:p>
        </w:tc>
        <w:tc>
          <w:tcPr>
            <w:vAlign w:val="center"/>
          </w:tcPr>
          <w:p>
            <w:pPr>
              <w:pStyle w:val="Compact"/>
              <w:suppressAutoHyphens/>
              <w:jc w:val="center"/>
            </w:pPr>
            <w:r>
              <w:rPr>
                <w:sz w:val="18"/>
                <w:szCs w:val="18"/>
              </w:rPr>
              <w:t xml:space="preserve">0.698</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0.991±0.002</w:t>
            </w:r>
          </w:p>
        </w:tc>
        <w:tc>
          <w:tcPr>
            <w:vAlign w:val="center"/>
          </w:tcPr>
          <w:p>
            <w:pPr>
              <w:pStyle w:val="Compact"/>
              <w:suppressAutoHyphens/>
              <w:jc w:val="center"/>
            </w:pPr>
            <w:r>
              <w:rPr>
                <w:sz w:val="18"/>
                <w:szCs w:val="18"/>
              </w:rPr>
              <w:t xml:space="preserve">0.947</w:t>
            </w:r>
          </w:p>
        </w:tc>
        <w:tc>
          <w:tcPr>
            <w:vAlign w:val="center"/>
          </w:tcPr>
          <w:p>
            <w:pPr>
              <w:pStyle w:val="Compact"/>
              <w:suppressAutoHyphens/>
              <w:jc w:val="center"/>
            </w:pPr>
            <w:r>
              <w:rPr>
                <w:sz w:val="18"/>
                <w:szCs w:val="18"/>
              </w:rPr>
              <w:t xml:space="preserve">0.999±0.002</w:t>
            </w:r>
          </w:p>
        </w:tc>
        <w:tc>
          <w:tcPr>
            <w:vAlign w:val="center"/>
          </w:tcPr>
          <w:p>
            <w:pPr>
              <w:pStyle w:val="Compact"/>
              <w:suppressAutoHyphens/>
              <w:jc w:val="center"/>
            </w:pPr>
            <w:r>
              <w:rPr>
                <w:sz w:val="18"/>
                <w:szCs w:val="18"/>
              </w:rPr>
              <w:t xml:space="preserve">0.976</w:t>
            </w:r>
          </w:p>
        </w:tc>
        <w:tc>
          <w:tcPr>
            <w:vAlign w:val="center"/>
          </w:tcPr>
          <w:p>
            <w:pPr>
              <w:pStyle w:val="Compact"/>
              <w:suppressAutoHyphens/>
              <w:jc w:val="center"/>
            </w:pPr>
            <w:r>
              <w:rPr>
                <w:sz w:val="18"/>
                <w:szCs w:val="18"/>
              </w:rPr>
              <w:t xml:space="preserve">0.960±0.006</w:t>
            </w:r>
          </w:p>
        </w:tc>
        <w:tc>
          <w:tcPr>
            <w:vAlign w:val="center"/>
          </w:tcPr>
          <w:p>
            <w:pPr>
              <w:pStyle w:val="Compact"/>
              <w:suppressAutoHyphens/>
              <w:jc w:val="center"/>
            </w:pPr>
            <w:r>
              <w:rPr>
                <w:sz w:val="18"/>
                <w:szCs w:val="18"/>
              </w:rPr>
              <w:t xml:space="preserve">0.752</w:t>
            </w:r>
          </w:p>
        </w:tc>
      </w:tr>
    </w:tbl>
    <w:p>
      <w:pPr>
        <w:pStyle w:val="MDPI31text"/>
        <w:ind w:left="2608"/>
      </w:pPr>
      <w:r>
        <w:rPr>
          <w:b/>
          <w:bCs/>
        </w:rPr>
        <w:t xml:space="preserve">Overall detection.</w:t>
      </w:r>
      <w:r>
        <w:t xml:space="preserve"> </w:t>
      </w:r>
      <w:r>
        <w:t xml:space="preserve">The headline model attains the best All-subset AUROC of any method on</w:t>
      </w:r>
      <w:r>
        <w:t xml:space="preserve"> </w:t>
      </w:r>
      <w:r>
        <w:t xml:space="preserve">every dataset: WADI 0.792, HAI 0.933 and SWaT 0.991. On WADI and HAI it clears every baseline and both deep</w:t>
      </w:r>
      <w:r>
        <w:t xml:space="preserve"> </w:t>
      </w:r>
      <w:r>
        <w:t xml:space="preserve">detectors by a clear margin; on SWaT it matches the strongest baseline, where all methods are near the ceiling.</w:t>
      </w:r>
      <w:r>
        <w:t xml:space="preserve"> </w:t>
      </w:r>
      <w:r>
        <w:t xml:space="preserve">The detector thus leads the combined column on all three datasets.</w:t>
      </w:r>
    </w:p>
    <w:p>
      <w:pPr>
        <w:pStyle w:val="MDPI31text"/>
        <w:ind w:left="2608"/>
      </w:pPr>
      <w:r>
        <w:rPr>
          <w:b/>
          <w:bCs/>
        </w:rPr>
        <w:t xml:space="preserve">Difficult, joint-structure faults.</w:t>
      </w:r>
      <w:r>
        <w:t xml:space="preserve"> </w:t>
      </w:r>
      <w:r>
        <w:t xml:space="preserve">This is where the design earns its keep (Figure 1). The clearest</w:t>
      </w:r>
      <w:r>
        <w:t xml:space="preserve"> </w:t>
      </w:r>
      <w:r>
        <w:t xml:space="preserve">demonstration is HAI: the model reaches 0.811 on the difficult subset (167 difficult windows spanning 26 distinct</w:t>
      </w:r>
      <w:r>
        <w:t xml:space="preserve"> </w:t>
      </w:r>
      <w:r>
        <w:t xml:space="preserve">attack episodes), well above the AutoEncoder (0.757) and far above the deep detectors USAD (0.477) and TranAD</w:t>
      </w:r>
      <w:r>
        <w:t xml:space="preserve"> </w:t>
      </w:r>
      <w:r>
        <w:t xml:space="preserve">(0.444), which sit near chance. This margin over the AutoEncoder is statistically significant: an episode-block</w:t>
      </w:r>
      <w:r>
        <w:t xml:space="preserve"> </w:t>
      </w:r>
      <w:r>
        <w:t xml:space="preserve">bootstrap of the paired difference (resampling attack episodes and normal windows, averaged over the five seeds)</w:t>
      </w:r>
      <w:r>
        <w:t xml:space="preserve"> </w:t>
      </w:r>
      <w:r>
        <w:t xml:space="preserve">gives +0.054 with a 95% confidence interval of [0.015, 0.089] and an estimated P(difference ≤ 0) of</w:t>
      </w:r>
      <w:r>
        <w:t xml:space="preserve"> </w:t>
      </w:r>
      <w:r>
        <w:t xml:space="preserve">0.002. On WADI the model reaches 0.690, statistically indistinguishable from Isolation Forest (0.677; paired 95%</w:t>
      </w:r>
      <w:r>
        <w:t xml:space="preserve"> </w:t>
      </w:r>
      <w:r>
        <w:t xml:space="preserve">CI [−0.083, 0.106], P ≈ 0.36), so WADI-difficult is a tie at the top of the column rather than</w:t>
      </w:r>
      <w:r>
        <w:t xml:space="preserve"> </w:t>
      </w:r>
      <w:r>
        <w:t xml:space="preserve">a win, while the deep detectors collapse to 0.30–0.33. On SWaT the difficult subset is only mildly difficult:</w:t>
      </w:r>
      <w:r>
        <w:t xml:space="preserve"> </w:t>
      </w:r>
      <w:r>
        <w:t xml:space="preserve">the trivial rule already scores 0.943 there, so every method is strong (ours 0.960, the linear baseline 0.959, a</w:t>
      </w:r>
      <w:r>
        <w:t xml:space="preserve"> </w:t>
      </w:r>
      <w:r>
        <w:t xml:space="preserve">tie), and its 38 difficult windows come from a single attack episode, so SWaT-difficult is a ceiling case rather</w:t>
      </w:r>
      <w:r>
        <w:t xml:space="preserve"> </w:t>
      </w:r>
      <w:r>
        <w:t xml:space="preserve">than a discriminative test of joint-structure detection. The advantage over the deep detectors is largest exactly where</w:t>
      </w:r>
      <w:r>
        <w:t xml:space="preserve"> </w:t>
      </w:r>
      <w:r>
        <w:t xml:space="preserve">the difficult anomalies are reconstructable yet improbable, which reconstruction error cannot separate from</w:t>
      </w:r>
      <w:r>
        <w:t xml:space="preserve"> </w:t>
      </w:r>
      <w:r>
        <w:t xml:space="preserve">normal (WADI, HAI), and vanishes on SWaT, whose difficult anomalies are large multivariate deviations that</w:t>
      </w:r>
      <w:r>
        <w:t xml:space="preserve"> </w:t>
      </w:r>
      <w:r>
        <w:t xml:space="preserve">every method detects.</w:t>
      </w:r>
    </w:p>
    <w:p>
      <w:pPr>
        <w:pStyle w:val="MDPI31text"/>
        <w:ind w:left="2608"/>
      </w:pPr>
      <w:r>
        <w:rPr>
          <w:b/>
          <w:bCs/>
        </w:rPr>
        <w:t xml:space="preserve">Trivially separable anomalies.</w:t>
      </w:r>
      <w:r>
        <w:t xml:space="preserve"> </w:t>
      </w:r>
      <w:r>
        <w:t xml:space="preserve">On the easy subset every method is strong and the ranking is</w:t>
      </w:r>
      <w:r>
        <w:t xml:space="preserve"> </w:t>
      </w:r>
      <w:r>
        <w:t xml:space="preserve">uninformative, by construction: the easy subset is exactly the anomalies a univariate range rule already flags,</w:t>
      </w:r>
      <w:r>
        <w:t xml:space="preserve"> </w:t>
      </w:r>
      <w:r>
        <w:t xml:space="preserve">and the trivial rule itself tops the easy column on SWaT (1.000).</w:t>
      </w:r>
    </w:p>
    <w:p>
      <w:pPr>
        <w:pStyle w:val="MDPI31text"/>
        <w:ind w:left="2608"/>
      </w:pPr>
      <w:r>
        <w:rPr>
          <w:b/>
          <w:bCs/>
        </w:rPr>
        <w:t xml:space="preserve">Validity of the difficulty split.</w:t>
      </w:r>
      <w:r>
        <w:t xml:space="preserve"> </w:t>
      </w:r>
      <w:r>
        <w:t xml:space="preserve">The trivial max|z| rule is strong on Easy by construction</w:t>
      </w:r>
      <w:r>
        <w:t xml:space="preserve"> </w:t>
      </w:r>
      <w:r>
        <w:t xml:space="preserve">(SWaT 1.000, HAI 0.966, WADI 0.687) and drops to near chance on the difficult subset of the two benchmarks that</w:t>
      </w:r>
      <w:r>
        <w:t xml:space="preserve"> </w:t>
      </w:r>
      <w:r>
        <w:t xml:space="preserve">carry genuine joint-structure faults (WADI 0.307, HAI 0.340): the difficult subset is precisely the anomalies</w:t>
      </w:r>
      <w:r>
        <w:t xml:space="preserve"> </w:t>
      </w:r>
      <w:r>
        <w:t xml:space="preserve">this univariate range rule cannot see, so a method that scores well there is detecting joint structure the rule</w:t>
      </w:r>
      <w:r>
        <w:t xml:space="preserve"> </w:t>
      </w:r>
      <w:r>
        <w:t xml:space="preserve">misses. On SWaT the rule stays strong on the difficult subset (0.943), which is why SWaT is a strong overall</w:t>
      </w:r>
      <w:r>
        <w:t xml:space="preserve"> </w:t>
      </w:r>
      <w:r>
        <w:t xml:space="preserve">benchmark but not a discriminative test of joint-structure detection.</w:t>
      </w:r>
    </w:p>
    <w:p>
      <w:pPr>
        <w:pStyle w:val="MDPI31text"/>
        <w:ind w:left="2608"/>
      </w:pPr>
      <w:r>
        <w:rPr>
          <w:b/>
          <w:bCs/>
        </w:rPr>
        <w:t xml:space="preserve">Robustness to a stronger difficulty definition.</w:t>
      </w:r>
      <w:r>
        <w:t xml:space="preserve"> </w:t>
      </w:r>
      <w:r>
        <w:t xml:space="preserve">The canonical split flags a window easy only</w:t>
      </w:r>
      <w:r>
        <w:t xml:space="preserve"> </w:t>
      </w:r>
      <w:r>
        <w:t xml:space="preserve">when the maximum absolute standardised per-channel</w:t>
      </w:r>
      <w:r>
        <w:t xml:space="preserve"> </w:t>
      </w:r>
      <w:r>
        <w:rPr>
          <w:i/>
          <w:iCs/>
        </w:rPr>
        <w:t xml:space="preserve">mean</w:t>
      </w:r>
      <w:r>
        <w:t xml:space="preserve"> </w:t>
      </w:r>
      <w:r>
        <w:t xml:space="preserve">exceeds its 99th train-normal percentile, so a</w:t>
      </w:r>
      <w:r>
        <w:t xml:space="preserve"> </w:t>
      </w:r>
      <w:r>
        <w:t xml:space="preserve">window could in principle be “difficult” yet be separable by a different univariate statistic. We</w:t>
      </w:r>
      <w:r>
        <w:t xml:space="preserve"> </w:t>
      </w:r>
      <w:r>
        <w:t xml:space="preserve">therefore repeat the analysis with a stronger split that labels a window easy if the maximum over</w:t>
      </w:r>
      <w:r>
        <w:t xml:space="preserve"> </w:t>
      </w:r>
      <w:r>
        <w:rPr>
          <w:i/>
          <w:iCs/>
        </w:rPr>
        <w:t xml:space="preserve">all six</w:t>
      </w:r>
      <w:r>
        <w:t xml:space="preserve"> </w:t>
      </w:r>
      <w:r>
        <w:t xml:space="preserve">standardised per-channel statistics (mean, standard deviation, minimum, maximum, first-to-last difference, and</w:t>
      </w:r>
      <w:r>
        <w:t xml:space="preserve"> </w:t>
      </w:r>
      <w:r>
        <w:t xml:space="preserve">range) exceeds its 99th train-normal percentile, removing any window a single univariate statistic separates. On</w:t>
      </w:r>
      <w:r>
        <w:t xml:space="preserve"> </w:t>
      </w:r>
      <w:r>
        <w:t xml:space="preserve">the resulting HAI difficult subset (110 windows) the detector still leads every baseline (0.675, versus 0.622 for</w:t>
      </w:r>
      <w:r>
        <w:t xml:space="preserve"> </w:t>
      </w:r>
      <w:r>
        <w:t xml:space="preserve">the linear cross-channel baseline, 0.604 for the AutoEncoder, and 0.528 for Isolation Forest), so its HAI</w:t>
      </w:r>
      <w:r>
        <w:t xml:space="preserve"> </w:t>
      </w:r>
      <w:r>
        <w:t xml:space="preserve">advantage is not an artefact of the particular statistic that defines difficulty. WADI remains a tie (Isolation</w:t>
      </w:r>
      <w:r>
        <w:t xml:space="preserve"> </w:t>
      </w:r>
      <w:r>
        <w:t xml:space="preserve">Forest 0.710, ours 0.697) and SWaT remains a ceiling case (trivial rule 0.929), consistent with the canonical</w:t>
      </w:r>
      <w:r>
        <w:t xml:space="preserve"> </w:t>
      </w:r>
      <w:r>
        <w:t xml:space="preserve">split.</w:t>
      </w:r>
    </w:p>
    <w:p>
      <w:pPr>
        <w:pStyle w:val="MDPI31text"/>
        <w:ind w:left="2608"/>
      </w:pPr>
      <w:r>
        <w:rPr>
          <w:b/>
          <w:bCs/>
        </w:rPr>
        <w:t xml:space="preserve">The double-hard subset.</w:t>
      </w:r>
      <w:r>
        <w:t xml:space="preserve"> </w:t>
      </w:r>
      <w:r>
        <w:t xml:space="preserve">As a secondary robustness stress test we intersect the failures of the</w:t>
      </w:r>
      <w:r>
        <w:t xml:space="preserve"> </w:t>
      </w:r>
      <w:r>
        <w:t xml:space="preserve">two simplest baseline families. A window is</w:t>
      </w:r>
      <w:r>
        <w:t xml:space="preserve"> </w:t>
      </w:r>
      <w:r>
        <w:rPr>
          <w:i/>
          <w:iCs/>
        </w:rPr>
        <w:t xml:space="preserve">double-hard</w:t>
      </w:r>
      <w:r>
        <w:t xml:space="preserve"> </w:t>
      </w:r>
      <w:r>
        <w:t xml:space="preserve">if it is an anomaly separated by</w:t>
      </w:r>
      <w:r>
        <w:t xml:space="preserve"> </w:t>
      </w:r>
      <w:r>
        <w:rPr>
          <w:i/>
          <w:iCs/>
        </w:rPr>
        <w:t xml:space="preserve">neither</w:t>
      </w:r>
      <w:r>
        <w:t xml:space="preserve"> </w:t>
      </w:r>
      <w:r>
        <w:t xml:space="preserve">the univariate max|z| rule</w:t>
      </w:r>
      <w:r>
        <w:t xml:space="preserve"> </w:t>
      </w:r>
      <w:r>
        <w:rPr>
          <w:i/>
          <w:iCs/>
        </w:rPr>
        <w:t xml:space="preserve">nor</w:t>
      </w:r>
      <w:r>
        <w:t xml:space="preserve"> </w:t>
      </w:r>
      <w:r>
        <w:t xml:space="preserve">the one-hot linear cross-channel predictor (LinRes), with both</w:t>
      </w:r>
      <w:r>
        <w:t xml:space="preserve"> </w:t>
      </w:r>
      <w:r>
        <w:t xml:space="preserve">99th-percentile thresholds fixed on train-normal only and the detector under test playing no role in constructing</w:t>
      </w:r>
      <w:r>
        <w:t xml:space="preserve"> </w:t>
      </w:r>
      <w:r>
        <w:t xml:space="preserve">the subset. This subset is not an unbiased benchmark against the two detectors that define it, which fail on it by</w:t>
      </w:r>
      <w:r>
        <w:t xml:space="preserve"> </w:t>
      </w:r>
      <w:r>
        <w:t xml:space="preserve">construction; it isolates the anomalies that remain once both marginal and simple linear cross-channel structure</w:t>
      </w:r>
      <w:r>
        <w:t xml:space="preserve"> </w:t>
      </w:r>
      <w:r>
        <w:t xml:space="preserve">is removed. Table 4 reports its per-method AUROC. The detector attains the highest mean AUROC on all three</w:t>
      </w:r>
      <w:r>
        <w:t xml:space="preserve"> </w:t>
      </w:r>
      <w:r>
        <w:t xml:space="preserve">datasets (WADI 0.601, HAI 0.806, SWaT 0.921). Statistical superiority is established only on HAI, where 19 attack</w:t>
      </w:r>
      <w:r>
        <w:t xml:space="preserve"> </w:t>
      </w:r>
      <w:r>
        <w:t xml:space="preserve">episodes support an episode-block bootstrap: the paired difference over the AutoEncoder is +0.076 (95% CI</w:t>
      </w:r>
      <w:r>
        <w:t xml:space="preserve"> </w:t>
      </w:r>
      <w:r>
        <w:t xml:space="preserve">[0.038, 0.119]). The WADI subset rests on five episodes and is a numerical lead over Isolation Forest (0.601 vs</w:t>
      </w:r>
      <w:r>
        <w:t xml:space="preserve"> </w:t>
      </w:r>
      <w:r>
        <w:t xml:space="preserve">0.599), not a significant difference; the 18 SWaT windows come from a single attack episode, so no episode-level</w:t>
      </w:r>
      <w:r>
        <w:t xml:space="preserve"> </w:t>
      </w:r>
      <w:r>
        <w:t xml:space="preserve">generalisation is claimed there. The subset genuinely removes ceiling signal rather than selecting an easier</w:t>
      </w:r>
      <w:r>
        <w:t xml:space="preserve"> </w:t>
      </w:r>
      <w:r>
        <w:t xml:space="preserve">favourable slice: on SWaT the trivial-rule AUROC falls from 0.943 on the difficult subset to 0.880 here, and the</w:t>
      </w:r>
      <w:r>
        <w:t xml:space="preserve"> </w:t>
      </w:r>
      <w:r>
        <w:t xml:space="preserve">AutoEncoder collapses on WADI (0.336).</w:t>
      </w:r>
    </w:p>
    <w:p>
      <w:pPr>
        <w:pStyle w:val="MDPI41tablecaption"/>
        <w:ind w:left="2608"/>
      </w:pPr>
      <w:r>
        <w:rPr>
          <w:b/>
          <w:bCs/>
        </w:rPr>
        <w:t xml:space="preserve">Table 4.</w:t>
      </w:r>
      <w:r>
        <w:t xml:space="preserve"> </w:t>
      </w:r>
      <w:r>
        <w:t xml:space="preserve">Double-hard subset AUROC (five-seed mean±standard deviation for the</w:t>
      </w:r>
      <w:r>
        <w:t xml:space="preserve"> </w:t>
      </w:r>
      <w:r>
        <w:t xml:space="preserve">learned detectors). The double-hard subset keeps only anomaly windows separated by neither the univariate max|z|</w:t>
      </w:r>
      <w:r>
        <w:t xml:space="preserve"> </w:t>
      </w:r>
      <w:r>
        <w:t xml:space="preserve">rule nor the linear cross-channel predictor, both thresholded on train-normal at the 99th percentile; it is a</w:t>
      </w:r>
      <w:r>
        <w:t xml:space="preserve"> </w:t>
      </w:r>
      <w:r>
        <w:t xml:space="preserve">baseline-independent stress test, not an unbiased comparison against those two filters. Windows / distinct attack</w:t>
      </w:r>
      <w:r>
        <w:t xml:space="preserve"> </w:t>
      </w:r>
      <w:r>
        <w:t xml:space="preserve">episodes: WADI 11 / 5, HAI 84 / 19, SWaT 18 / 1. The detector has the highest mean</w:t>
      </w:r>
      <w:r>
        <w:t xml:space="preserve"> </w:t>
      </w:r>
      <w:r>
        <w:t xml:space="preserve">AUROC on all three datasets; the difference is statistically supported only on HAI (episode-block bootstrap), a</w:t>
      </w:r>
      <w:r>
        <w:t xml:space="preserve"> </w:t>
      </w:r>
      <w:r>
        <w:t xml:space="preserve">numerical lead on WADI (five episodes), and a single-episode result on SWaT.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17"/>
        <w:gridCol w:w="1780"/>
        <w:gridCol w:w="1780"/>
        <w:gridCol w:w="1781"/>
      </w:tblGrid>
      <w:tr>
        <w:trPr>
          <w:tblHeader w:val="on"/>
        </w:trPr>
        <w:tc>
          <w:tcPr>
            <w:tcBorders>
              <w:bottom w:val="single" w:sz="8" w:space="0" w:color="auto"/>
            </w:tcBorders>
            <w:vAlign w:val="center"/>
          </w:tcPr>
          <w:p>
            <w:pPr>
              <w:pStyle w:val="Compact"/>
              <w:suppressAutoHyphens/>
              <w:jc w:val="center"/>
            </w:pPr>
            <w:r>
              <w:rPr>
                <w:b/>
                <w:sz w:val="18"/>
                <w:szCs w:val="18"/>
              </w:rPr>
              <w:t xml:space="preserve">Method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0.283</w:t>
            </w:r>
          </w:p>
        </w:tc>
        <w:tc>
          <w:tcPr>
            <w:vAlign w:val="center"/>
          </w:tcPr>
          <w:p>
            <w:pPr>
              <w:pStyle w:val="Compact"/>
              <w:suppressAutoHyphens/>
              <w:jc w:val="center"/>
            </w:pPr>
            <w:r>
              <w:rPr>
                <w:sz w:val="18"/>
                <w:szCs w:val="18"/>
              </w:rPr>
              <w:t xml:space="preserve">0.349</w:t>
            </w:r>
          </w:p>
        </w:tc>
        <w:tc>
          <w:tcPr>
            <w:vAlign w:val="center"/>
          </w:tcPr>
          <w:p>
            <w:pPr>
              <w:pStyle w:val="Compact"/>
              <w:suppressAutoHyphens/>
              <w:jc w:val="center"/>
            </w:pPr>
            <w:r>
              <w:rPr>
                <w:sz w:val="18"/>
                <w:szCs w:val="18"/>
              </w:rPr>
              <w:t xml:space="preserve">0.880</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0.599±0.013</w:t>
            </w:r>
          </w:p>
        </w:tc>
        <w:tc>
          <w:tcPr>
            <w:vAlign w:val="center"/>
          </w:tcPr>
          <w:p>
            <w:pPr>
              <w:pStyle w:val="Compact"/>
              <w:suppressAutoHyphens/>
              <w:jc w:val="center"/>
            </w:pPr>
            <w:r>
              <w:rPr>
                <w:sz w:val="18"/>
                <w:szCs w:val="18"/>
              </w:rPr>
              <w:t xml:space="preserve">0.635±0.012</w:t>
            </w:r>
          </w:p>
        </w:tc>
        <w:tc>
          <w:tcPr>
            <w:vAlign w:val="center"/>
          </w:tcPr>
          <w:p>
            <w:pPr>
              <w:pStyle w:val="Compact"/>
              <w:suppressAutoHyphens/>
              <w:jc w:val="center"/>
            </w:pPr>
            <w:r>
              <w:rPr>
                <w:sz w:val="18"/>
                <w:szCs w:val="18"/>
              </w:rPr>
              <w:t xml:space="preserve">0.789±0.011</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0.336±0.007</w:t>
            </w:r>
          </w:p>
        </w:tc>
        <w:tc>
          <w:tcPr>
            <w:vAlign w:val="center"/>
          </w:tcPr>
          <w:p>
            <w:pPr>
              <w:pStyle w:val="Compact"/>
              <w:suppressAutoHyphens/>
              <w:jc w:val="center"/>
            </w:pPr>
            <w:r>
              <w:rPr>
                <w:sz w:val="18"/>
                <w:szCs w:val="18"/>
              </w:rPr>
              <w:t xml:space="preserve">0.730±0.003</w:t>
            </w:r>
          </w:p>
        </w:tc>
        <w:tc>
          <w:tcPr>
            <w:vAlign w:val="center"/>
          </w:tcPr>
          <w:p>
            <w:pPr>
              <w:pStyle w:val="Compact"/>
              <w:suppressAutoHyphens/>
              <w:jc w:val="center"/>
            </w:pPr>
            <w:r>
              <w:rPr>
                <w:sz w:val="18"/>
                <w:szCs w:val="18"/>
              </w:rPr>
              <w:t xml:space="preserve">0.890±0.010</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0.251</w:t>
            </w:r>
          </w:p>
        </w:tc>
        <w:tc>
          <w:tcPr>
            <w:vAlign w:val="center"/>
          </w:tcPr>
          <w:p>
            <w:pPr>
              <w:pStyle w:val="Compact"/>
              <w:suppressAutoHyphens/>
              <w:jc w:val="center"/>
            </w:pPr>
            <w:r>
              <w:rPr>
                <w:sz w:val="18"/>
                <w:szCs w:val="18"/>
              </w:rPr>
              <w:t xml:space="preserve">0.465</w:t>
            </w:r>
          </w:p>
        </w:tc>
        <w:tc>
          <w:tcPr>
            <w:vAlign w:val="center"/>
          </w:tcPr>
          <w:p>
            <w:pPr>
              <w:pStyle w:val="Compact"/>
              <w:suppressAutoHyphens/>
              <w:jc w:val="center"/>
            </w:pPr>
            <w:r>
              <w:rPr>
                <w:sz w:val="18"/>
                <w:szCs w:val="18"/>
              </w:rPr>
              <w:t xml:space="preserve">0.914</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0.257</w:t>
            </w:r>
          </w:p>
        </w:tc>
        <w:tc>
          <w:tcPr>
            <w:vAlign w:val="center"/>
          </w:tcPr>
          <w:p>
            <w:pPr>
              <w:pStyle w:val="Compact"/>
              <w:suppressAutoHyphens/>
              <w:jc w:val="center"/>
            </w:pPr>
            <w:r>
              <w:rPr>
                <w:sz w:val="18"/>
                <w:szCs w:val="18"/>
              </w:rPr>
              <w:t xml:space="preserve">0.471</w:t>
            </w:r>
          </w:p>
        </w:tc>
        <w:tc>
          <w:tcPr>
            <w:vAlign w:val="center"/>
          </w:tcPr>
          <w:p>
            <w:pPr>
              <w:pStyle w:val="Compact"/>
              <w:suppressAutoHyphens/>
              <w:jc w:val="center"/>
            </w:pPr>
            <w:r>
              <w:rPr>
                <w:sz w:val="18"/>
                <w:szCs w:val="18"/>
              </w:rPr>
              <w:t xml:space="preserve">0.785</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0.276</w:t>
            </w:r>
          </w:p>
        </w:tc>
        <w:tc>
          <w:tcPr>
            <w:vAlign w:val="center"/>
          </w:tcPr>
          <w:p>
            <w:pPr>
              <w:pStyle w:val="Compact"/>
              <w:suppressAutoHyphens/>
              <w:jc w:val="center"/>
            </w:pPr>
            <w:r>
              <w:rPr>
                <w:sz w:val="18"/>
                <w:szCs w:val="18"/>
              </w:rPr>
              <w:t xml:space="preserve">0.418</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VaDE-hard+resid (ours)</w:t>
            </w:r>
          </w:p>
        </w:tc>
        <w:tc>
          <w:tcPr>
            <w:vAlign w:val="center"/>
          </w:tcPr>
          <w:p>
            <w:pPr>
              <w:pStyle w:val="Compact"/>
              <w:suppressAutoHyphens/>
              <w:jc w:val="center"/>
            </w:pPr>
            <w:r>
              <w:rPr>
                <w:sz w:val="18"/>
                <w:szCs w:val="18"/>
              </w:rPr>
              <w:t xml:space="preserve">0.601±0.027</w:t>
            </w:r>
          </w:p>
        </w:tc>
        <w:tc>
          <w:tcPr>
            <w:vAlign w:val="center"/>
          </w:tcPr>
          <w:p>
            <w:pPr>
              <w:pStyle w:val="Compact"/>
              <w:suppressAutoHyphens/>
              <w:jc w:val="center"/>
            </w:pPr>
            <w:r>
              <w:rPr>
                <w:sz w:val="18"/>
                <w:szCs w:val="18"/>
              </w:rPr>
              <w:t xml:space="preserve">0.806±0.019</w:t>
            </w:r>
          </w:p>
        </w:tc>
        <w:tc>
          <w:tcPr>
            <w:vAlign w:val="center"/>
          </w:tcPr>
          <w:p>
            <w:pPr>
              <w:pStyle w:val="Compact"/>
              <w:suppressAutoHyphens/>
              <w:jc w:val="center"/>
            </w:pPr>
            <w:r>
              <w:rPr>
                <w:sz w:val="18"/>
                <w:szCs w:val="18"/>
              </w:rPr>
              <w:t xml:space="preserve">0.921±0.012</w:t>
            </w:r>
          </w:p>
        </w:tc>
      </w:tr>
    </w:tbl>
    <w:p>
      <w:pPr>
        <w:pStyle w:val="MDPI31text"/>
        <w:ind w:left="2608"/>
      </w:pPr>
      <w:r>
        <w:rPr>
          <w:b/>
          <w:bCs/>
        </w:rPr>
        <w:t xml:space="preserve">Deep SOTA under raw metrics.</w:t>
      </w:r>
      <w:r>
        <w:t xml:space="preserve"> </w:t>
      </w:r>
      <w:r>
        <w:t xml:space="preserve">Re-computed with raw point-wise metrics, the deep detectors USAD</w:t>
      </w:r>
      <w:r>
        <w:t xml:space="preserve"> </w:t>
      </w:r>
      <w:r>
        <w:t xml:space="preserve">and TranAD collapse on the difficult subset of the two joint-structure benchmarks: over five seeds they fall to</w:t>
      </w:r>
      <w:r>
        <w:t xml:space="preserve"> </w:t>
      </w:r>
      <w:r>
        <w:t xml:space="preserve">0.477 and 0.444 on HAI and to 0.305 and 0.325 on WADI, near or below chance and far below our 0.690–0.811,</w:t>
      </w:r>
      <w:r>
        <w:t xml:space="preserve"> </w:t>
      </w:r>
      <w:r>
        <w:t xml:space="preserve">even while they remain strong on Easy (0.90–0.97). This is the concrete face of the “illusion of success”:</w:t>
      </w:r>
      <w:r>
        <w:t xml:space="preserve"> </w:t>
      </w:r>
      <w:r>
        <w:t xml:space="preserve">models that look strong under point-adjusted F1 have little difficult-fault signal once the metric is raw.</w:t>
      </w:r>
    </w:p>
    <w:p xmlns:a="http://schemas.openxmlformats.org/drawingml/2006/main" xmlns:pic="http://schemas.openxmlformats.org/drawingml/2006/picture">
      <w:pPr>
        <w:pStyle w:val="MDPI52figure"/>
        <w:ind w:left="2608"/>
        <w:jc w:val="center"/>
      </w:pPr>
      <w:r>
        <w:drawing>
          <wp:inline>
            <wp:extent cx="4989830" cy="2080135"/>
            <wp:effectExtent b="0" l="0" r="0" t="0"/>
            <wp:docPr descr="figure" title="" id="32" name="Picture"/>
            <a:graphic>
              <a:graphicData uri="http://schemas.openxmlformats.org/drawingml/2006/picture">
                <pic:pic>
                  <pic:nvPicPr>
                    <pic:cNvPr descr="_inlinesvg_0.png" id="33" name="Picture"/>
                    <pic:cNvPicPr>
                      <a:picLocks noChangeArrowheads="1" noChangeAspect="1"/>
                    </pic:cNvPicPr>
                  </pic:nvPicPr>
                  <pic:blipFill>
                    <a:blip r:embed="rId8"/>
                    <a:stretch>
                      <a:fillRect/>
                    </a:stretch>
                  </pic:blipFill>
                  <pic:spPr bwMode="auto">
                    <a:xfrm>
                      <a:off x="0" y="0"/>
                      <a:ext cx="4989830" cy="2080135"/>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Difficult-subset AUROC by method (five-seed mean; whiskers show ±1 SD over seeds for the learned detectors). The detector is strongest on HAI by a statistically significant margin (paired 95% CI [0.015, 0.089] over the AutoEncoder) and ties the top baseline on WADI (0.690 vs Isolation Forest 0.677) and SWaT. The margin over the deep detectors (USAD, TranAD) is largest on HAI (0.811 vs 0.45–0.50) and WADI (0.690 vs 0.30–0.33), the two benchmarks whose difficult faults are low-magnitude improbable combinations that reconstruction error cannot separate from normal; on SWaT the difficult faults are large multivariate deviations that every method detects, so the margin is small.</w:t>
      </w:r>
    </w:p>
    <w:p>
      <w:pPr>
        <w:pStyle w:val="MDPI21heading1"/>
        <w:ind w:left="2608"/>
      </w:pPr>
      <w:r>
        <w:t xml:space="preserve">7  Discussion</w:t>
      </w:r>
    </w:p>
    <w:p>
      <w:pPr>
        <w:pStyle w:val="MDPI32textnoindent"/>
        <w:ind w:left="2608"/>
      </w:pPr>
      <w:r>
        <w:rPr>
          <w:b/>
          <w:bCs/>
        </w:rPr>
        <w:t xml:space="preserve">Executive summary.</w:t>
      </w:r>
      <w:r>
        <w:t xml:space="preserve"> </w:t>
      </w:r>
      <w:r>
        <w:t xml:space="preserve">Under a fair protocol (raw point-wise metrics, difficulty</w:t>
      </w:r>
      <w:r>
        <w:t xml:space="preserve"> </w:t>
      </w:r>
      <w:r>
        <w:t xml:space="preserve">stratification, and train-normal-only calibration) on three real CPS attack benchmarks, the VaDE-based</w:t>
      </w:r>
      <w:r>
        <w:t xml:space="preserve"> </w:t>
      </w:r>
      <w:r>
        <w:t xml:space="preserve">latent-plus-clustering detector</w:t>
      </w:r>
      <w:r>
        <w:t xml:space="preserve"> </w:t>
      </w:r>
      <w:r>
        <w:rPr>
          <w:b/>
          <w:bCs/>
        </w:rPr>
        <w:t xml:space="preserve">attains the best overall AUROC on every dataset and is strongest on the</w:t>
      </w:r>
      <w:r>
        <w:rPr>
          <w:b/>
          <w:bCs/>
        </w:rPr>
        <w:t xml:space="preserve"> </w:t>
      </w:r>
      <w:r>
        <w:rPr>
          <w:b/>
          <w:bCs/>
        </w:rPr>
        <w:t xml:space="preserve">difficult subset over five seeds</w:t>
      </w:r>
      <w:r>
        <w:t xml:space="preserve">. The clearest demonstration is HAI, whose difficult faults genuinely</w:t>
      </w:r>
      <w:r>
        <w:t xml:space="preserve"> </w:t>
      </w:r>
      <w:r>
        <w:t xml:space="preserve">break joint structure: the detector reaches 0.811, a statistically significant margin over the next-best baseline</w:t>
      </w:r>
      <w:r>
        <w:t xml:space="preserve"> </w:t>
      </w:r>
      <w:r>
        <w:t xml:space="preserve">(paired episode-bootstrap 95% CI [0.015, 0.089]), while the deep detectors USAD and TranAD fall near chance</w:t>
      </w:r>
      <w:r>
        <w:t xml:space="preserve"> </w:t>
      </w:r>
      <w:r>
        <w:t xml:space="preserve">(0.44–0.48); on WADI and SWaT it ties the strongest baseline at the top of the difficult column. Modelling normal as a jointly learned latent plus explicit mode clustering, and scoring by</w:t>
      </w:r>
      <w:r>
        <w:t xml:space="preserve"> </w:t>
      </w:r>
      <w:r>
        <w:t xml:space="preserve">probability in that latent, is what delivers the difficult-subset advantage.</w:t>
      </w:r>
    </w:p>
    <w:p>
      <w:pPr>
        <w:pStyle w:val="MDPI31text"/>
        <w:ind w:left="2608"/>
      </w:pPr>
      <w:r>
        <w:rPr>
          <w:b/>
          <w:bCs/>
        </w:rPr>
        <w:t xml:space="preserve">Why reconstruction fails and density wins.</w:t>
      </w:r>
      <w:r>
        <w:t xml:space="preserve"> </w:t>
      </w:r>
      <w:r>
        <w:t xml:space="preserve">The deep detectors USAD and TranAD score by</w:t>
      </w:r>
      <w:r>
        <w:t xml:space="preserve"> </w:t>
      </w:r>
      <w:r>
        <w:t xml:space="preserve">reconstruction, and reconstruction measures</w:t>
      </w:r>
      <w:r>
        <w:t xml:space="preserve"> </w:t>
      </w:r>
      <w:r>
        <w:rPr>
          <w:i/>
          <w:iCs/>
        </w:rPr>
        <w:t xml:space="preserve">reachability</w:t>
      </w:r>
      <w:r>
        <w:t xml:space="preserve"> </w:t>
      </w:r>
      <w:r>
        <w:t xml:space="preserve">(can the decoder reproduce this vector?), not</w:t>
      </w:r>
      <w:r>
        <w:t xml:space="preserve"> </w:t>
      </w:r>
      <w:r>
        <w:rPr>
          <w:i/>
          <w:iCs/>
        </w:rPr>
        <w:t xml:space="preserve">probability</w:t>
      </w:r>
      <w:r>
        <w:t xml:space="preserve"> </w:t>
      </w:r>
      <w:r>
        <w:t xml:space="preserve">(is this vector likely under normal?). On multimodal normal data the two diverge: a flexible</w:t>
      </w:r>
      <w:r>
        <w:t xml:space="preserve"> </w:t>
      </w:r>
      <w:r>
        <w:t xml:space="preserve">decoder trained to reproduce several modes interpolates between them, so an improbable between-mode or</w:t>
      </w:r>
      <w:r>
        <w:t xml:space="preserve"> </w:t>
      </w:r>
      <w:r>
        <w:t xml:space="preserve">in-mode-tail combination sits inside the decoder's reachable range and reconstructs with low error. We verify this</w:t>
      </w:r>
      <w:r>
        <w:t xml:space="preserve"> </w:t>
      </w:r>
      <w:r>
        <w:t xml:space="preserve">directly on WADI. The difficult anomalies stay on the normal manifold (PCA off-subspace residual AUROC 0.43) and</w:t>
      </w:r>
      <w:r>
        <w:t xml:space="preserve"> </w:t>
      </w:r>
      <w:r>
        <w:t xml:space="preserve">reconstruct as well as normal (reconstruction-error AUROC 0.43), yet the latent density flags them (0.74). A</w:t>
      </w:r>
      <w:r>
        <w:t xml:space="preserve"> </w:t>
      </w:r>
      <w:r>
        <w:t xml:space="preserve">controlled probe makes the mechanism explicit: synthetic improbable combinations formed by averaging two normal</w:t>
      </w:r>
      <w:r>
        <w:t xml:space="preserve"> </w:t>
      </w:r>
      <w:r>
        <w:t xml:space="preserve">windows from different modes reconstruct even better than real normal (reconstruction AUROC 0.08), while the</w:t>
      </w:r>
      <w:r>
        <w:t xml:space="preserve"> </w:t>
      </w:r>
      <w:r>
        <w:t xml:space="preserve">latent density separates them cleanly (0.72). Scoring by density in the clustered latent replaces reachability</w:t>
      </w:r>
      <w:r>
        <w:t xml:space="preserve"> </w:t>
      </w:r>
      <w:r>
        <w:t xml:space="preserve">with probability, which is exactly what reconstruction cannot see. This is why the base score omits reconstruction</w:t>
      </w:r>
      <w:r>
        <w:t xml:space="preserve"> </w:t>
      </w:r>
      <w:r>
        <w:t xml:space="preserve">and scores in the jointly learned latent, with a high-</w:t>
      </w:r>
      <w:r>
        <w:rPr>
          <w:i/>
          <w:iCs/>
        </w:rPr>
        <w:t xml:space="preserve">K</w:t>
      </w:r>
      <w:r>
        <w:t xml:space="preserve"> </w:t>
      </w:r>
      <w:r>
        <w:t xml:space="preserve">density head for non-Gaussian fringes (A4) and a</w:t>
      </w:r>
      <w:r>
        <w:t xml:space="preserve"> </w:t>
      </w:r>
      <w:r>
        <w:t xml:space="preserve">rare-mode-safe nearest-component likelihood (A6); reconstruction is added back only through the optional,</w:t>
      </w:r>
      <w:r>
        <w:t xml:space="preserve"> </w:t>
      </w:r>
      <w:r>
        <w:t xml:space="preserve">auto-gated residual head where it demonstrably helps (§4.3 iv).</w:t>
      </w:r>
    </w:p>
    <w:p>
      <w:pPr>
        <w:pStyle w:val="MDPI41tablecaption"/>
        <w:ind w:left="2608"/>
      </w:pPr>
      <w:r>
        <w:rPr>
          <w:b/>
          <w:bCs/>
        </w:rPr>
        <w:t xml:space="preserve">Table 5.</w:t>
      </w:r>
      <w:r>
        <w:t xml:space="preserve"> </w:t>
      </w:r>
      <w:r>
        <w:t xml:space="preserve">Difficult-subset AUROC by score head, five-seed mean±standard deviation</w:t>
      </w:r>
      <w:r>
        <w:t xml:space="preserve"> </w:t>
      </w:r>
      <w:r>
        <w:t xml:space="preserve">on all three datasets (an independent five-seed run; the final row reproduces the Table 3 headline within seed</w:t>
      </w:r>
      <w:r>
        <w:t xml:space="preserve"> </w:t>
      </w:r>
      <w:r>
        <w:t xml:space="preserve">variation).</w:t>
      </w:r>
      <w:r>
        <w:t xml:space="preserve"> </w:t>
      </w:r>
      <w:r>
        <w:rPr>
          <w:i/>
          <w:iCs/>
        </w:rPr>
        <w:t xml:space="preserve">recon</w:t>
      </w:r>
      <w:r>
        <w:t xml:space="preserve"> </w:t>
      </w:r>
      <w:r>
        <w:t xml:space="preserve">is the whitened reconstruction residual (the term the base score omits);</w:t>
      </w:r>
      <w:r>
        <w:t xml:space="preserve"> </w:t>
      </w:r>
      <w:r>
        <w:rPr>
          <w:i/>
          <w:iCs/>
        </w:rPr>
        <w:t xml:space="preserve">base</w:t>
      </w:r>
      <w:r>
        <w:t xml:space="preserve"> </w:t>
      </w:r>
      <w:r>
        <w:t xml:space="preserve">is density+nearest;</w:t>
      </w:r>
      <w:r>
        <w:t xml:space="preserve"> </w:t>
      </w:r>
      <w:r>
        <w:rPr>
          <w:i/>
          <w:iCs/>
        </w:rPr>
        <w:t xml:space="preserve">base+resid</w:t>
      </w:r>
      <w:r>
        <w:t xml:space="preserve"> </w:t>
      </w:r>
      <w:r>
        <w:t xml:space="preserve">adds the auto-gated residual head;</w:t>
      </w:r>
      <w:r>
        <w:t xml:space="preserve"> </w:t>
      </w:r>
      <w:r>
        <w:rPr>
          <w:i/>
          <w:iCs/>
        </w:rPr>
        <w:t xml:space="preserve">LatAD</w:t>
      </w:r>
      <w:r>
        <w:t xml:space="preserve"> </w:t>
      </w:r>
      <w:r>
        <w:t xml:space="preserve">is the reported model</w:t>
      </w:r>
      <w:r>
        <w:t xml:space="preserve"> </w:t>
      </w:r>
      <w:r>
        <w:t xml:space="preserve">(base+resid+basin, auto-gated).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022"/>
        <w:gridCol w:w="1611"/>
        <w:gridCol w:w="1611"/>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Score head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rPr>
              <w:t xml:space="preserve">reconstruction residual (dropped term)</w:t>
            </w:r>
          </w:p>
        </w:tc>
        <w:tc>
          <w:tcPr>
            <w:vAlign w:val="center"/>
          </w:tcPr>
          <w:p>
            <w:pPr>
              <w:pStyle w:val="Compact"/>
              <w:suppressAutoHyphens/>
              <w:jc w:val="center"/>
            </w:pPr>
            <w:r>
              <w:rPr>
                <w:sz w:val="18"/>
                <w:szCs w:val="18"/>
              </w:rPr>
              <w:t xml:space="preserve">0.475±0.004</w:t>
            </w:r>
          </w:p>
        </w:tc>
        <w:tc>
          <w:tcPr>
            <w:vAlign w:val="center"/>
          </w:tcPr>
          <w:p>
            <w:pPr>
              <w:pStyle w:val="Compact"/>
              <w:suppressAutoHyphens/>
              <w:jc w:val="center"/>
            </w:pPr>
            <w:r>
              <w:rPr>
                <w:sz w:val="18"/>
                <w:szCs w:val="18"/>
              </w:rPr>
              <w:t xml:space="preserve">0.695±0.004</w:t>
            </w:r>
          </w:p>
        </w:tc>
        <w:tc>
          <w:tcPr>
            <w:vAlign w:val="center"/>
          </w:tcPr>
          <w:p>
            <w:pPr>
              <w:pStyle w:val="Compact"/>
              <w:suppressAutoHyphens/>
              <w:jc w:val="center"/>
            </w:pPr>
            <w:r>
              <w:rPr>
                <w:sz w:val="18"/>
                <w:szCs w:val="18"/>
              </w:rPr>
              <w:t xml:space="preserve">0.965±0.002</w:t>
            </w:r>
          </w:p>
        </w:tc>
      </w:tr>
      <w:tr>
        <w:tc>
          <w:tcPr>
            <w:vAlign w:val="center"/>
          </w:tcPr>
          <w:p>
            <w:pPr>
              <w:pStyle w:val="Compact"/>
              <w:suppressAutoHyphens/>
              <w:jc w:val="center"/>
            </w:pPr>
            <w:r>
              <w:rPr>
                <w:sz w:val="18"/>
                <w:szCs w:val="18"/>
              </w:rPr>
              <w:t xml:space="preserve">latent density</w:t>
            </w:r>
          </w:p>
        </w:tc>
        <w:tc>
          <w:tcPr>
            <w:vAlign w:val="center"/>
          </w:tcPr>
          <w:p>
            <w:pPr>
              <w:pStyle w:val="Compact"/>
              <w:suppressAutoHyphens/>
              <w:jc w:val="center"/>
            </w:pPr>
            <w:r>
              <w:rPr>
                <w:sz w:val="18"/>
                <w:szCs w:val="18"/>
              </w:rPr>
              <w:t xml:space="preserve">0.694±0.027</w:t>
            </w:r>
          </w:p>
        </w:tc>
        <w:tc>
          <w:tcPr>
            <w:vAlign w:val="center"/>
          </w:tcPr>
          <w:p>
            <w:pPr>
              <w:pStyle w:val="Compact"/>
              <w:suppressAutoHyphens/>
              <w:jc w:val="center"/>
            </w:pPr>
            <w:r>
              <w:rPr>
                <w:sz w:val="18"/>
                <w:szCs w:val="18"/>
              </w:rPr>
              <w:t xml:space="preserve">0.802±0.011</w:t>
            </w:r>
          </w:p>
        </w:tc>
        <w:tc>
          <w:tcPr>
            <w:vAlign w:val="center"/>
          </w:tcPr>
          <w:p>
            <w:pPr>
              <w:pStyle w:val="Compact"/>
              <w:suppressAutoHyphens/>
              <w:jc w:val="center"/>
            </w:pPr>
            <w:r>
              <w:rPr>
                <w:sz w:val="18"/>
                <w:szCs w:val="18"/>
              </w:rPr>
              <w:t xml:space="preserve">0.952±0.008</w:t>
            </w:r>
          </w:p>
        </w:tc>
      </w:tr>
      <w:tr>
        <w:tc>
          <w:tcPr>
            <w:vAlign w:val="center"/>
          </w:tcPr>
          <w:p>
            <w:pPr>
              <w:pStyle w:val="Compact"/>
              <w:suppressAutoHyphens/>
              <w:jc w:val="center"/>
            </w:pPr>
            <w:r>
              <w:rPr>
                <w:sz w:val="18"/>
                <w:szCs w:val="18"/>
              </w:rPr>
              <w:t xml:space="preserve">nearest-component NLL</w:t>
            </w:r>
          </w:p>
        </w:tc>
        <w:tc>
          <w:tcPr>
            <w:vAlign w:val="center"/>
          </w:tcPr>
          <w:p>
            <w:pPr>
              <w:pStyle w:val="Compact"/>
              <w:suppressAutoHyphens/>
              <w:jc w:val="center"/>
            </w:pPr>
            <w:r>
              <w:rPr>
                <w:sz w:val="18"/>
                <w:szCs w:val="18"/>
              </w:rPr>
              <w:t xml:space="preserve">0.665±0.033</w:t>
            </w:r>
          </w:p>
        </w:tc>
        <w:tc>
          <w:tcPr>
            <w:vAlign w:val="center"/>
          </w:tcPr>
          <w:p>
            <w:pPr>
              <w:pStyle w:val="Compact"/>
              <w:suppressAutoHyphens/>
              <w:jc w:val="center"/>
            </w:pPr>
            <w:r>
              <w:rPr>
                <w:sz w:val="18"/>
                <w:szCs w:val="18"/>
              </w:rPr>
              <w:t xml:space="preserve">0.797±0.008</w:t>
            </w:r>
          </w:p>
        </w:tc>
        <w:tc>
          <w:tcPr>
            <w:vAlign w:val="center"/>
          </w:tcPr>
          <w:p>
            <w:pPr>
              <w:pStyle w:val="Compact"/>
              <w:suppressAutoHyphens/>
              <w:jc w:val="center"/>
            </w:pPr>
            <w:r>
              <w:rPr>
                <w:sz w:val="18"/>
                <w:szCs w:val="18"/>
              </w:rPr>
              <w:t xml:space="preserve">0.922±0.010</w:t>
            </w:r>
          </w:p>
        </w:tc>
      </w:tr>
      <w:tr>
        <w:tc>
          <w:tcPr>
            <w:vAlign w:val="center"/>
          </w:tcPr>
          <w:p>
            <w:pPr>
              <w:pStyle w:val="Compact"/>
              <w:suppressAutoHyphens/>
              <w:jc w:val="center"/>
            </w:pPr>
            <w:r>
              <w:rPr>
                <w:sz w:val="18"/>
                <w:szCs w:val="18"/>
              </w:rPr>
              <w:t xml:space="preserve">base (density + nearest)</w:t>
            </w:r>
          </w:p>
        </w:tc>
        <w:tc>
          <w:tcPr>
            <w:vAlign w:val="center"/>
          </w:tcPr>
          <w:p>
            <w:pPr>
              <w:pStyle w:val="Compact"/>
              <w:suppressAutoHyphens/>
              <w:jc w:val="center"/>
            </w:pPr>
            <w:r>
              <w:rPr>
                <w:sz w:val="18"/>
                <w:szCs w:val="18"/>
              </w:rPr>
              <w:t xml:space="preserve">0.685±0.030</w:t>
            </w:r>
          </w:p>
        </w:tc>
        <w:tc>
          <w:tcPr>
            <w:vAlign w:val="center"/>
          </w:tcPr>
          <w:p>
            <w:pPr>
              <w:pStyle w:val="Compact"/>
              <w:suppressAutoHyphens/>
              <w:jc w:val="center"/>
            </w:pPr>
            <w:r>
              <w:rPr>
                <w:sz w:val="18"/>
                <w:szCs w:val="18"/>
              </w:rPr>
              <w:t xml:space="preserve">0.801±0.010</w:t>
            </w:r>
          </w:p>
        </w:tc>
        <w:tc>
          <w:tcPr>
            <w:vAlign w:val="center"/>
          </w:tcPr>
          <w:p>
            <w:pPr>
              <w:pStyle w:val="Compact"/>
              <w:suppressAutoHyphens/>
              <w:jc w:val="center"/>
            </w:pPr>
            <w:r>
              <w:rPr>
                <w:sz w:val="18"/>
                <w:szCs w:val="18"/>
              </w:rPr>
              <w:t xml:space="preserve">0.947±0.007</w:t>
            </w:r>
          </w:p>
        </w:tc>
      </w:tr>
      <w:tr>
        <w:tc>
          <w:tcPr>
            <w:vAlign w:val="center"/>
          </w:tcPr>
          <w:p>
            <w:pPr>
              <w:pStyle w:val="Compact"/>
              <w:suppressAutoHyphens/>
              <w:jc w:val="center"/>
            </w:pPr>
            <w:r>
              <w:rPr>
                <w:sz w:val="18"/>
                <w:szCs w:val="18"/>
              </w:rPr>
              <w:t xml:space="preserve">base + resid (auto)</w:t>
            </w:r>
          </w:p>
        </w:tc>
        <w:tc>
          <w:tcPr>
            <w:vAlign w:val="center"/>
          </w:tcPr>
          <w:p>
            <w:pPr>
              <w:pStyle w:val="Compact"/>
              <w:suppressAutoHyphens/>
              <w:jc w:val="center"/>
            </w:pPr>
            <w:r>
              <w:rPr>
                <w:sz w:val="18"/>
                <w:szCs w:val="18"/>
              </w:rPr>
              <w:t xml:space="preserve">0.685±0.030</w:t>
            </w:r>
          </w:p>
        </w:tc>
        <w:tc>
          <w:tcPr>
            <w:vAlign w:val="center"/>
          </w:tcPr>
          <w:p>
            <w:pPr>
              <w:pStyle w:val="Compact"/>
              <w:suppressAutoHyphens/>
              <w:jc w:val="center"/>
            </w:pPr>
            <w:r>
              <w:rPr>
                <w:sz w:val="18"/>
                <w:szCs w:val="18"/>
              </w:rPr>
              <w:t xml:space="preserve">0.820±0.010</w:t>
            </w:r>
          </w:p>
        </w:tc>
        <w:tc>
          <w:tcPr>
            <w:vAlign w:val="center"/>
          </w:tcPr>
          <w:p>
            <w:pPr>
              <w:pStyle w:val="Compact"/>
              <w:suppressAutoHyphens/>
              <w:jc w:val="center"/>
            </w:pPr>
            <w:r>
              <w:rPr>
                <w:sz w:val="18"/>
                <w:szCs w:val="18"/>
              </w:rPr>
              <w:t xml:space="preserve">0.960±0.002</w:t>
            </w:r>
          </w:p>
        </w:tc>
      </w:tr>
      <w:tr>
        <w:tc>
          <w:tcPr>
            <w:vAlign w:val="center"/>
          </w:tcPr>
          <w:p>
            <w:pPr>
              <w:pStyle w:val="Compact"/>
              <w:suppressAutoHyphens/>
              <w:jc w:val="center"/>
            </w:pPr>
            <w:r>
              <w:rPr>
                <w:b/>
                <w:bCs/>
                <w:sz w:val="18"/>
                <w:szCs w:val="18"/>
              </w:rPr>
              <w:t xml:space="preserve">LatAD (reported)</w:t>
            </w:r>
          </w:p>
        </w:tc>
        <w:tc>
          <w:tcPr>
            <w:vAlign w:val="center"/>
          </w:tcPr>
          <w:p>
            <w:pPr>
              <w:pStyle w:val="Compact"/>
              <w:suppressAutoHyphens/>
              <w:jc w:val="center"/>
            </w:pPr>
            <w:r>
              <w:rPr>
                <w:sz w:val="18"/>
                <w:szCs w:val="18"/>
              </w:rPr>
              <w:t xml:space="preserve">0.685±0.030</w:t>
            </w:r>
          </w:p>
        </w:tc>
        <w:tc>
          <w:tcPr>
            <w:vAlign w:val="center"/>
          </w:tcPr>
          <w:p>
            <w:pPr>
              <w:pStyle w:val="Compact"/>
              <w:suppressAutoHyphens/>
              <w:jc w:val="center"/>
            </w:pPr>
            <w:r>
              <w:rPr>
                <w:sz w:val="18"/>
                <w:szCs w:val="18"/>
              </w:rPr>
              <w:t xml:space="preserve">0.820±0.010</w:t>
            </w:r>
          </w:p>
        </w:tc>
        <w:tc>
          <w:tcPr>
            <w:vAlign w:val="center"/>
          </w:tcPr>
          <w:p>
            <w:pPr>
              <w:pStyle w:val="Compact"/>
              <w:suppressAutoHyphens/>
              <w:jc w:val="center"/>
            </w:pPr>
            <w:r>
              <w:rPr>
                <w:sz w:val="18"/>
                <w:szCs w:val="18"/>
              </w:rPr>
              <w:t xml:space="preserve">0.960±0.002</w:t>
            </w:r>
          </w:p>
        </w:tc>
      </w:tr>
    </w:tbl>
    <w:p>
      <w:pPr>
        <w:pStyle w:val="MDPI31text"/>
        <w:ind w:left="2608"/>
      </w:pPr>
      <w:r>
        <w:t xml:space="preserve">Table 5 decomposes the score into its heads across five seeds and all three datasets. On WADI the reconstruction</w:t>
      </w:r>
      <w:r>
        <w:t xml:space="preserve"> </w:t>
      </w:r>
      <w:r>
        <w:t xml:space="preserve">residual alone is near chance (0.475) while the latent density carries the signal (0.694); on HAI reconstruction is</w:t>
      </w:r>
      <w:r>
        <w:t xml:space="preserve"> </w:t>
      </w:r>
      <w:r>
        <w:t xml:space="preserve">informative but the weakest head (0.695) and the density head dominates (0.802). The residual head, where the gate</w:t>
      </w:r>
      <w:r>
        <w:t xml:space="preserve"> </w:t>
      </w:r>
      <w:r>
        <w:t xml:space="preserve">turns it on, lifts the base score exactly where reconstruction is informative (HAI 0.801→0.820, SWaT</w:t>
      </w:r>
      <w:r>
        <w:t xml:space="preserve"> </w:t>
      </w:r>
      <w:r>
        <w:t xml:space="preserve">0.947→0.960) and stays off on WADI. On SWaT reconstruction is in fact the strongest single head (0.965),</w:t>
      </w:r>
      <w:r>
        <w:t xml:space="preserve"> </w:t>
      </w:r>
      <w:r>
        <w:t xml:space="preserve">consistent with SWaT's difficult faults being large deviations that reconstruction catches, which is why the gate</w:t>
      </w:r>
      <w:r>
        <w:t xml:space="preserve"> </w:t>
      </w:r>
      <w:r>
        <w:t xml:space="preserve">keeps the residual head on there and why SWaT is a ceiling rather than a joint-structure test. The decomposition</w:t>
      </w:r>
      <w:r>
        <w:t xml:space="preserve"> </w:t>
      </w:r>
      <w:r>
        <w:t xml:space="preserve">supports the mechanism at the head level: the latent density is what carries the joint-structure benchmarks, and</w:t>
      </w:r>
      <w:r>
        <w:t xml:space="preserve"> </w:t>
      </w:r>
      <w:r>
        <w:t xml:space="preserve">reconstruction contributes only where it provably generalises.</w:t>
      </w:r>
    </w:p>
    <w:p>
      <w:pPr>
        <w:pStyle w:val="MDPI31text"/>
        <w:ind w:left="2608"/>
      </w:pPr>
      <w:r>
        <w:rPr>
          <w:b/>
          <w:bCs/>
        </w:rPr>
        <w:t xml:space="preserve">Auto-gating adapts one architecture to three datasets.</w:t>
      </w:r>
      <w:r>
        <w:t xml:space="preserve"> </w:t>
      </w:r>
      <w:r>
        <w:t xml:space="preserve">The winning signal is</w:t>
      </w:r>
      <w:r>
        <w:t xml:space="preserve"> </w:t>
      </w:r>
      <w:r>
        <w:t xml:space="preserve">dataset-dependent, so rather than hand-select we gate two optional heads by purely train-normal signals: a</w:t>
      </w:r>
      <w:r>
        <w:t xml:space="preserve"> </w:t>
      </w:r>
      <w:r>
        <w:t xml:space="preserve">responsibility-weighted whitened residual (gated by held-out-normal generalisation; active on HAI and SWaT) and a</w:t>
      </w:r>
      <w:r>
        <w:t xml:space="preserve"> </w:t>
      </w:r>
      <w:r>
        <w:t xml:space="preserve">basin-agreement head (gated by the ambiguous-normal ratio; a no-op on all three benchmarks here). The single</w:t>
      </w:r>
      <w:r>
        <w:t xml:space="preserve"> </w:t>
      </w:r>
      <w:r>
        <w:t xml:space="preserve">configuration VaDE-hard+resid(auto) then adapts itself: the residual head activates on HAI and SWaT, where the</w:t>
      </w:r>
      <w:r>
        <w:t xml:space="preserve"> </w:t>
      </w:r>
      <w:r>
        <w:t xml:space="preserve">fault leaves a whitened-residual signal, and stays off on WADI, whose difficult faults are pure low-density</w:t>
      </w:r>
      <w:r>
        <w:t xml:space="preserve"> </w:t>
      </w:r>
      <w:r>
        <w:t xml:space="preserve">pockets in the latent.</w:t>
      </w:r>
    </w:p>
    <w:p>
      <w:pPr>
        <w:pStyle w:val="MDPI31text"/>
        <w:ind w:left="2608"/>
      </w:pPr>
      <w:r>
        <w:rPr>
          <w:b/>
          <w:bCs/>
        </w:rPr>
        <w:t xml:space="preserve">The residual frontier on WADI.</w:t>
      </w:r>
      <w:r>
        <w:t xml:space="preserve"> </w:t>
      </w:r>
      <w:r>
        <w:t xml:space="preserve">A minority of WADI difficult windows are attack-onset/offset</w:t>
      </w:r>
      <w:r>
        <w:t xml:space="preserve"> </w:t>
      </w:r>
      <w:r>
        <w:t xml:space="preserve">edges whose fault content is near-absent: 2–3σ dips on a few correlated channels, sitting inside the</w:t>
      </w:r>
      <w:r>
        <w:t xml:space="preserve"> </w:t>
      </w:r>
      <w:r>
        <w:t xml:space="preserve">normal tail, where normal CPS operation is itself noisy. No snapshot detector, ours or the deep baselines,</w:t>
      </w:r>
      <w:r>
        <w:t xml:space="preserve"> </w:t>
      </w:r>
      <w:r>
        <w:t xml:space="preserve">separates these at a low false-alarm budget; they are an intrinsic property of the data rather than of any one</w:t>
      </w:r>
      <w:r>
        <w:t xml:space="preserve"> </w:t>
      </w:r>
      <w:r>
        <w:t xml:space="preserve">detector. Reaching them would require information beyond the instantaneous window, such as a physics-informed</w:t>
      </w:r>
      <w:r>
        <w:t xml:space="preserve"> </w:t>
      </w:r>
      <w:r>
        <w:t xml:space="preserve">process residual, which we leave to future work.</w:t>
      </w:r>
    </w:p>
    <w:p>
      <w:pPr>
        <w:pStyle w:val="MDPI31text"/>
        <w:ind w:left="2608"/>
      </w:pPr>
      <w:r>
        <w:rPr>
          <w:b/>
          <w:bCs/>
        </w:rPr>
        <w:t xml:space="preserve">Trajectory assumptions A9–A10.</w:t>
      </w:r>
      <w:r>
        <w:t xml:space="preserve"> </w:t>
      </w:r>
      <w:r>
        <w:t xml:space="preserve">The reported model is window-only and leverages the</w:t>
      </w:r>
      <w:r>
        <w:t xml:space="preserve"> </w:t>
      </w:r>
      <w:r>
        <w:t xml:space="preserve">instantaneous-structure assumptions A1–A8. Extending it with multiscale-temporal features (A9) and</w:t>
      </w:r>
      <w:r>
        <w:t xml:space="preserve"> </w:t>
      </w:r>
      <w:r>
        <w:t xml:space="preserve">history-conditioned, path-dependent scoring (A10) is the natural next step; the public benchmarks used here are</w:t>
      </w:r>
      <w:r>
        <w:t xml:space="preserve"> </w:t>
      </w:r>
      <w:r>
        <w:t xml:space="preserve">snapshot-detectable, so exercising the trajectory assumptions requires data that contains a history-dependent</w:t>
      </w:r>
      <w:r>
        <w:t xml:space="preserve"> </w:t>
      </w:r>
      <w:r>
        <w:t xml:space="preserve">fault.</w:t>
      </w:r>
    </w:p>
    <w:p>
      <w:pPr>
        <w:pStyle w:val="MDPI31text"/>
        <w:ind w:left="2608"/>
      </w:pPr>
      <w:r>
        <w:rPr>
          <w:b/>
          <w:bCs/>
        </w:rPr>
        <w:t xml:space="preserve">Alternative realizations of the assumptions.</w:t>
      </w:r>
      <w:r>
        <w:t xml:space="preserve"> </w:t>
      </w:r>
      <w:r>
        <w:t xml:space="preserve">Because the MIIM assumptions fix the structure to</w:t>
      </w:r>
      <w:r>
        <w:t xml:space="preserve"> </w:t>
      </w:r>
      <w:r>
        <w:t xml:space="preserve">model rather than the estimator (§4), they open a family of detectors beyond the one reported here, and two</w:t>
      </w:r>
      <w:r>
        <w:t xml:space="preserve"> </w:t>
      </w:r>
      <w:r>
        <w:t xml:space="preserve">routes are especially promising. First,</w:t>
      </w:r>
      <w:r>
        <w:t xml:space="preserve"> </w:t>
      </w:r>
      <w:r>
        <w:rPr>
          <w:i/>
          <w:iCs/>
        </w:rPr>
        <w:t xml:space="preserve">regime separation</w:t>
      </w:r>
      <w:r>
        <w:t xml:space="preserve"> </w:t>
      </w:r>
      <w:r>
        <w:t xml:space="preserve">(A1, A7) need not come from a single global</w:t>
      </w:r>
      <w:r>
        <w:t xml:space="preserve"> </w:t>
      </w:r>
      <w:r>
        <w:t xml:space="preserve">latent mixture: correlation-structure clustering can recover the operating-mode groups directly, and a hierarchy</w:t>
      </w:r>
      <w:r>
        <w:t xml:space="preserve"> </w:t>
      </w:r>
      <w:r>
        <w:t xml:space="preserve">of such groups yields a multiscale decomposition of the normal law. Second, and relatedly,</w:t>
      </w:r>
      <w:r>
        <w:t xml:space="preserve"> </w:t>
      </w:r>
      <w:r>
        <w:rPr>
          <w:i/>
          <w:iCs/>
        </w:rPr>
        <w:t xml:space="preserve">density estimation</w:t>
      </w:r>
      <w:r>
        <w:t xml:space="preserve"> </w:t>
      </w:r>
      <w:r>
        <w:t xml:space="preserve">(A2, A4) need not be a single high-dimensional model: an ensemble of lower-dimensional density models, one per</w:t>
      </w:r>
      <w:r>
        <w:t xml:space="preserve"> </w:t>
      </w:r>
      <w:r>
        <w:t xml:space="preserve">correlated channel group, keeps a sparse joint fault from being diluted in a full-dimensional score, since a</w:t>
      </w:r>
      <w:r>
        <w:t xml:space="preserve"> </w:t>
      </w:r>
      <w:r>
        <w:t xml:space="preserve">fault confined to a few channels is a small fraction of the total dimensionality and is easily averaged away</w:t>
      </w:r>
      <w:r>
        <w:t xml:space="preserve"> </w:t>
      </w:r>
      <w:r>
        <w:t xml:space="preserve">globally. How to combine such per-group densities is itself an assumption-dependent choice — a summed</w:t>
      </w:r>
      <w:r>
        <w:t xml:space="preserve"> </w:t>
      </w:r>
      <w:r>
        <w:t xml:space="preserve">factorised likelihood is powerful when the fault is dense, a maximum over groups when it is sparse — and a</w:t>
      </w:r>
      <w:r>
        <w:t xml:space="preserve"> </w:t>
      </w:r>
      <w:r>
        <w:t xml:space="preserve">sparsity-adaptive combination is the principled reconciliation. We regard these as concrete next realizations of</w:t>
      </w:r>
      <w:r>
        <w:t xml:space="preserve"> </w:t>
      </w:r>
      <w:r>
        <w:t xml:space="preserve">the same assumption set rather than departures from it.</w:t>
      </w:r>
    </w:p>
    <w:p>
      <w:pPr>
        <w:pStyle w:val="MDPI31text"/>
        <w:ind w:left="2608"/>
      </w:pPr>
      <w:r>
        <w:rPr>
          <w:b/>
          <w:bCs/>
        </w:rPr>
        <w:t xml:space="preserve">Limitations.</w:t>
      </w:r>
      <w:r>
        <w:t xml:space="preserve"> </w:t>
      </w:r>
      <w:r>
        <w:t xml:space="preserve">Three boundary conditions apply: three datasets, one trained model per dataset,</w:t>
      </w:r>
      <w:r>
        <w:t xml:space="preserve"> </w:t>
      </w:r>
      <w:r>
        <w:t xml:space="preserve">and a single instantaneous representation. AUROC is threshold-free and reported as a five-seed mean; the F1 column</w:t>
      </w:r>
      <w:r>
        <w:t xml:space="preserve"> </w:t>
      </w:r>
      <w:r>
        <w:t xml:space="preserve">is a best-threshold raw F1, disclosed as such. The easy/difficult split is a property of one cut, the trivial</w:t>
      </w:r>
      <w:r>
        <w:t xml:space="preserve"> </w:t>
      </w:r>
      <w:r>
        <w:t xml:space="preserve">detector's 99th-percentile-of-train-normal threshold; a different percentile would redraw the boundary between the</w:t>
      </w:r>
      <w:r>
        <w:t xml:space="preserve"> </w:t>
      </w:r>
      <w:r>
        <w:t xml:space="preserve">subsets, though the gap between the trivial rule's Easy and Difficult performance is large enough that the split is</w:t>
      </w:r>
      <w:r>
        <w:t xml:space="preserve"> </w:t>
      </w:r>
      <w:r>
        <w:t xml:space="preserve">not knife-edge. We report only raw point-wise metrics, which makes our numbers lower than point-adjusted</w:t>
      </w:r>
      <w:r>
        <w:t xml:space="preserve"> </w:t>
      </w:r>
      <w:r>
        <w:t xml:space="preserve">leaderboard figures by design.</w:t>
      </w:r>
    </w:p>
    <w:p>
      <w:pPr>
        <w:pStyle w:val="MDPI21heading1"/>
        <w:ind w:left="2608"/>
      </w:pPr>
      <w:r>
        <w:t xml:space="preserve">8  Conclusion</w:t>
      </w:r>
    </w:p>
    <w:p>
      <w:pPr>
        <w:pStyle w:val="MDPI32textnoindent"/>
        <w:ind w:left="2608"/>
      </w:pPr>
      <w:r>
        <w:t xml:space="preserve">We restated the structural assumptions of CPS normal data as an explicit MIIM list (A1–A10) and built a</w:t>
      </w:r>
      <w:r>
        <w:t xml:space="preserve"> </w:t>
      </w:r>
      <w:r>
        <w:t xml:space="preserve">detector that leverages the instantaneous-structure assumptions A1–A8: it models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demoted from the default score to an optional, auto-gated</w:t>
      </w:r>
      <w:r>
        <w:t xml:space="preserve"> </w:t>
      </w:r>
      <w:r>
        <w:t xml:space="preserve">residual head. Under a deliberately fair, raw-metric, difficulty-stratified protocol on three real CPS attack</w:t>
      </w:r>
      <w:r>
        <w:t xml:space="preserve"> </w:t>
      </w:r>
      <w:r>
        <w:t xml:space="preserve">benchmarks, this detector attains the best overall AUROC on every dataset and is strongest on the difficult subset</w:t>
      </w:r>
      <w:r>
        <w:t xml:space="preserve"> </w:t>
      </w:r>
      <w:r>
        <w:t xml:space="preserve">over five seeds, most decisively and significantly on HAI (a paired episode-bootstrap 95% CI of [0.015, 0.089]</w:t>
      </w:r>
      <w:r>
        <w:t xml:space="preserve"> </w:t>
      </w:r>
      <w:r>
        <w:t xml:space="preserve">over the next-best baseline), where the difficult faults break joint structure and the reconstruction-based</w:t>
      </w:r>
      <w:r>
        <w:t xml:space="preserve"> </w:t>
      </w:r>
      <w:r>
        <w:t xml:space="preserve">detectors collapse; on WADI and SWaT it ties the strongest baseline. On a stricter double-hard subset that keeps</w:t>
      </w:r>
      <w:r>
        <w:t xml:space="preserve"> </w:t>
      </w:r>
      <w:r>
        <w:t xml:space="preserve">only anomalies separated by neither a univariate nor a linear cross-channel rule, the detector has the highest</w:t>
      </w:r>
      <w:r>
        <w:t xml:space="preserve"> </w:t>
      </w:r>
      <w:r>
        <w:t xml:space="preserve">mean AUROC on all three datasets, with statistically supported superiority on HAI and numerical leads on the</w:t>
      </w:r>
      <w:r>
        <w:t xml:space="preserve"> </w:t>
      </w:r>
      <w:r>
        <w:t xml:space="preserve">smaller WADI and single-episode SWaT subsets. The mechanism is that reconstruction scores reachability while a density in a clustered latent</w:t>
      </w:r>
      <w:r>
        <w:t xml:space="preserve"> </w:t>
      </w:r>
      <w:r>
        <w:t xml:space="preserve">scores probability, and the CPS faults that matter are reconstructable but improbable; treating multimodal normal</w:t>
      </w:r>
      <w:r>
        <w:t xml:space="preserve"> </w:t>
      </w:r>
      <w:r>
        <w:t xml:space="preserve">as a single blob or a reconstruction target is a modelling failure, and jointly learning the latent and its modes,</w:t>
      </w:r>
      <w:r>
        <w:t xml:space="preserve"> </w:t>
      </w:r>
      <w:r>
        <w:t xml:space="preserve">then scoring in that latent, is what delivers the difficult-subset advantage. Extending the detector to the trajectory assumptions, with</w:t>
      </w:r>
      <w:r>
        <w:t xml:space="preserve"> </w:t>
      </w:r>
      <w:r>
        <w:t xml:space="preserve">multiscale-temporal features (A9) and history-conditioned scoring (A10), and to stealthy attacks that remain</w:t>
      </w:r>
      <w:r>
        <w:t xml:space="preserve"> </w:t>
      </w:r>
      <w:r>
        <w:t xml:space="preserve">within observed operating envelopes, are the natural next steps.</w:t>
      </w:r>
    </w:p>
    <w:p>
      <w:pPr>
        <w:pStyle w:val="MDPI62backmatter"/>
        <w:ind w:left="2608"/>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t xml:space="preserve"> </w:t>
      </w:r>
      <w:r>
        <w:t xml:space="preserve">This research received no external funding.</w:t>
      </w:r>
    </w:p>
    <w:p>
      <w:pPr>
        <w:pStyle w:val="MDPI62backmatter"/>
        <w:ind w:left="2608"/>
      </w:pPr>
      <w:r>
        <w:rPr>
          <w:b/>
          <w:bCs/>
        </w:rPr>
        <w:t xml:space="preserve">Institutional Review Board Statement:</w:t>
      </w:r>
      <w:r>
        <w:t xml:space="preserve"> </w:t>
      </w:r>
      <w:r>
        <w:t xml:space="preserve">Not applicable.</w:t>
      </w:r>
    </w:p>
    <w:p>
      <w:pPr>
        <w:pStyle w:val="MDPI62backmatter"/>
        <w:ind w:left="2608"/>
      </w:pPr>
      <w:r>
        <w:rPr>
          <w:b/>
          <w:bCs/>
        </w:rPr>
        <w:t xml:space="preserve">Informed Consent Statement:</w:t>
      </w:r>
      <w:r>
        <w:t xml:space="preserve"> </w:t>
      </w:r>
      <w:r>
        <w:t xml:space="preserve">Not applicable.</w:t>
      </w:r>
    </w:p>
    <w:p>
      <w:pPr>
        <w:pStyle w:val="MDPI62backmatter"/>
        <w:ind w:left="2608"/>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MDPI62backmatter"/>
        <w:ind w:left="2608"/>
      </w:pPr>
      <w:r>
        <w:rPr>
          <w:b/>
          <w:bCs/>
        </w:rPr>
        <w:t xml:space="preserve">Conflicts of Interest:</w:t>
      </w:r>
      <w:r>
        <w:t xml:space="preserve"> </w:t>
      </w:r>
      <w:r>
        <w:t xml:space="preserve">The authors declare no conflicts of interest.</w:t>
      </w:r>
    </w:p>
    <w:p>
      <w:pPr>
        <w:pStyle w:val="MDPI31text"/>
        <w:ind w:left="2608"/>
      </w:pPr>
      <w:r>
        <w:pict>
          <v:rect style="width:0;height:1.5pt" o:hralign="center" o:hrstd="t" o:hr="t"/>
        </w:pict>
      </w:r>
    </w:p>
    <w:p>
      <w:pPr>
        <w:pStyle w:val="MDPI21heading1"/>
        <w:ind w:left="2608"/>
      </w:pPr>
      <w:r>
        <w:t xml:space="preserve">References</w:t>
      </w:r>
    </w:p>
    <w:p>
      <w:pPr>
        <w:pStyle w:val="MDPI81references"/>
        <w:numPr>
          <w:ilvl w:val="0"/>
          <w:numId w:val="0"/>
        </w:numPr>
        <w:ind w:left="180" w:hanging="180"/>
      </w:pPr>
      <w:bookmarkStart w:id="38"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9">
        <w:r>
          <w:rPr>
            <w:rStyle w:val="Hyperlink"/>
          </w:rPr>
          <w:t xml:space="preserve">https://doi.org/10.1145/1541880.1541882</w:t>
        </w:r>
      </w:hyperlink>
      <w:r>
        <w:t xml:space="preserve">.</w:t>
      </w:r>
      <w:bookmarkEnd w:id="38"/>
    </w:p>
    <w:p>
      <w:pPr>
        <w:pStyle w:val="MDPI81references"/>
        <w:numPr>
          <w:ilvl w:val="0"/>
          <w:numId w:val="0"/>
        </w:numPr>
        <w:ind w:left="180" w:hanging="180"/>
      </w:pPr>
      <w:bookmarkStart w:id="40"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10">
        <w:r>
          <w:rPr>
            <w:rStyle w:val="Hyperlink"/>
          </w:rPr>
          <w:t xml:space="preserve">https://doi.org/10.1109/JPROC.2021.3052449</w:t>
        </w:r>
      </w:hyperlink>
      <w:r>
        <w:t xml:space="preserve">.</w:t>
      </w:r>
      <w:bookmarkEnd w:id="40"/>
    </w:p>
    <w:p>
      <w:pPr>
        <w:pStyle w:val="MDPI81references"/>
        <w:numPr>
          <w:ilvl w:val="0"/>
          <w:numId w:val="0"/>
        </w:numPr>
        <w:ind w:left="180" w:hanging="180"/>
      </w:pPr>
      <w:bookmarkStart w:id="42"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11">
        <w:r>
          <w:rPr>
            <w:rStyle w:val="Hyperlink"/>
          </w:rPr>
          <w:t xml:space="preserve">https://doi.org/10.1609/aaai.v36i7.20680</w:t>
        </w:r>
      </w:hyperlink>
      <w:r>
        <w:t xml:space="preserve">.</w:t>
      </w:r>
      <w:bookmarkEnd w:id="42"/>
    </w:p>
    <w:p>
      <w:pPr>
        <w:pStyle w:val="MDPI81references"/>
        <w:numPr>
          <w:ilvl w:val="0"/>
          <w:numId w:val="0"/>
        </w:numPr>
        <w:ind w:left="180" w:hanging="180"/>
      </w:pPr>
      <w:bookmarkStart w:id="44"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12">
        <w:r>
          <w:rPr>
            <w:rStyle w:val="Hyperlink"/>
          </w:rPr>
          <w:t xml:space="preserve">https://doi.org/10.1109/TNNLS.2021.3105827</w:t>
        </w:r>
      </w:hyperlink>
      <w:r>
        <w:t xml:space="preserve">.</w:t>
      </w:r>
      <w:bookmarkEnd w:id="44"/>
    </w:p>
    <w:p>
      <w:pPr>
        <w:pStyle w:val="MDPI81references"/>
        <w:numPr>
          <w:ilvl w:val="0"/>
          <w:numId w:val="0"/>
        </w:numPr>
        <w:ind w:left="180" w:hanging="180"/>
      </w:pPr>
      <w:bookmarkStart w:id="46"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13">
        <w:r>
          <w:rPr>
            <w:rStyle w:val="Hyperlink"/>
          </w:rPr>
          <w:t xml:space="preserve">https://doi.org/10.1109/TKDE.2021.3112126</w:t>
        </w:r>
      </w:hyperlink>
      <w:r>
        <w:t xml:space="preserve">.</w:t>
      </w:r>
      <w:bookmarkEnd w:id="46"/>
    </w:p>
    <w:p>
      <w:pPr>
        <w:pStyle w:val="MDPI81references"/>
        <w:numPr>
          <w:ilvl w:val="0"/>
          <w:numId w:val="0"/>
        </w:numPr>
        <w:ind w:left="180" w:hanging="180"/>
      </w:pPr>
      <w:bookmarkStart w:id="48"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14">
        <w:r>
          <w:rPr>
            <w:rStyle w:val="Hyperlink"/>
          </w:rPr>
          <w:t xml:space="preserve">https://doi.org/10.1145/3439950</w:t>
        </w:r>
      </w:hyperlink>
      <w:r>
        <w:t xml:space="preserve">.</w:t>
      </w:r>
      <w:bookmarkEnd w:id="48"/>
    </w:p>
    <w:p>
      <w:pPr>
        <w:pStyle w:val="MDPI81references"/>
        <w:numPr>
          <w:ilvl w:val="0"/>
          <w:numId w:val="0"/>
        </w:numPr>
        <w:ind w:left="180" w:hanging="180"/>
      </w:pPr>
      <w:bookmarkStart w:id="50"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15">
        <w:r>
          <w:rPr>
            <w:rStyle w:val="Hyperlink"/>
          </w:rPr>
          <w:t xml:space="preserve">https://doi.org/10.1145/3444690</w:t>
        </w:r>
      </w:hyperlink>
      <w:r>
        <w:t xml:space="preserve">.</w:t>
      </w:r>
      <w:bookmarkEnd w:id="50"/>
    </w:p>
    <w:p>
      <w:pPr>
        <w:pStyle w:val="MDPI81references"/>
        <w:numPr>
          <w:ilvl w:val="0"/>
          <w:numId w:val="0"/>
        </w:numPr>
        <w:ind w:left="180" w:hanging="180"/>
      </w:pPr>
      <w:bookmarkStart w:id="52"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24">
        <w:r>
          <w:rPr>
            <w:rStyle w:val="Hyperlink"/>
          </w:rPr>
          <w:t xml:space="preserve">https://doi.org/10.1177/1550147718794615</w:t>
        </w:r>
      </w:hyperlink>
      <w:r>
        <w:t xml:space="preserve">.</w:t>
      </w:r>
      <w:bookmarkEnd w:id="52"/>
    </w:p>
    <w:p>
      <w:pPr>
        <w:pStyle w:val="MDPI81references"/>
        <w:numPr>
          <w:ilvl w:val="0"/>
          <w:numId w:val="0"/>
        </w:numPr>
        <w:ind w:left="180" w:hanging="180"/>
      </w:pPr>
      <w:bookmarkStart w:id="5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25">
        <w:r>
          <w:rPr>
            <w:rStyle w:val="Hyperlink"/>
          </w:rPr>
          <w:t xml:space="preserve">arXiv:2203.05167</w:t>
        </w:r>
      </w:hyperlink>
      <w:r>
        <w:t xml:space="preserve">.</w:t>
      </w:r>
      <w:bookmarkEnd w:id="54"/>
    </w:p>
    <w:p>
      <w:pPr>
        <w:pStyle w:val="MDPI81references"/>
        <w:numPr>
          <w:ilvl w:val="0"/>
          <w:numId w:val="0"/>
        </w:numPr>
        <w:ind w:left="180" w:hanging="180"/>
      </w:pPr>
      <w:bookmarkStart w:id="56" w:name="r-pate"/>
      <w:r>
        <w:t xml:space="preserve">Ghorbani, R.; Reinders, M.J.T.; Tax, D.M.J. PATE: Proximity-aware time series anomaly evaluation. In Proceedings of the 30th ACM SIGKDD Conference on Knowledge Discovery and Data Mining (KDD), Barcelona, Spain, 25–29 August 2024; pp. 872–883.</w:t>
      </w:r>
      <w:r>
        <w:t xml:space="preserve"> </w:t>
      </w:r>
      <w:hyperlink r:id="rId26">
        <w:r>
          <w:rPr>
            <w:rStyle w:val="Hyperlink"/>
          </w:rPr>
          <w:t xml:space="preserve">https://doi.org/10.1145/3637528.3671971</w:t>
        </w:r>
      </w:hyperlink>
      <w:r>
        <w:t xml:space="preserve">.</w:t>
      </w:r>
      <w:bookmarkEnd w:id="56"/>
    </w:p>
    <w:p>
      <w:pPr>
        <w:pStyle w:val="MDPI81references"/>
        <w:numPr>
          <w:ilvl w:val="0"/>
          <w:numId w:val="0"/>
        </w:numPr>
        <w:ind w:left="180" w:hanging="180"/>
      </w:pPr>
      <w:bookmarkStart w:id="58"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27">
        <w:r>
          <w:rPr>
            <w:rStyle w:val="Hyperlink"/>
          </w:rPr>
          <w:t xml:space="preserve">https://arxiv.org/abs/2606.02670</w:t>
        </w:r>
      </w:hyperlink>
      <w:r>
        <w:t xml:space="preserve">.</w:t>
      </w:r>
      <w:bookmarkEnd w:id="58"/>
    </w:p>
    <w:p>
      <w:pPr>
        <w:pStyle w:val="MDPI81references"/>
        <w:numPr>
          <w:ilvl w:val="0"/>
          <w:numId w:val="0"/>
        </w:numPr>
        <w:ind w:left="180" w:hanging="180"/>
      </w:pPr>
      <w:bookmarkStart w:id="60" w:name="r-tab"/>
      <w:r>
        <w:t xml:space="preserve">Qiu, X.; Li, Z.; Wu, X.; Hu, J.; Guo, C.; Yang, B.; Jensen, C.S. TAB: Unified benchmarking of time series anomaly detection methods.</w:t>
      </w:r>
      <w:r>
        <w:t xml:space="preserve"> </w:t>
      </w:r>
      <w:r>
        <w:rPr>
          <w:i/>
          <w:iCs/>
        </w:rPr>
        <w:t xml:space="preserve">Proc. VLDB Endow.</w:t>
      </w:r>
      <w:r>
        <w:t xml:space="preserve"> </w:t>
      </w:r>
      <w:r>
        <w:rPr>
          <w:b/>
          <w:bCs/>
        </w:rPr>
        <w:t xml:space="preserve">2025</w:t>
      </w:r>
      <w:r>
        <w:t xml:space="preserve">.</w:t>
      </w:r>
      <w:r>
        <w:t xml:space="preserve"> </w:t>
      </w:r>
      <w:hyperlink r:id="rId28">
        <w:r>
          <w:rPr>
            <w:rStyle w:val="Hyperlink"/>
          </w:rPr>
          <w:t xml:space="preserve">arXiv:2506.18046</w:t>
        </w:r>
      </w:hyperlink>
      <w:r>
        <w:t xml:space="preserve">.</w:t>
      </w:r>
      <w:bookmarkEnd w:id="60"/>
    </w:p>
    <w:p>
      <w:pPr>
        <w:pStyle w:val="MDPI81references"/>
        <w:numPr>
          <w:ilvl w:val="0"/>
          <w:numId w:val="0"/>
        </w:numPr>
        <w:ind w:left="180" w:hanging="180"/>
      </w:pPr>
      <w:bookmarkStart w:id="62"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29">
        <w:r>
          <w:rPr>
            <w:rStyle w:val="Hyperlink"/>
          </w:rPr>
          <w:t xml:space="preserve">https://arxiv.org/abs/2501.13864</w:t>
        </w:r>
      </w:hyperlink>
      <w:r>
        <w:t xml:space="preserve">.</w:t>
      </w:r>
      <w:bookmarkEnd w:id="62"/>
    </w:p>
    <w:p>
      <w:pPr>
        <w:pStyle w:val="MDPI81references"/>
        <w:numPr>
          <w:ilvl w:val="0"/>
          <w:numId w:val="0"/>
        </w:numPr>
        <w:ind w:left="180" w:hanging="180"/>
      </w:pPr>
      <w:bookmarkStart w:id="64"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30">
        <w:r>
          <w:rPr>
            <w:rStyle w:val="Hyperlink"/>
          </w:rPr>
          <w:t xml:space="preserve">arXiv:1904.02639</w:t>
        </w:r>
      </w:hyperlink>
      <w:r>
        <w:t xml:space="preserve">.</w:t>
      </w:r>
      <w:bookmarkEnd w:id="64"/>
    </w:p>
    <w:p>
      <w:pPr>
        <w:pStyle w:val="MDPI81references"/>
        <w:numPr>
          <w:ilvl w:val="0"/>
          <w:numId w:val="0"/>
        </w:numPr>
        <w:ind w:left="180" w:hanging="180"/>
      </w:pPr>
      <w:bookmarkStart w:id="66"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31">
        <w:r>
          <w:rPr>
            <w:rStyle w:val="Hyperlink"/>
          </w:rPr>
          <w:t xml:space="preserve">arXiv:2405.02678</w:t>
        </w:r>
      </w:hyperlink>
      <w:r>
        <w:t xml:space="preserve">.</w:t>
      </w:r>
      <w:bookmarkEnd w:id="66"/>
    </w:p>
    <w:p>
      <w:pPr>
        <w:pStyle w:val="MDPI81references"/>
        <w:numPr>
          <w:ilvl w:val="0"/>
          <w:numId w:val="0"/>
        </w:numPr>
        <w:ind w:left="180" w:hanging="180"/>
      </w:pPr>
      <w:bookmarkStart w:id="68"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32">
        <w:r>
          <w:rPr>
            <w:rStyle w:val="Hyperlink"/>
          </w:rPr>
          <w:t xml:space="preserve">https://openreview.net/forum?id=iMmsCI0JsS</w:t>
        </w:r>
      </w:hyperlink>
      <w:r>
        <w:t xml:space="preserve">.</w:t>
      </w:r>
      <w:bookmarkEnd w:id="68"/>
    </w:p>
    <w:p>
      <w:pPr>
        <w:pStyle w:val="MDPI81references"/>
        <w:numPr>
          <w:ilvl w:val="0"/>
          <w:numId w:val="0"/>
        </w:numPr>
        <w:ind w:left="180" w:hanging="180"/>
      </w:pPr>
      <w:bookmarkStart w:id="70"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33">
        <w:r>
          <w:rPr>
            <w:rStyle w:val="Hyperlink"/>
          </w:rPr>
          <w:t xml:space="preserve">https://doi.org/10.24963/ijcai.2017/273</w:t>
        </w:r>
      </w:hyperlink>
      <w:r>
        <w:t xml:space="preserve">.</w:t>
      </w:r>
      <w:bookmarkEnd w:id="70"/>
    </w:p>
    <w:p>
      <w:pPr>
        <w:pStyle w:val="MDPI81references"/>
        <w:numPr>
          <w:ilvl w:val="0"/>
          <w:numId w:val="0"/>
        </w:numPr>
        <w:ind w:left="180" w:hanging="180"/>
      </w:pPr>
      <w:bookmarkStart w:id="72"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34">
        <w:r>
          <w:rPr>
            <w:rStyle w:val="Hyperlink"/>
          </w:rPr>
          <w:t xml:space="preserve">https://openreview.net/forum?id=BJJLHbb0-</w:t>
        </w:r>
      </w:hyperlink>
      <w:r>
        <w:t xml:space="preserve">.</w:t>
      </w:r>
      <w:bookmarkEnd w:id="72"/>
    </w:p>
    <w:p>
      <w:pPr>
        <w:pStyle w:val="MDPI81references"/>
        <w:numPr>
          <w:ilvl w:val="0"/>
          <w:numId w:val="0"/>
        </w:numPr>
        <w:ind w:left="180" w:hanging="180"/>
      </w:pPr>
      <w:bookmarkStart w:id="74"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35">
        <w:r>
          <w:rPr>
            <w:rStyle w:val="Hyperlink"/>
          </w:rPr>
          <w:t xml:space="preserve">https://doi.org/10.1016/S0047-259X(03)00096-4</w:t>
        </w:r>
      </w:hyperlink>
      <w:r>
        <w:t xml:space="preserve">.</w:t>
      </w:r>
      <w:bookmarkEnd w:id="74"/>
    </w:p>
    <w:p>
      <w:pPr>
        <w:pStyle w:val="MDPI81references"/>
        <w:numPr>
          <w:ilvl w:val="0"/>
          <w:numId w:val="0"/>
        </w:numPr>
        <w:ind w:left="180" w:hanging="180"/>
      </w:pPr>
      <w:bookmarkStart w:id="76" w:name="r-if"/>
      <w:r>
        <w:t xml:space="preserve">Liu, F.T.; Ting, K.M.; Zhou, Z.-H. Isolation forest. In Proceedings of the 2008 Eighth IEEE International Conference on Data Mining (ICDM), Pisa, Italy, 15–19 December 2008; pp. 413–422.</w:t>
      </w:r>
      <w:r>
        <w:t xml:space="preserve"> </w:t>
      </w:r>
      <w:hyperlink r:id="rId36">
        <w:r>
          <w:rPr>
            <w:rStyle w:val="Hyperlink"/>
          </w:rPr>
          <w:t xml:space="preserve">https://doi.org/10.1109/ICDM.2008.17</w:t>
        </w:r>
      </w:hyperlink>
      <w:r>
        <w:t xml:space="preserve">.</w:t>
      </w:r>
      <w:bookmarkEnd w:id="76"/>
    </w:p>
    <w:p>
      <w:pPr>
        <w:pStyle w:val="MDPI81references"/>
        <w:numPr>
          <w:ilvl w:val="0"/>
          <w:numId w:val="0"/>
        </w:numPr>
        <w:ind w:left="180" w:hanging="180"/>
      </w:pP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37">
        <w:r>
          <w:rPr>
            <w:rStyle w:val="Hyperlink"/>
          </w:rPr>
          <w:t xml:space="preserve">https://doi.org/10.1145/2689746.2689747</w:t>
        </w:r>
      </w:hyperlink>
      <w:r>
        <w:t xml:space="preserve">.</w:t>
      </w:r>
      <w:bookmarkEnd w:id="78"/>
    </w:p>
    <w:p>
      <w:pPr>
        <w:pStyle w:val="MDPI81references"/>
        <w:numPr>
          <w:ilvl w:val="0"/>
          <w:numId w:val="0"/>
        </w:numPr>
        <w:ind w:left="180" w:hanging="180"/>
      </w:pPr>
      <w:bookmarkStart w:id="80"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38">
        <w:r>
          <w:rPr>
            <w:rStyle w:val="Hyperlink"/>
          </w:rPr>
          <w:t xml:space="preserve">https://doi.org/10.1145/3394486.3403392</w:t>
        </w:r>
      </w:hyperlink>
      <w:r>
        <w:t xml:space="preserve">.</w:t>
      </w:r>
      <w:bookmarkEnd w:id="80"/>
    </w:p>
    <w:p>
      <w:pPr>
        <w:pStyle w:val="MDPI81references"/>
        <w:numPr>
          <w:ilvl w:val="0"/>
          <w:numId w:val="0"/>
        </w:numPr>
        <w:ind w:left="180" w:hanging="180"/>
      </w:pPr>
      <w:bookmarkStart w:id="82"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39">
        <w:r>
          <w:rPr>
            <w:rStyle w:val="Hyperlink"/>
          </w:rPr>
          <w:t xml:space="preserve">https://doi.org/10.14778/3514061.3514067</w:t>
        </w:r>
      </w:hyperlink>
      <w:r>
        <w:t xml:space="preserve">.</w:t>
      </w:r>
      <w:bookmarkEnd w:id="82"/>
    </w:p>
    <w:p>
      <w:pPr>
        <w:pStyle w:val="MDPI81references"/>
        <w:numPr>
          <w:ilvl w:val="0"/>
          <w:numId w:val="0"/>
        </w:numPr>
        <w:ind w:left="180" w:hanging="180"/>
      </w:pPr>
      <w:bookmarkStart w:id="84"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40">
        <w:r>
          <w:rPr>
            <w:rStyle w:val="Hyperlink"/>
          </w:rPr>
          <w:t xml:space="preserve">https://doi.org/10.1609/aaai.v35i5.16523</w:t>
        </w:r>
      </w:hyperlink>
      <w:r>
        <w:t xml:space="preserve">.</w:t>
      </w:r>
      <w:bookmarkEnd w:id="84"/>
    </w:p>
    <w:p>
      <w:pPr>
        <w:pStyle w:val="MDPI81references"/>
        <w:numPr>
          <w:ilvl w:val="0"/>
          <w:numId w:val="0"/>
        </w:numPr>
        <w:ind w:left="180" w:hanging="180"/>
      </w:pPr>
      <w:bookmarkStart w:id="86" w:name="r-sensitivehue"/>
      <w:r>
        <w:t xml:space="preserve">Feng, Y.; Zhang, W.; Fu, Y.; Jiang, W.; Zhu, J.; Ren, W. SensitiveHUE: Multivariate time series anomaly detection by enhancing the sensitivity to normal patterns. In Proceedings of the 30th ACM SIGKDD Conference on Knowledge Discovery and Data Mining (KDD), Barcelona, Spain, 25–29 August 2024; pp. 782–793.</w:t>
      </w:r>
      <w:r>
        <w:t xml:space="preserve"> </w:t>
      </w:r>
      <w:hyperlink r:id="rId41">
        <w:r>
          <w:rPr>
            <w:rStyle w:val="Hyperlink"/>
          </w:rPr>
          <w:t xml:space="preserve">https://doi.org/10.1145/3637528.3671919</w:t>
        </w:r>
      </w:hyperlink>
      <w:r>
        <w:t xml:space="preserve">.</w:t>
      </w:r>
      <w:bookmarkEnd w:id="86"/>
    </w:p>
    <w:p>
      <w:pPr>
        <w:pStyle w:val="MDPI81references"/>
        <w:numPr>
          <w:ilvl w:val="0"/>
          <w:numId w:val="0"/>
        </w:numPr>
        <w:ind w:left="180" w:hanging="180"/>
      </w:pPr>
      <w:bookmarkStart w:id="88" w:name="r-catch"/>
      <w:r>
        <w:t xml:space="preserve">Wu, X.; Qiu, X.; Li, Z.; Hu, Y.; Guo, C.; Xu, X.; Yang, B. CATCH: Channel-aware multivariate time series anomaly detection via frequency patching. In Proceedings of the International Conference on Learning Representations (ICLR), Singapore, 24–28 April 2025.</w:t>
      </w:r>
      <w:r>
        <w:t xml:space="preserve"> </w:t>
      </w:r>
      <w:hyperlink r:id="rId42">
        <w:r>
          <w:rPr>
            <w:rStyle w:val="Hyperlink"/>
          </w:rPr>
          <w:t xml:space="preserve">arXiv:2410.12261</w:t>
        </w:r>
      </w:hyperlink>
      <w:r>
        <w:t xml:space="preserve">.</w:t>
      </w:r>
      <w:bookmarkEnd w:id="88"/>
    </w:p>
    <w:p>
      <w:pPr>
        <w:pStyle w:val="MDPI81references"/>
        <w:numPr>
          <w:ilvl w:val="0"/>
          <w:numId w:val="0"/>
        </w:numPr>
        <w:ind w:left="180" w:hanging="180"/>
      </w:pPr>
      <w:bookmarkStart w:id="90" w:name="r-gearbox"/>
      <w: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t xml:space="preserve"> </w:t>
      </w:r>
      <w:hyperlink r:id="rId43">
        <w:r>
          <w:rPr>
            <w:rStyle w:val="Hyperlink"/>
          </w:rPr>
          <w:t xml:space="preserve">https://doi.org/10.1109/ICCAD57653.2023.10152303</w:t>
        </w:r>
      </w:hyperlink>
      <w:r>
        <w:t xml:space="preserve">.</w:t>
      </w:r>
      <w:bookmarkEnd w:id="90"/>
    </w:p>
    <w:p>
      <w:pPr>
        <w:pStyle w:val="MDPI81references"/>
        <w:numPr>
          <w:ilvl w:val="0"/>
          <w:numId w:val="0"/>
        </w:numPr>
        <w:ind w:left="180" w:hanging="180"/>
      </w:pPr>
      <w:bookmarkStart w:id="92" w:name="r-vibdecomp"/>
      <w:r>
        <w:t xml:space="preserve">Gildish, E.; Grebshtein, M.; Aperstein, Y.; Makienko, I. Vibration signal decomposition using dilated CNN.</w:t>
      </w:r>
      <w:r>
        <w:t xml:space="preserve"> </w:t>
      </w:r>
      <w:r>
        <w:rPr>
          <w:i/>
          <w:iCs/>
        </w:rPr>
        <w:t xml:space="preserve">Proc. Annu. Conf. PHM Soc.</w:t>
      </w:r>
      <w:r>
        <w:t xml:space="preserve"> </w:t>
      </w:r>
      <w:r>
        <w:rPr>
          <w:b/>
          <w:bCs/>
        </w:rPr>
        <w:t xml:space="preserve">2023</w:t>
      </w:r>
      <w:r>
        <w:t xml:space="preserve">,</w:t>
      </w:r>
      <w:r>
        <w:t xml:space="preserve"> </w:t>
      </w:r>
      <w:r>
        <w:rPr>
          <w:i/>
          <w:iCs/>
        </w:rPr>
        <w:t xml:space="preserve">15</w:t>
      </w:r>
      <w:r>
        <w:t xml:space="preserve">.</w:t>
      </w:r>
      <w:r>
        <w:t xml:space="preserve"> </w:t>
      </w:r>
      <w:hyperlink r:id="rId44">
        <w:r>
          <w:rPr>
            <w:rStyle w:val="Hyperlink"/>
          </w:rPr>
          <w:t xml:space="preserve">https://doi.org/10.36001/phmconf.2023.v15i1.3502</w:t>
        </w:r>
      </w:hyperlink>
      <w:r>
        <w:t xml:space="preserve">.</w:t>
      </w:r>
      <w:bookmarkEnd w:id="92"/>
    </w:p>
    <w:p>
      <w:pPr>
        <w:pStyle w:val="MDPI81references"/>
        <w:numPr>
          <w:ilvl w:val="0"/>
          <w:numId w:val="0"/>
        </w:numPr>
        <w:ind w:left="180" w:hanging="180"/>
      </w:pPr>
      <w:bookmarkStart w:id="94" w:name="r-bolt"/>
      <w:r>
        <w:t xml:space="preserve">Gildish, E.; Grebshtein, M.; Aperstein, Y.; Kushnirski, A.; Makienko, I. Helicopter bolt loosening monitoring using vibrations and machine learning.</w:t>
      </w:r>
      <w:r>
        <w:t xml:space="preserve"> </w:t>
      </w:r>
      <w:r>
        <w:rPr>
          <w:i/>
          <w:iCs/>
        </w:rPr>
        <w:t xml:space="preserve">PHM Soc. Eur. Conf.</w:t>
      </w:r>
      <w:r>
        <w:t xml:space="preserve"> </w:t>
      </w:r>
      <w:r>
        <w:rPr>
          <w:b/>
          <w:bCs/>
        </w:rPr>
        <w:t xml:space="preserve">2022</w:t>
      </w:r>
      <w:r>
        <w:t xml:space="preserve">,</w:t>
      </w:r>
      <w:r>
        <w:t xml:space="preserve"> </w:t>
      </w:r>
      <w:r>
        <w:rPr>
          <w:i/>
          <w:iCs/>
        </w:rPr>
        <w:t xml:space="preserve">7</w:t>
      </w:r>
      <w:r>
        <w:t xml:space="preserve">, 146–155.</w:t>
      </w:r>
      <w:r>
        <w:t xml:space="preserve"> </w:t>
      </w:r>
      <w:hyperlink r:id="rId45">
        <w:r>
          <w:rPr>
            <w:rStyle w:val="Hyperlink"/>
          </w:rPr>
          <w:t xml:space="preserve">https://doi.org/10.36001/phme.2022.v7i1.3322</w:t>
        </w:r>
      </w:hyperlink>
      <w:r>
        <w:t xml:space="preserve">.</w:t>
      </w:r>
      <w:bookmarkEnd w:id="94"/>
    </w:p>
    <w:p>
      <w:pPr>
        <w:pStyle w:val="MDPI81references"/>
        <w:numPr>
          <w:ilvl w:val="0"/>
          <w:numId w:val="0"/>
        </w:numPr>
        <w:ind w:left="180" w:hanging="180"/>
      </w:pPr>
      <w:bookmarkStart w:id="96" w:name="r-rotorcraft"/>
      <w:r>
        <w:t xml:space="preserve">Shavit, D.; Davidovits, M.; Kushnirsky, A.; Aperstein, Y. Temporal causality-based feature selection for fault prediction in rotorcraft flight controls.</w:t>
      </w:r>
      <w:r>
        <w:t xml:space="preserve"> </w:t>
      </w:r>
      <w:r>
        <w:rPr>
          <w:i/>
          <w:iCs/>
        </w:rPr>
        <w:t xml:space="preserve">IFAC-PapersOnLine</w:t>
      </w:r>
      <w:r>
        <w:t xml:space="preserve"> </w:t>
      </w:r>
      <w:r>
        <w:rPr>
          <w:b/>
          <w:bCs/>
        </w:rPr>
        <w:t xml:space="preserve">2022</w:t>
      </w:r>
      <w:r>
        <w:t xml:space="preserve">,</w:t>
      </w:r>
      <w:r>
        <w:t xml:space="preserve"> </w:t>
      </w:r>
      <w:r>
        <w:rPr>
          <w:i/>
          <w:iCs/>
        </w:rPr>
        <w:t xml:space="preserve">55</w:t>
      </w:r>
      <w:r>
        <w:t xml:space="preserve">, 235–239.</w:t>
      </w:r>
      <w:r>
        <w:t xml:space="preserve"> </w:t>
      </w:r>
      <w:hyperlink r:id="rId46">
        <w:r>
          <w:rPr>
            <w:rStyle w:val="Hyperlink"/>
          </w:rPr>
          <w:t xml:space="preserve">https://doi.org/10.1016/j.ifacol.2022.04.199</w:t>
        </w:r>
      </w:hyperlink>
      <w:r>
        <w:t xml:space="preserve">.</w:t>
      </w:r>
      <w:bookmarkEnd w:id="96"/>
    </w:p>
    <w:p>
      <w:pPr>
        <w:pStyle w:val="MDPI81references"/>
        <w:numPr>
          <w:ilvl w:val="0"/>
          <w:numId w:val="0"/>
        </w:numPr>
        <w:ind w:left="180" w:hanging="180"/>
      </w:pPr>
      <w:bookmarkStart w:id="98"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47">
        <w:r>
          <w:rPr>
            <w:rStyle w:val="Hyperlink"/>
          </w:rPr>
          <w:t xml:space="preserve">https://doi.org/10.1145/3055366.3055375</w:t>
        </w:r>
      </w:hyperlink>
      <w:r>
        <w:t xml:space="preserve">.</w:t>
      </w:r>
      <w:bookmarkEnd w:id="98"/>
    </w:p>
    <w:p>
      <w:pPr>
        <w:pStyle w:val="MDPI81references"/>
        <w:numPr>
          <w:ilvl w:val="0"/>
          <w:numId w:val="0"/>
        </w:numPr>
        <w:ind w:left="180" w:hanging="180"/>
      </w:pPr>
      <w:bookmarkStart w:id="100"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48">
        <w:r>
          <w:rPr>
            <w:rStyle w:val="Hyperlink"/>
          </w:rPr>
          <w:t xml:space="preserve">https://doi.org/10.1109/CySWater.2016.7469060</w:t>
        </w:r>
      </w:hyperlink>
      <w:r>
        <w:t xml:space="preserve">.</w:t>
      </w:r>
      <w:bookmarkEnd w:id="100"/>
    </w:p>
    <w:p>
      <w:pPr>
        <w:pStyle w:val="MDPI81references"/>
        <w:numPr>
          <w:ilvl w:val="0"/>
          <w:numId w:val="0"/>
        </w:numPr>
        <w:ind w:left="180" w:hanging="180"/>
      </w:pPr>
      <w:bookmarkStart w:id="102" w:name="r-hai"/>
      <w:r>
        <w:t xml:space="preserve">Shin, H.-K.; Lee, W.; Yun, J.-H.; Kim, H. HAI 1.0: HIL-based augmented ICS security dataset. In Proceedings of the 13th USENIX Workshop on Cyber Security Experimentation and Test (CSET), Virtual, 10 August 2020.</w:t>
      </w:r>
      <w:r>
        <w:t xml:space="preserve"> </w:t>
      </w:r>
      <w:hyperlink r:id="rId49">
        <w:r>
          <w:rPr>
            <w:rStyle w:val="Hyperlink"/>
          </w:rPr>
          <w:t xml:space="preserve">https://www.usenix.org/conference/cset20/presentation/shin</w:t>
        </w:r>
      </w:hyperlink>
      <w:r>
        <w:t xml:space="preserve">.</w:t>
      </w:r>
      <w:bookmarkEnd w:id="102"/>
    </w:p>
    <w:sectPr w:rsidR="007E326C" w:rsidRPr="00174B5F" w:rsidSect="004B4808">
      <w:headerReference w:type="even" r:id="rId16"/>
      <w:headerReference w:type="default" r:id="rId17"/>
      <w:footerReference w:type="even" r:id="rId18"/>
      <w:footerReference w:type="default" r:id="rId19"/>
      <w:headerReference w:type="first" r:id="rId20"/>
      <w:footerReference w:type="first" r:id="rId21"/>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1FFC5" w14:textId="77777777" w:rsidR="001B1844" w:rsidRPr="00BF5F39" w:rsidRDefault="001B1844">
      <w:pPr>
        <w:spacing w:line="240" w:lineRule="auto"/>
      </w:pPr>
      <w:r w:rsidRPr="00BF5F39">
        <w:separator/>
      </w:r>
    </w:p>
  </w:endnote>
  <w:endnote w:type="continuationSeparator" w:id="0">
    <w:p w14:paraId="55D78B27" w14:textId="77777777" w:rsidR="001B1844" w:rsidRPr="00BF5F39" w:rsidRDefault="001B1844">
      <w:pPr>
        <w:spacing w:line="240" w:lineRule="auto"/>
      </w:pPr>
      <w:r w:rsidRPr="00BF5F3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23902" w14:textId="77777777" w:rsidR="00C31189" w:rsidRDefault="00C311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9850B" w14:textId="77777777" w:rsidR="004A6017" w:rsidRPr="004A6017" w:rsidRDefault="004A6017" w:rsidP="004A6017">
    <w:pPr>
      <w:pStyle w:val="Footer"/>
      <w:spacing w:line="240" w:lineRule="auto"/>
      <w:jc w:val="right"/>
    </w:pPr>
    <w:r w:rsidRPr="00C31189">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3B20" w14:textId="77777777" w:rsidR="004B61B8" w:rsidRPr="00BF5F39" w:rsidRDefault="004B61B8" w:rsidP="008054CD">
    <w:pPr>
      <w:pBdr>
        <w:top w:val="single" w:sz="4" w:space="0" w:color="000000"/>
      </w:pBdr>
      <w:tabs>
        <w:tab w:val="right" w:pos="8844"/>
      </w:tabs>
      <w:adjustRightInd w:val="0"/>
      <w:snapToGrid w:val="0"/>
      <w:spacing w:before="480" w:line="100" w:lineRule="exact"/>
      <w:jc w:val="left"/>
      <w:rPr>
        <w:i/>
        <w:sz w:val="16"/>
        <w:szCs w:val="16"/>
      </w:rPr>
    </w:pPr>
  </w:p>
  <w:p w14:paraId="186D42B3" w14:textId="77777777" w:rsidR="0067215B" w:rsidRPr="00B61263" w:rsidRDefault="00E05BB2" w:rsidP="004C3213">
    <w:pPr>
      <w:tabs>
        <w:tab w:val="right" w:pos="10466"/>
      </w:tabs>
      <w:adjustRightInd w:val="0"/>
      <w:snapToGrid w:val="0"/>
      <w:spacing w:line="240" w:lineRule="auto"/>
      <w:rPr>
        <w:sz w:val="16"/>
        <w:szCs w:val="16"/>
        <w:lang w:val="it-IT"/>
      </w:rPr>
    </w:pPr>
    <w:r w:rsidRPr="00B61263">
      <w:rPr>
        <w:i/>
        <w:sz w:val="16"/>
        <w:szCs w:val="16"/>
        <w:lang w:val="it-IT"/>
      </w:rPr>
      <w:t>AI</w:t>
    </w:r>
    <w:r w:rsidR="00FC648A" w:rsidRPr="00B61263">
      <w:rPr>
        <w:sz w:val="16"/>
        <w:szCs w:val="16"/>
        <w:lang w:val="it-IT"/>
      </w:rPr>
      <w:t xml:space="preserve"> </w:t>
    </w:r>
    <w:r w:rsidR="004A6017" w:rsidRPr="00B61263">
      <w:rPr>
        <w:b/>
        <w:bCs/>
        <w:iCs/>
        <w:sz w:val="16"/>
        <w:szCs w:val="16"/>
        <w:lang w:val="it-IT"/>
      </w:rPr>
      <w:t>2026</w:t>
    </w:r>
    <w:r w:rsidR="0041236F" w:rsidRPr="00B61263">
      <w:rPr>
        <w:bCs/>
        <w:iCs/>
        <w:sz w:val="16"/>
        <w:szCs w:val="16"/>
        <w:lang w:val="it-IT"/>
      </w:rPr>
      <w:t>,</w:t>
    </w:r>
    <w:r w:rsidR="004B4808" w:rsidRPr="00B61263">
      <w:rPr>
        <w:bCs/>
        <w:i/>
        <w:iCs/>
        <w:sz w:val="16"/>
        <w:szCs w:val="16"/>
        <w:lang w:val="it-IT"/>
      </w:rPr>
      <w:t xml:space="preserve"> </w:t>
    </w:r>
    <w:r w:rsidR="004A6017" w:rsidRPr="00B61263">
      <w:rPr>
        <w:bCs/>
        <w:i/>
        <w:iCs/>
        <w:sz w:val="16"/>
        <w:szCs w:val="16"/>
        <w:lang w:val="it-IT"/>
      </w:rPr>
      <w:t>7</w:t>
    </w:r>
    <w:r w:rsidR="0041236F" w:rsidRPr="00B61263">
      <w:rPr>
        <w:bCs/>
        <w:iCs/>
        <w:sz w:val="16"/>
        <w:szCs w:val="16"/>
        <w:lang w:val="it-IT"/>
      </w:rPr>
      <w:t xml:space="preserve">, </w:t>
    </w:r>
    <w:bookmarkStart w:id="16" w:name="OLE_LINK6"/>
    <w:bookmarkStart w:id="17" w:name="OLE_LINK7"/>
    <w:r w:rsidR="004B4808" w:rsidRPr="00B61263">
      <w:rPr>
        <w:bCs/>
        <w:iCs/>
        <w:sz w:val="16"/>
        <w:szCs w:val="16"/>
        <w:lang w:val="it-IT"/>
      </w:rPr>
      <w:t>x</w:t>
    </w:r>
    <w:r w:rsidR="004C3213" w:rsidRPr="00B61263">
      <w:rPr>
        <w:sz w:val="16"/>
        <w:szCs w:val="16"/>
        <w:lang w:val="it-IT"/>
      </w:rPr>
      <w:tab/>
    </w:r>
    <w:bookmarkEnd w:id="16"/>
    <w:bookmarkEnd w:id="17"/>
    <w:r w:rsidR="004A6017" w:rsidRPr="00B61263">
      <w:rPr>
        <w:sz w:val="16"/>
        <w:szCs w:val="16"/>
        <w:lang w:val="it-IT"/>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AA317" w14:textId="77777777" w:rsidR="001B1844" w:rsidRPr="00BF5F39" w:rsidRDefault="001B1844">
      <w:pPr>
        <w:spacing w:line="240" w:lineRule="auto"/>
      </w:pPr>
      <w:r w:rsidRPr="00BF5F39">
        <w:separator/>
      </w:r>
    </w:p>
  </w:footnote>
  <w:footnote w:type="continuationSeparator" w:id="0">
    <w:p w14:paraId="368FEBF4" w14:textId="77777777" w:rsidR="001B1844" w:rsidRPr="00BF5F39" w:rsidRDefault="001B1844">
      <w:pPr>
        <w:spacing w:line="240" w:lineRule="auto"/>
      </w:pPr>
      <w:r w:rsidRPr="00BF5F3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2AB2E" w14:textId="77777777" w:rsidR="0067215B" w:rsidRPr="00BF5F39" w:rsidRDefault="0067215B" w:rsidP="0067215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71038" w14:textId="77777777" w:rsidR="004B61B8" w:rsidRPr="00BF5F39" w:rsidRDefault="00E05BB2" w:rsidP="004C3213">
    <w:pPr>
      <w:tabs>
        <w:tab w:val="right" w:pos="10466"/>
      </w:tabs>
      <w:adjustRightInd w:val="0"/>
      <w:snapToGrid w:val="0"/>
      <w:spacing w:line="240" w:lineRule="auto"/>
      <w:rPr>
        <w:sz w:val="16"/>
      </w:rPr>
    </w:pPr>
    <w:r w:rsidRPr="00BF5F39">
      <w:rPr>
        <w:i/>
        <w:sz w:val="16"/>
        <w:szCs w:val="16"/>
      </w:rPr>
      <w:t>AI</w:t>
    </w:r>
    <w:r w:rsidR="0067215B" w:rsidRPr="00BF5F39">
      <w:rPr>
        <w:i/>
        <w:sz w:val="16"/>
      </w:rPr>
      <w:t xml:space="preserve"> </w:t>
    </w:r>
    <w:r w:rsidR="004A6017">
      <w:rPr>
        <w:b/>
        <w:sz w:val="16"/>
      </w:rPr>
      <w:t>2026</w:t>
    </w:r>
    <w:r w:rsidR="0041236F" w:rsidRPr="00BF5F39">
      <w:rPr>
        <w:sz w:val="16"/>
      </w:rPr>
      <w:t>,</w:t>
    </w:r>
    <w:r w:rsidR="004B4808" w:rsidRPr="00BF5F39">
      <w:rPr>
        <w:i/>
        <w:sz w:val="16"/>
      </w:rPr>
      <w:t xml:space="preserve"> </w:t>
    </w:r>
    <w:r w:rsidR="004A6017">
      <w:rPr>
        <w:i/>
        <w:sz w:val="16"/>
      </w:rPr>
      <w:t>7</w:t>
    </w:r>
    <w:r w:rsidR="00FC648A" w:rsidRPr="00BF5F39">
      <w:rPr>
        <w:sz w:val="16"/>
      </w:rPr>
      <w:t>,</w:t>
    </w:r>
    <w:r w:rsidR="004B4808" w:rsidRPr="00BF5F39">
      <w:rPr>
        <w:sz w:val="16"/>
      </w:rPr>
      <w:t xml:space="preserve"> x</w:t>
    </w:r>
    <w:r w:rsidR="00690722" w:rsidRPr="00BF5F39">
      <w:rPr>
        <w:sz w:val="16"/>
      </w:rPr>
      <w:t xml:space="preserve"> </w:t>
    </w:r>
    <w:r w:rsidR="004B4808" w:rsidRPr="00BF5F39">
      <w:rPr>
        <w:sz w:val="16"/>
      </w:rPr>
      <w:t>FOR PEER REVIEW</w:t>
    </w:r>
    <w:r w:rsidR="004B4808" w:rsidRPr="00BF5F39">
      <w:rPr>
        <w:sz w:val="16"/>
      </w:rPr>
      <w:ptab w:relativeTo="margin" w:alignment="right" w:leader="none"/>
    </w:r>
    <w:r w:rsidR="004B4808" w:rsidRPr="00BF5F39">
      <w:rPr>
        <w:sz w:val="16"/>
      </w:rPr>
      <w:fldChar w:fldCharType="begin"/>
    </w:r>
    <w:r w:rsidR="004B4808" w:rsidRPr="00BF5F39">
      <w:rPr>
        <w:sz w:val="16"/>
      </w:rPr>
      <w:instrText xml:space="preserve"> PAGE   \* MERGEFORMAT </w:instrText>
    </w:r>
    <w:r w:rsidR="004B4808" w:rsidRPr="00BF5F39">
      <w:rPr>
        <w:sz w:val="16"/>
      </w:rPr>
      <w:fldChar w:fldCharType="separate"/>
    </w:r>
    <w:r w:rsidR="004B4808" w:rsidRPr="00BF5F39">
      <w:rPr>
        <w:sz w:val="16"/>
      </w:rPr>
      <w:t>2</w:t>
    </w:r>
    <w:r w:rsidR="004B4808" w:rsidRPr="00BF5F39">
      <w:rPr>
        <w:sz w:val="16"/>
      </w:rPr>
      <w:fldChar w:fldCharType="end"/>
    </w:r>
    <w:r w:rsidR="004B4808" w:rsidRPr="00BF5F39">
      <w:rPr>
        <w:sz w:val="16"/>
      </w:rPr>
      <w:t xml:space="preserve"> of </w:t>
    </w:r>
    <w:r w:rsidR="004B4808" w:rsidRPr="00BF5F39">
      <w:rPr>
        <w:sz w:val="16"/>
      </w:rPr>
      <w:fldChar w:fldCharType="begin"/>
    </w:r>
    <w:r w:rsidR="004B4808" w:rsidRPr="00BF5F39">
      <w:rPr>
        <w:sz w:val="16"/>
      </w:rPr>
      <w:instrText xml:space="preserve"> NUMPAGES   \* MERGEFORMAT </w:instrText>
    </w:r>
    <w:r w:rsidR="004B4808" w:rsidRPr="00BF5F39">
      <w:rPr>
        <w:sz w:val="16"/>
      </w:rPr>
      <w:fldChar w:fldCharType="separate"/>
    </w:r>
    <w:r w:rsidR="004B4808" w:rsidRPr="00BF5F39">
      <w:rPr>
        <w:sz w:val="16"/>
      </w:rPr>
      <w:t>7</w:t>
    </w:r>
    <w:r w:rsidR="004B4808" w:rsidRPr="00BF5F39">
      <w:rPr>
        <w:sz w:val="16"/>
      </w:rPr>
      <w:fldChar w:fldCharType="end"/>
    </w:r>
  </w:p>
  <w:p w14:paraId="20F5E905" w14:textId="77777777" w:rsidR="0067215B" w:rsidRPr="00BF5F39" w:rsidRDefault="0067215B" w:rsidP="008054CD">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4B61B8" w:rsidRPr="00BF5F39" w14:paraId="21B09E3B" w14:textId="77777777" w:rsidTr="00170173">
      <w:trPr>
        <w:trHeight w:val="686"/>
      </w:trPr>
      <w:tc>
        <w:tcPr>
          <w:tcW w:w="3679" w:type="dxa"/>
          <w:vAlign w:val="center"/>
        </w:tcPr>
        <w:p w14:paraId="29974E60" w14:textId="77777777" w:rsidR="004B61B8" w:rsidRPr="00BF5F39" w:rsidRDefault="00CD309F" w:rsidP="004C3213">
          <w:pPr>
            <w:pStyle w:val="Header"/>
            <w:pBdr>
              <w:bottom w:val="none" w:sz="0" w:space="0" w:color="auto"/>
            </w:pBdr>
            <w:jc w:val="left"/>
            <w:rPr>
              <w:rFonts w:eastAsia="DengXian"/>
              <w:b/>
              <w:bCs/>
            </w:rPr>
          </w:pPr>
          <w:r w:rsidRPr="00BF5F39">
            <w:rPr>
              <w:rFonts w:eastAsia="DengXian"/>
              <w:b/>
              <w:bCs/>
              <w:noProof/>
            </w:rPr>
            <w:drawing>
              <wp:inline distT="0" distB="0" distL="0" distR="0" wp14:anchorId="0E0F939A" wp14:editId="34A0641E">
                <wp:extent cx="821408" cy="432000"/>
                <wp:effectExtent l="0" t="0" r="0" b="6350"/>
                <wp:docPr id="10331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79031" name=""/>
                        <pic:cNvPicPr/>
                      </pic:nvPicPr>
                      <pic:blipFill>
                        <a:blip r:embed="rId1"/>
                        <a:stretch>
                          <a:fillRect/>
                        </a:stretch>
                      </pic:blipFill>
                      <pic:spPr>
                        <a:xfrm>
                          <a:off x="0" y="0"/>
                          <a:ext cx="821408" cy="432000"/>
                        </a:xfrm>
                        <a:prstGeom prst="rect">
                          <a:avLst/>
                        </a:prstGeom>
                      </pic:spPr>
                    </pic:pic>
                  </a:graphicData>
                </a:graphic>
              </wp:inline>
            </w:drawing>
          </w:r>
        </w:p>
      </w:tc>
      <w:tc>
        <w:tcPr>
          <w:tcW w:w="4535" w:type="dxa"/>
          <w:vAlign w:val="center"/>
        </w:tcPr>
        <w:p w14:paraId="2CA68E25" w14:textId="77777777" w:rsidR="004B61B8" w:rsidRPr="00BF5F39" w:rsidRDefault="004B61B8" w:rsidP="004C3213">
          <w:pPr>
            <w:pStyle w:val="Header"/>
            <w:pBdr>
              <w:bottom w:val="none" w:sz="0" w:space="0" w:color="auto"/>
            </w:pBdr>
            <w:rPr>
              <w:rFonts w:eastAsia="DengXian"/>
              <w:b/>
              <w:bCs/>
            </w:rPr>
          </w:pPr>
        </w:p>
      </w:tc>
      <w:tc>
        <w:tcPr>
          <w:tcW w:w="2273" w:type="dxa"/>
          <w:vAlign w:val="center"/>
        </w:tcPr>
        <w:p w14:paraId="0CA7F00B" w14:textId="77777777" w:rsidR="004B61B8" w:rsidRPr="00BF5F39" w:rsidRDefault="00170173" w:rsidP="00170173">
          <w:pPr>
            <w:pStyle w:val="Header"/>
            <w:pBdr>
              <w:bottom w:val="none" w:sz="0" w:space="0" w:color="auto"/>
            </w:pBdr>
            <w:jc w:val="right"/>
            <w:rPr>
              <w:rFonts w:eastAsia="DengXian"/>
              <w:b/>
              <w:bCs/>
            </w:rPr>
          </w:pPr>
          <w:r w:rsidRPr="00BF5F39">
            <w:rPr>
              <w:rFonts w:eastAsia="DengXian"/>
              <w:b/>
              <w:bCs/>
              <w:noProof/>
            </w:rPr>
            <w:drawing>
              <wp:inline distT="0" distB="0" distL="0" distR="0" wp14:anchorId="05DC0250" wp14:editId="0567BA35">
                <wp:extent cx="540000" cy="360000"/>
                <wp:effectExtent l="0" t="0" r="0" b="2540"/>
                <wp:docPr id="358920941" name="Picture 1"/>
                <wp:cNvGraphicFramePr/>
                <a:graphic xmlns:a="http://schemas.openxmlformats.org/drawingml/2006/main">
                  <a:graphicData uri="http://schemas.openxmlformats.org/drawingml/2006/picture">
                    <pic:pic xmlns:pic="http://schemas.openxmlformats.org/drawingml/2006/picture">
                      <pic:nvPicPr>
                        <pic:cNvPr id="358920941" name=""/>
                        <pic:cNvPicPr/>
                      </pic:nvPicPr>
                      <pic:blipFill>
                        <a:blip r:embed="rId2"/>
                        <a:stretch>
                          <a:fillRect/>
                        </a:stretch>
                      </pic:blipFill>
                      <pic:spPr>
                        <a:xfrm>
                          <a:off x="0" y="0"/>
                          <a:ext cx="540000" cy="360000"/>
                        </a:xfrm>
                        <a:prstGeom prst="rect">
                          <a:avLst/>
                        </a:prstGeom>
                      </pic:spPr>
                    </pic:pic>
                  </a:graphicData>
                </a:graphic>
              </wp:inline>
            </w:drawing>
          </w:r>
        </w:p>
      </w:tc>
    </w:tr>
  </w:tbl>
  <w:p w14:paraId="0FB2F4CF" w14:textId="77777777" w:rsidR="0067215B" w:rsidRPr="00BF5F39" w:rsidRDefault="0067215B" w:rsidP="004B4808">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CFE44B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18B468F5"/>
    <w:multiLevelType w:val="hybridMultilevel"/>
    <w:tmpl w:val="C81A4C24"/>
    <w:lvl w:ilvl="0" w:tplc="F20428A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30F555F"/>
    <w:multiLevelType w:val="hybridMultilevel"/>
    <w:tmpl w:val="E27C7240"/>
    <w:lvl w:ilvl="0" w:tplc="5CEE7B68">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E737F1"/>
    <w:multiLevelType w:val="hybridMultilevel"/>
    <w:tmpl w:val="5A34D26A"/>
    <w:lvl w:ilvl="0" w:tplc="75E67D46">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8E5242"/>
    <w:multiLevelType w:val="hybridMultilevel"/>
    <w:tmpl w:val="8012B1C4"/>
    <w:lvl w:ilvl="0" w:tplc="13C0F86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3377222">
    <w:abstractNumId w:val="4"/>
  </w:num>
  <w:num w:numId="2" w16cid:durableId="964432981">
    <w:abstractNumId w:val="6"/>
  </w:num>
  <w:num w:numId="3" w16cid:durableId="1716079798">
    <w:abstractNumId w:val="3"/>
  </w:num>
  <w:num w:numId="4" w16cid:durableId="500969567">
    <w:abstractNumId w:val="5"/>
  </w:num>
  <w:num w:numId="5" w16cid:durableId="823357956">
    <w:abstractNumId w:val="9"/>
  </w:num>
  <w:num w:numId="6" w16cid:durableId="1737628721">
    <w:abstractNumId w:val="2"/>
  </w:num>
  <w:num w:numId="7" w16cid:durableId="792141845">
    <w:abstractNumId w:val="9"/>
  </w:num>
  <w:num w:numId="8" w16cid:durableId="2071879956">
    <w:abstractNumId w:val="2"/>
  </w:num>
  <w:num w:numId="9" w16cid:durableId="1085030395">
    <w:abstractNumId w:val="9"/>
  </w:num>
  <w:num w:numId="10" w16cid:durableId="778646594">
    <w:abstractNumId w:val="2"/>
  </w:num>
  <w:num w:numId="11" w16cid:durableId="19115038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0342652">
    <w:abstractNumId w:val="11"/>
  </w:num>
  <w:num w:numId="13" w16cid:durableId="2003655984">
    <w:abstractNumId w:val="9"/>
  </w:num>
  <w:num w:numId="14" w16cid:durableId="109788721">
    <w:abstractNumId w:val="2"/>
  </w:num>
  <w:num w:numId="15" w16cid:durableId="337007409">
    <w:abstractNumId w:val="1"/>
  </w:num>
  <w:num w:numId="16" w16cid:durableId="1133984604">
    <w:abstractNumId w:val="8"/>
  </w:num>
  <w:num w:numId="17" w16cid:durableId="725877451">
    <w:abstractNumId w:val="1"/>
  </w:num>
  <w:num w:numId="18" w16cid:durableId="1122262491">
    <w:abstractNumId w:val="9"/>
  </w:num>
  <w:num w:numId="19" w16cid:durableId="498236943">
    <w:abstractNumId w:val="2"/>
  </w:num>
  <w:num w:numId="20" w16cid:durableId="193858186">
    <w:abstractNumId w:val="1"/>
  </w:num>
  <w:num w:numId="21" w16cid:durableId="1641961409">
    <w:abstractNumId w:val="7"/>
  </w:num>
  <w:num w:numId="22" w16cid:durableId="1481918066">
    <w:abstractNumId w:val="10"/>
  </w:num>
  <w:num w:numId="23" w16cid:durableId="1887596170">
    <w:abstractNumId w:val="12"/>
  </w:num>
  <w:num w:numId="24" w16cid:durableId="1045448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263"/>
    <w:rsid w:val="000016E5"/>
    <w:rsid w:val="00016DAD"/>
    <w:rsid w:val="00022715"/>
    <w:rsid w:val="000349FC"/>
    <w:rsid w:val="00040518"/>
    <w:rsid w:val="00066CC2"/>
    <w:rsid w:val="0008027E"/>
    <w:rsid w:val="00087275"/>
    <w:rsid w:val="000A0C21"/>
    <w:rsid w:val="000A686E"/>
    <w:rsid w:val="000B29B6"/>
    <w:rsid w:val="000B774B"/>
    <w:rsid w:val="000C15CB"/>
    <w:rsid w:val="000C6C74"/>
    <w:rsid w:val="000D139F"/>
    <w:rsid w:val="00105956"/>
    <w:rsid w:val="00110B4A"/>
    <w:rsid w:val="00114495"/>
    <w:rsid w:val="0012423C"/>
    <w:rsid w:val="001353A3"/>
    <w:rsid w:val="0014648E"/>
    <w:rsid w:val="0014775B"/>
    <w:rsid w:val="00155456"/>
    <w:rsid w:val="00170173"/>
    <w:rsid w:val="00170698"/>
    <w:rsid w:val="00174B5F"/>
    <w:rsid w:val="001876F0"/>
    <w:rsid w:val="001907D7"/>
    <w:rsid w:val="001A4AD9"/>
    <w:rsid w:val="001A7E5A"/>
    <w:rsid w:val="001B1844"/>
    <w:rsid w:val="001B4C6D"/>
    <w:rsid w:val="001C755D"/>
    <w:rsid w:val="001D2B5D"/>
    <w:rsid w:val="001E18D0"/>
    <w:rsid w:val="001E2AEB"/>
    <w:rsid w:val="001E6A7A"/>
    <w:rsid w:val="001E7130"/>
    <w:rsid w:val="001F1C19"/>
    <w:rsid w:val="001F5246"/>
    <w:rsid w:val="00200BF3"/>
    <w:rsid w:val="002175B4"/>
    <w:rsid w:val="0022262B"/>
    <w:rsid w:val="002254A8"/>
    <w:rsid w:val="00226DE8"/>
    <w:rsid w:val="002274A9"/>
    <w:rsid w:val="00233E02"/>
    <w:rsid w:val="00237F15"/>
    <w:rsid w:val="00262DCA"/>
    <w:rsid w:val="00264AD2"/>
    <w:rsid w:val="002650E7"/>
    <w:rsid w:val="002722EE"/>
    <w:rsid w:val="00292E3F"/>
    <w:rsid w:val="002938C4"/>
    <w:rsid w:val="00295161"/>
    <w:rsid w:val="002A1E5F"/>
    <w:rsid w:val="002C47E1"/>
    <w:rsid w:val="002C72D1"/>
    <w:rsid w:val="002D5114"/>
    <w:rsid w:val="002E73EB"/>
    <w:rsid w:val="002F1946"/>
    <w:rsid w:val="002F498F"/>
    <w:rsid w:val="002F4D23"/>
    <w:rsid w:val="002F5314"/>
    <w:rsid w:val="002F7223"/>
    <w:rsid w:val="003151CD"/>
    <w:rsid w:val="0031744E"/>
    <w:rsid w:val="0032225F"/>
    <w:rsid w:val="00326141"/>
    <w:rsid w:val="00334B29"/>
    <w:rsid w:val="003350E5"/>
    <w:rsid w:val="00342D06"/>
    <w:rsid w:val="0034440C"/>
    <w:rsid w:val="00344827"/>
    <w:rsid w:val="00345623"/>
    <w:rsid w:val="0034584D"/>
    <w:rsid w:val="00361842"/>
    <w:rsid w:val="0036255D"/>
    <w:rsid w:val="0036535E"/>
    <w:rsid w:val="00372136"/>
    <w:rsid w:val="0037588B"/>
    <w:rsid w:val="0038257B"/>
    <w:rsid w:val="00390E07"/>
    <w:rsid w:val="003A5D62"/>
    <w:rsid w:val="003D1B18"/>
    <w:rsid w:val="003D6C24"/>
    <w:rsid w:val="003D733A"/>
    <w:rsid w:val="003E64A5"/>
    <w:rsid w:val="003F12D2"/>
    <w:rsid w:val="003F36C1"/>
    <w:rsid w:val="003F4D0E"/>
    <w:rsid w:val="003F4DB2"/>
    <w:rsid w:val="00401D30"/>
    <w:rsid w:val="00410F35"/>
    <w:rsid w:val="0041236F"/>
    <w:rsid w:val="00421245"/>
    <w:rsid w:val="004254F0"/>
    <w:rsid w:val="0043710F"/>
    <w:rsid w:val="00440D01"/>
    <w:rsid w:val="00447A55"/>
    <w:rsid w:val="0045200E"/>
    <w:rsid w:val="00454A4A"/>
    <w:rsid w:val="00455EE1"/>
    <w:rsid w:val="0045614B"/>
    <w:rsid w:val="00466018"/>
    <w:rsid w:val="004757AE"/>
    <w:rsid w:val="00487A66"/>
    <w:rsid w:val="00493033"/>
    <w:rsid w:val="004A1AD8"/>
    <w:rsid w:val="004A3F77"/>
    <w:rsid w:val="004A6017"/>
    <w:rsid w:val="004B4808"/>
    <w:rsid w:val="004B49A6"/>
    <w:rsid w:val="004B61B8"/>
    <w:rsid w:val="004C0CC6"/>
    <w:rsid w:val="004C207F"/>
    <w:rsid w:val="004C3213"/>
    <w:rsid w:val="004C48DB"/>
    <w:rsid w:val="004D5BEC"/>
    <w:rsid w:val="004D79C7"/>
    <w:rsid w:val="004E0616"/>
    <w:rsid w:val="004E405C"/>
    <w:rsid w:val="004F188B"/>
    <w:rsid w:val="00507625"/>
    <w:rsid w:val="00511C92"/>
    <w:rsid w:val="00522C87"/>
    <w:rsid w:val="00536B95"/>
    <w:rsid w:val="00545B32"/>
    <w:rsid w:val="005614F2"/>
    <w:rsid w:val="00565B8D"/>
    <w:rsid w:val="00570E21"/>
    <w:rsid w:val="0058093C"/>
    <w:rsid w:val="00581130"/>
    <w:rsid w:val="00596FBD"/>
    <w:rsid w:val="005A0D40"/>
    <w:rsid w:val="005A317A"/>
    <w:rsid w:val="005B5B27"/>
    <w:rsid w:val="005D4019"/>
    <w:rsid w:val="005D7AE5"/>
    <w:rsid w:val="006073AC"/>
    <w:rsid w:val="006213DF"/>
    <w:rsid w:val="006224DB"/>
    <w:rsid w:val="00623A78"/>
    <w:rsid w:val="006259B4"/>
    <w:rsid w:val="00630EB5"/>
    <w:rsid w:val="00641894"/>
    <w:rsid w:val="006444A7"/>
    <w:rsid w:val="00661717"/>
    <w:rsid w:val="00662EBE"/>
    <w:rsid w:val="0067215B"/>
    <w:rsid w:val="00673CC9"/>
    <w:rsid w:val="00687C78"/>
    <w:rsid w:val="00690722"/>
    <w:rsid w:val="00691E4C"/>
    <w:rsid w:val="00692393"/>
    <w:rsid w:val="006A0C80"/>
    <w:rsid w:val="006B761A"/>
    <w:rsid w:val="006D6039"/>
    <w:rsid w:val="006E2622"/>
    <w:rsid w:val="006E668C"/>
    <w:rsid w:val="006F16F0"/>
    <w:rsid w:val="00701882"/>
    <w:rsid w:val="007065E6"/>
    <w:rsid w:val="00721050"/>
    <w:rsid w:val="00722EE0"/>
    <w:rsid w:val="00732758"/>
    <w:rsid w:val="00734C80"/>
    <w:rsid w:val="00770A76"/>
    <w:rsid w:val="007744EC"/>
    <w:rsid w:val="0078256A"/>
    <w:rsid w:val="0079387E"/>
    <w:rsid w:val="007A3613"/>
    <w:rsid w:val="007A4A78"/>
    <w:rsid w:val="007A50CD"/>
    <w:rsid w:val="007B3D68"/>
    <w:rsid w:val="007E326C"/>
    <w:rsid w:val="007E751C"/>
    <w:rsid w:val="007F4FDC"/>
    <w:rsid w:val="008054CD"/>
    <w:rsid w:val="00817168"/>
    <w:rsid w:val="00821966"/>
    <w:rsid w:val="00822A6B"/>
    <w:rsid w:val="00825D19"/>
    <w:rsid w:val="00832F6A"/>
    <w:rsid w:val="00835B39"/>
    <w:rsid w:val="00835BD7"/>
    <w:rsid w:val="00843627"/>
    <w:rsid w:val="00865AC6"/>
    <w:rsid w:val="00873216"/>
    <w:rsid w:val="00881B67"/>
    <w:rsid w:val="00884B37"/>
    <w:rsid w:val="008B011A"/>
    <w:rsid w:val="008B1066"/>
    <w:rsid w:val="008B384B"/>
    <w:rsid w:val="008C1E2B"/>
    <w:rsid w:val="008E0CDE"/>
    <w:rsid w:val="008E1FE6"/>
    <w:rsid w:val="008F4315"/>
    <w:rsid w:val="008F7962"/>
    <w:rsid w:val="009039D6"/>
    <w:rsid w:val="00906867"/>
    <w:rsid w:val="00914E4B"/>
    <w:rsid w:val="009334AD"/>
    <w:rsid w:val="00942CF1"/>
    <w:rsid w:val="009452B7"/>
    <w:rsid w:val="0095779C"/>
    <w:rsid w:val="009901D8"/>
    <w:rsid w:val="009929E4"/>
    <w:rsid w:val="00993B2E"/>
    <w:rsid w:val="00994B56"/>
    <w:rsid w:val="00997416"/>
    <w:rsid w:val="00997D0F"/>
    <w:rsid w:val="009A1FDB"/>
    <w:rsid w:val="009B23C9"/>
    <w:rsid w:val="009B4565"/>
    <w:rsid w:val="009B69CF"/>
    <w:rsid w:val="009D416B"/>
    <w:rsid w:val="009F70E6"/>
    <w:rsid w:val="00A02BF7"/>
    <w:rsid w:val="00A0521F"/>
    <w:rsid w:val="00A07C38"/>
    <w:rsid w:val="00A20793"/>
    <w:rsid w:val="00A328C3"/>
    <w:rsid w:val="00A33FB2"/>
    <w:rsid w:val="00A35CF5"/>
    <w:rsid w:val="00A37A7A"/>
    <w:rsid w:val="00A50BB0"/>
    <w:rsid w:val="00A705BE"/>
    <w:rsid w:val="00A87281"/>
    <w:rsid w:val="00A96C16"/>
    <w:rsid w:val="00AB0729"/>
    <w:rsid w:val="00AB4A14"/>
    <w:rsid w:val="00AB7579"/>
    <w:rsid w:val="00AC3309"/>
    <w:rsid w:val="00AE4EA6"/>
    <w:rsid w:val="00B12237"/>
    <w:rsid w:val="00B1331D"/>
    <w:rsid w:val="00B2070A"/>
    <w:rsid w:val="00B35CDC"/>
    <w:rsid w:val="00B61263"/>
    <w:rsid w:val="00B67A82"/>
    <w:rsid w:val="00B763B5"/>
    <w:rsid w:val="00B86946"/>
    <w:rsid w:val="00B90FA9"/>
    <w:rsid w:val="00B91FA6"/>
    <w:rsid w:val="00BC1D5B"/>
    <w:rsid w:val="00BF5F39"/>
    <w:rsid w:val="00BF6A2A"/>
    <w:rsid w:val="00BF6B09"/>
    <w:rsid w:val="00C02026"/>
    <w:rsid w:val="00C10DD7"/>
    <w:rsid w:val="00C1271D"/>
    <w:rsid w:val="00C13B6F"/>
    <w:rsid w:val="00C31189"/>
    <w:rsid w:val="00C42D40"/>
    <w:rsid w:val="00C51C26"/>
    <w:rsid w:val="00C537C7"/>
    <w:rsid w:val="00C56C95"/>
    <w:rsid w:val="00C64034"/>
    <w:rsid w:val="00C760BA"/>
    <w:rsid w:val="00C80385"/>
    <w:rsid w:val="00C946C2"/>
    <w:rsid w:val="00CA271A"/>
    <w:rsid w:val="00CB640A"/>
    <w:rsid w:val="00CC20AE"/>
    <w:rsid w:val="00CC3714"/>
    <w:rsid w:val="00CC42E7"/>
    <w:rsid w:val="00CC5F55"/>
    <w:rsid w:val="00CC7D3A"/>
    <w:rsid w:val="00CD0789"/>
    <w:rsid w:val="00CD309F"/>
    <w:rsid w:val="00CE60E1"/>
    <w:rsid w:val="00CE6473"/>
    <w:rsid w:val="00D064AC"/>
    <w:rsid w:val="00D06FE4"/>
    <w:rsid w:val="00D11046"/>
    <w:rsid w:val="00D12EB8"/>
    <w:rsid w:val="00D14BC0"/>
    <w:rsid w:val="00D16B2E"/>
    <w:rsid w:val="00D2458F"/>
    <w:rsid w:val="00D32270"/>
    <w:rsid w:val="00D453B1"/>
    <w:rsid w:val="00D4733C"/>
    <w:rsid w:val="00D54A8F"/>
    <w:rsid w:val="00D648D7"/>
    <w:rsid w:val="00D756C4"/>
    <w:rsid w:val="00DA1BD3"/>
    <w:rsid w:val="00DC7316"/>
    <w:rsid w:val="00DE56DB"/>
    <w:rsid w:val="00E03E70"/>
    <w:rsid w:val="00E05BB2"/>
    <w:rsid w:val="00E07942"/>
    <w:rsid w:val="00E25B97"/>
    <w:rsid w:val="00E31148"/>
    <w:rsid w:val="00E45125"/>
    <w:rsid w:val="00E545BD"/>
    <w:rsid w:val="00E8445F"/>
    <w:rsid w:val="00E951B3"/>
    <w:rsid w:val="00E96A25"/>
    <w:rsid w:val="00EB399A"/>
    <w:rsid w:val="00EB4B25"/>
    <w:rsid w:val="00EC2AA7"/>
    <w:rsid w:val="00ED2749"/>
    <w:rsid w:val="00ED5717"/>
    <w:rsid w:val="00ED7898"/>
    <w:rsid w:val="00EE7BA7"/>
    <w:rsid w:val="00EF2209"/>
    <w:rsid w:val="00F050BE"/>
    <w:rsid w:val="00F05444"/>
    <w:rsid w:val="00F15C65"/>
    <w:rsid w:val="00F206BD"/>
    <w:rsid w:val="00F3246A"/>
    <w:rsid w:val="00F32671"/>
    <w:rsid w:val="00F34FEE"/>
    <w:rsid w:val="00F36103"/>
    <w:rsid w:val="00F41301"/>
    <w:rsid w:val="00F41B69"/>
    <w:rsid w:val="00F44800"/>
    <w:rsid w:val="00F52244"/>
    <w:rsid w:val="00F561A2"/>
    <w:rsid w:val="00F634B8"/>
    <w:rsid w:val="00F650C6"/>
    <w:rsid w:val="00F70178"/>
    <w:rsid w:val="00F7430B"/>
    <w:rsid w:val="00F76FAE"/>
    <w:rsid w:val="00FB14D9"/>
    <w:rsid w:val="00FC185A"/>
    <w:rsid w:val="00FC5041"/>
    <w:rsid w:val="00FC546E"/>
    <w:rsid w:val="00FC648A"/>
    <w:rsid w:val="00FE33D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A4F798"/>
  <w15:chartTrackingRefBased/>
  <w15:docId w15:val="{4A3C5113-E2CC-4FC1-B151-9D3D6DC35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26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E326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E326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E326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E326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E326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E326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E326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E326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Header">
    <w:name w:val="header"/>
    <w:basedOn w:val="Normal"/>
    <w:link w:val="HeaderChar"/>
    <w:uiPriority w:val="99"/>
    <w:rsid w:val="007E326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E326C"/>
    <w:rPr>
      <w:rFonts w:ascii="Palatino Linotype" w:hAnsi="Palatino Linotype"/>
      <w:noProof/>
      <w:color w:val="000000"/>
      <w:szCs w:val="18"/>
    </w:rPr>
  </w:style>
  <w:style w:type="paragraph" w:customStyle="1" w:styleId="MDPI32textnoindent">
    <w:name w:val="MDPI_3.2_text_no_indent"/>
    <w:basedOn w:val="MDPI31text"/>
    <w:qFormat/>
    <w:rsid w:val="007E326C"/>
    <w:pPr>
      <w:ind w:firstLine="0"/>
    </w:pPr>
  </w:style>
  <w:style w:type="paragraph" w:customStyle="1" w:styleId="MDPI31text">
    <w:name w:val="MDPI_3.1_text"/>
    <w:qFormat/>
    <w:rsid w:val="0037588B"/>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E326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E326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E326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292E3F"/>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92E3F"/>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E326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E326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E326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56C95"/>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E326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E326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E326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E326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E326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E326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8B106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E326C"/>
    <w:rPr>
      <w:rFonts w:cs="Tahoma"/>
      <w:szCs w:val="18"/>
    </w:rPr>
  </w:style>
  <w:style w:type="character" w:customStyle="1" w:styleId="BalloonTextChar">
    <w:name w:val="Balloon Text Char"/>
    <w:link w:val="BalloonText"/>
    <w:uiPriority w:val="99"/>
    <w:rsid w:val="007E326C"/>
    <w:rPr>
      <w:rFonts w:ascii="Palatino Linotype" w:hAnsi="Palatino Linotype" w:cs="Tahoma"/>
      <w:noProof/>
      <w:color w:val="000000"/>
      <w:szCs w:val="18"/>
    </w:rPr>
  </w:style>
  <w:style w:type="character" w:styleId="LineNumber">
    <w:name w:val="line number"/>
    <w:uiPriority w:val="99"/>
    <w:rsid w:val="009B4565"/>
    <w:rPr>
      <w:rFonts w:ascii="Palatino Linotype" w:hAnsi="Palatino Linotype"/>
      <w:sz w:val="16"/>
    </w:rPr>
  </w:style>
  <w:style w:type="table" w:customStyle="1" w:styleId="MDPI41threelinetable">
    <w:name w:val="MDPI_4.1_three_line_table"/>
    <w:basedOn w:val="TableNormal"/>
    <w:uiPriority w:val="99"/>
    <w:rsid w:val="007E326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E326C"/>
    <w:rPr>
      <w:color w:val="0000FF"/>
      <w:u w:val="single"/>
    </w:rPr>
  </w:style>
  <w:style w:type="character" w:styleId="UnresolvedMention">
    <w:name w:val="Unresolved Mention"/>
    <w:uiPriority w:val="99"/>
    <w:semiHidden/>
    <w:unhideWhenUsed/>
    <w:rsid w:val="00B91FA6"/>
    <w:rPr>
      <w:color w:val="605E5C"/>
      <w:shd w:val="clear" w:color="auto" w:fill="E1DFDD"/>
    </w:rPr>
  </w:style>
  <w:style w:type="paragraph" w:styleId="Footer">
    <w:name w:val="footer"/>
    <w:basedOn w:val="Normal"/>
    <w:link w:val="FooterChar"/>
    <w:uiPriority w:val="99"/>
    <w:rsid w:val="007E326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E326C"/>
    <w:rPr>
      <w:rFonts w:ascii="Palatino Linotype" w:hAnsi="Palatino Linotype"/>
      <w:noProof/>
      <w:color w:val="000000"/>
      <w:szCs w:val="18"/>
    </w:rPr>
  </w:style>
  <w:style w:type="table" w:styleId="TableGrid">
    <w:name w:val="Table Grid"/>
    <w:basedOn w:val="TableNormal"/>
    <w:uiPriority w:val="59"/>
    <w:rsid w:val="007E326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41236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E326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E326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E326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E326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E326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E326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35CF5"/>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E326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E326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13DF"/>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E326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E326C"/>
  </w:style>
  <w:style w:type="paragraph" w:styleId="Bibliography">
    <w:name w:val="Bibliography"/>
    <w:basedOn w:val="Normal"/>
    <w:next w:val="Normal"/>
    <w:uiPriority w:val="37"/>
    <w:semiHidden/>
    <w:unhideWhenUsed/>
    <w:rsid w:val="007E326C"/>
  </w:style>
  <w:style w:type="paragraph" w:styleId="BodyText">
    <w:name w:val="Body Text"/>
    <w:link w:val="BodyTextChar"/>
    <w:uiPriority w:val="99"/>
    <w:rsid w:val="007E326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uiPriority w:val="99"/>
    <w:rsid w:val="007E326C"/>
    <w:rPr>
      <w:rFonts w:ascii="Palatino Linotype" w:hAnsi="Palatino Linotype"/>
      <w:color w:val="000000"/>
      <w:sz w:val="24"/>
      <w:lang w:eastAsia="de-DE"/>
    </w:rPr>
  </w:style>
  <w:style w:type="character" w:styleId="CommentReference">
    <w:name w:val="annotation reference"/>
    <w:rsid w:val="007E326C"/>
    <w:rPr>
      <w:sz w:val="21"/>
      <w:szCs w:val="21"/>
    </w:rPr>
  </w:style>
  <w:style w:type="paragraph" w:styleId="CommentText">
    <w:name w:val="annotation text"/>
    <w:basedOn w:val="Normal"/>
    <w:link w:val="CommentTextChar"/>
    <w:rsid w:val="007E326C"/>
  </w:style>
  <w:style w:type="character" w:customStyle="1" w:styleId="CommentTextChar">
    <w:name w:val="Comment Text Char"/>
    <w:link w:val="CommentText"/>
    <w:rsid w:val="007E326C"/>
    <w:rPr>
      <w:rFonts w:ascii="Palatino Linotype" w:hAnsi="Palatino Linotype"/>
      <w:noProof/>
      <w:color w:val="000000"/>
    </w:rPr>
  </w:style>
  <w:style w:type="paragraph" w:styleId="CommentSubject">
    <w:name w:val="annotation subject"/>
    <w:basedOn w:val="CommentText"/>
    <w:next w:val="CommentText"/>
    <w:link w:val="CommentSubjectChar"/>
    <w:rsid w:val="007E326C"/>
    <w:rPr>
      <w:b/>
      <w:bCs/>
    </w:rPr>
  </w:style>
  <w:style w:type="character" w:customStyle="1" w:styleId="CommentSubjectChar">
    <w:name w:val="Comment Subject Char"/>
    <w:link w:val="CommentSubject"/>
    <w:rsid w:val="007E326C"/>
    <w:rPr>
      <w:rFonts w:ascii="Palatino Linotype" w:hAnsi="Palatino Linotype"/>
      <w:b/>
      <w:bCs/>
      <w:noProof/>
      <w:color w:val="000000"/>
    </w:rPr>
  </w:style>
  <w:style w:type="character" w:styleId="EndnoteReference">
    <w:name w:val="endnote reference"/>
    <w:rsid w:val="007E326C"/>
    <w:rPr>
      <w:vertAlign w:val="superscript"/>
    </w:rPr>
  </w:style>
  <w:style w:type="paragraph" w:styleId="EndnoteText">
    <w:name w:val="endnote text"/>
    <w:basedOn w:val="Normal"/>
    <w:link w:val="EndnoteTextChar"/>
    <w:semiHidden/>
    <w:unhideWhenUsed/>
    <w:rsid w:val="007E326C"/>
    <w:pPr>
      <w:spacing w:line="240" w:lineRule="auto"/>
    </w:pPr>
  </w:style>
  <w:style w:type="character" w:customStyle="1" w:styleId="EndnoteTextChar">
    <w:name w:val="Endnote Text Char"/>
    <w:link w:val="EndnoteText"/>
    <w:semiHidden/>
    <w:rsid w:val="007E326C"/>
    <w:rPr>
      <w:rFonts w:ascii="Palatino Linotype" w:hAnsi="Palatino Linotype"/>
      <w:noProof/>
      <w:color w:val="000000"/>
    </w:rPr>
  </w:style>
  <w:style w:type="character" w:styleId="FollowedHyperlink">
    <w:name w:val="FollowedHyperlink"/>
    <w:rsid w:val="007E326C"/>
    <w:rPr>
      <w:color w:val="954F72"/>
      <w:u w:val="single"/>
    </w:rPr>
  </w:style>
  <w:style w:type="paragraph" w:styleId="FootnoteText">
    <w:name w:val="footnote text"/>
    <w:basedOn w:val="Normal"/>
    <w:link w:val="FootnoteTextChar"/>
    <w:semiHidden/>
    <w:unhideWhenUsed/>
    <w:rsid w:val="007E326C"/>
    <w:pPr>
      <w:spacing w:line="240" w:lineRule="auto"/>
    </w:pPr>
  </w:style>
  <w:style w:type="character" w:customStyle="1" w:styleId="FootnoteTextChar">
    <w:name w:val="Footnote Text Char"/>
    <w:link w:val="FootnoteText"/>
    <w:semiHidden/>
    <w:rsid w:val="007E326C"/>
    <w:rPr>
      <w:rFonts w:ascii="Palatino Linotype" w:hAnsi="Palatino Linotype"/>
      <w:noProof/>
      <w:color w:val="000000"/>
    </w:rPr>
  </w:style>
  <w:style w:type="paragraph" w:styleId="NormalWeb">
    <w:name w:val="Normal (Web)"/>
    <w:basedOn w:val="Normal"/>
    <w:uiPriority w:val="99"/>
    <w:rsid w:val="007E326C"/>
    <w:rPr>
      <w:szCs w:val="24"/>
    </w:rPr>
  </w:style>
  <w:style w:type="paragraph" w:customStyle="1" w:styleId="MsoFootnoteText0">
    <w:name w:val="MsoFootnoteText"/>
    <w:basedOn w:val="NormalWeb"/>
    <w:qFormat/>
    <w:rsid w:val="007E326C"/>
    <w:rPr>
      <w:rFonts w:ascii="Times New Roman" w:hAnsi="Times New Roman"/>
    </w:rPr>
  </w:style>
  <w:style w:type="character" w:styleId="PageNumber">
    <w:name w:val="page number"/>
    <w:rsid w:val="007E326C"/>
  </w:style>
  <w:style w:type="character" w:styleId="PlaceholderText">
    <w:name w:val="Placeholder Text"/>
    <w:uiPriority w:val="99"/>
    <w:semiHidden/>
    <w:rsid w:val="007E326C"/>
    <w:rPr>
      <w:color w:val="808080"/>
    </w:rPr>
  </w:style>
  <w:style w:type="paragraph" w:customStyle="1" w:styleId="MDPI71footnotes">
    <w:name w:val="MDPI_7.1_footnotes"/>
    <w:qFormat/>
    <w:rsid w:val="00114495"/>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D756C4"/>
    <w:rPr>
      <w:b/>
      <w:bCs/>
    </w:rPr>
  </w:style>
  <w:style w:type="paragraph" w:customStyle="1" w:styleId="FirstParagraph">
    <w:name w:val="First Paragraph"/>
    <w:basedOn w:val="BodyText"/>
    <w:rsid w:val="00D453B1"/>
    <w:pPr>
      <w:spacing w:after="0" w:line="276" w:lineRule="auto"/>
    </w:pPr>
    <w:rPr>
      <w:rFonts w:ascii="Times New Roman" w:eastAsiaTheme="minorEastAsia" w:hAnsi="Times New Roman" w:cstheme="minorBidi"/>
      <w:color w:val="auto"/>
      <w:sz w:val="22"/>
      <w:szCs w:val="22"/>
      <w:lang w:val="en" w:eastAsia="en-US"/>
    </w:rPr>
  </w:style>
  <w:style w:type="paragraph" w:customStyle="1" w:styleId="Compact">
    <w:name w:val="Compact"/>
    <w:basedOn w:val="BodyText"/>
    <w:rsid w:val="00721050"/>
    <w:pPr>
      <w:spacing w:after="40" w:line="252" w:lineRule="auto"/>
      <w:ind w:left="317" w:hanging="259"/>
    </w:pPr>
    <w:rPr>
      <w:rFonts w:ascii="Times New Roman" w:eastAsiaTheme="minorEastAsia" w:hAnsi="Times New Roman" w:cstheme="minorBidi"/>
      <w:color w:val="auto"/>
      <w:sz w:val="22"/>
      <w:szCs w:val="22"/>
      <w:lang w:val="en"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creativecommons.org/licenses/by/4.0/"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hyperlink" Target="https://doi.org/10.1145/1541880.1541882" TargetMode="External"/><Relationship Id="rId10" Type="http://schemas.openxmlformats.org/officeDocument/2006/relationships/hyperlink" Target="https://doi.org/10.1109/JPROC.2021.3052449" TargetMode="External"/><Relationship Id="rId11" Type="http://schemas.openxmlformats.org/officeDocument/2006/relationships/hyperlink" Target="https://doi.org/10.1609/aaai.v36i7.20680" TargetMode="External"/><Relationship Id="rId12" Type="http://schemas.openxmlformats.org/officeDocument/2006/relationships/hyperlink" Target="https://doi.org/10.1109/TNNLS.2021.3105827" TargetMode="External"/><Relationship Id="rId13" Type="http://schemas.openxmlformats.org/officeDocument/2006/relationships/hyperlink" Target="https://doi.org/10.1109/TKDE.2021.3112126" TargetMode="External"/><Relationship Id="rId14" Type="http://schemas.openxmlformats.org/officeDocument/2006/relationships/hyperlink" Target="https://doi.org/10.1145/3439950" TargetMode="External"/><Relationship Id="rId15" Type="http://schemas.openxmlformats.org/officeDocument/2006/relationships/hyperlink" Target="https://doi.org/10.1145/3444690" TargetMode="External"/><Relationship Id="rId24" Type="http://schemas.openxmlformats.org/officeDocument/2006/relationships/hyperlink" Target="https://doi.org/10.1177/1550147718794615" TargetMode="External"/><Relationship Id="rId25" Type="http://schemas.openxmlformats.org/officeDocument/2006/relationships/hyperlink" Target="https://arxiv.org/abs/2203.05167" TargetMode="External"/><Relationship Id="rId26" Type="http://schemas.openxmlformats.org/officeDocument/2006/relationships/hyperlink" Target="https://doi.org/10.1145/3637528.3671971" TargetMode="External"/><Relationship Id="rId27" Type="http://schemas.openxmlformats.org/officeDocument/2006/relationships/hyperlink" Target="https://arxiv.org/abs/2606.02670" TargetMode="External"/><Relationship Id="rId28" Type="http://schemas.openxmlformats.org/officeDocument/2006/relationships/hyperlink" Target="https://arxiv.org/abs/2506.18046" TargetMode="External"/><Relationship Id="rId29" Type="http://schemas.openxmlformats.org/officeDocument/2006/relationships/hyperlink" Target="https://arxiv.org/abs/2501.13864" TargetMode="External"/><Relationship Id="rId30" Type="http://schemas.openxmlformats.org/officeDocument/2006/relationships/hyperlink" Target="https://arxiv.org/abs/1904.02639" TargetMode="External"/><Relationship Id="rId31" Type="http://schemas.openxmlformats.org/officeDocument/2006/relationships/hyperlink" Target="https://arxiv.org/abs/2405.02678" TargetMode="External"/><Relationship Id="rId32" Type="http://schemas.openxmlformats.org/officeDocument/2006/relationships/hyperlink" Target="https://openreview.net/forum?id=iMmsCI0JsS" TargetMode="External"/><Relationship Id="rId33" Type="http://schemas.openxmlformats.org/officeDocument/2006/relationships/hyperlink" Target="https://doi.org/10.24963/ijcai.2017/273" TargetMode="External"/><Relationship Id="rId34" Type="http://schemas.openxmlformats.org/officeDocument/2006/relationships/hyperlink" Target="https://openreview.net/forum?id=BJJLHbb0-" TargetMode="External"/><Relationship Id="rId35" Type="http://schemas.openxmlformats.org/officeDocument/2006/relationships/hyperlink" Target="https://doi.org/10.1016/S0047-259X(03)00096-4" TargetMode="External"/><Relationship Id="rId36" Type="http://schemas.openxmlformats.org/officeDocument/2006/relationships/hyperlink" Target="https://doi.org/10.1109/ICDM.2008.17" TargetMode="External"/><Relationship Id="rId37" Type="http://schemas.openxmlformats.org/officeDocument/2006/relationships/hyperlink" Target="https://doi.org/10.1145/2689746.2689747" TargetMode="External"/><Relationship Id="rId38" Type="http://schemas.openxmlformats.org/officeDocument/2006/relationships/hyperlink" Target="https://doi.org/10.1145/3394486.3403392" TargetMode="External"/><Relationship Id="rId39" Type="http://schemas.openxmlformats.org/officeDocument/2006/relationships/hyperlink" Target="https://doi.org/10.14778/3514061.3514067" TargetMode="External"/><Relationship Id="rId40" Type="http://schemas.openxmlformats.org/officeDocument/2006/relationships/hyperlink" Target="https://doi.org/10.1609/aaai.v35i5.16523" TargetMode="External"/><Relationship Id="rId41" Type="http://schemas.openxmlformats.org/officeDocument/2006/relationships/hyperlink" Target="https://doi.org/10.1145/3637528.3671919" TargetMode="External"/><Relationship Id="rId42" Type="http://schemas.openxmlformats.org/officeDocument/2006/relationships/hyperlink" Target="https://arxiv.org/abs/2410.12261" TargetMode="External"/><Relationship Id="rId43" Type="http://schemas.openxmlformats.org/officeDocument/2006/relationships/hyperlink" Target="https://doi.org/10.1109/ICCAD57653.2023.10152303" TargetMode="External"/><Relationship Id="rId44" Type="http://schemas.openxmlformats.org/officeDocument/2006/relationships/hyperlink" Target="https://doi.org/10.36001/phmconf.2023.v15i1.3502" TargetMode="External"/><Relationship Id="rId45" Type="http://schemas.openxmlformats.org/officeDocument/2006/relationships/hyperlink" Target="https://doi.org/10.36001/phme.2022.v7i1.3322" TargetMode="External"/><Relationship Id="rId46" Type="http://schemas.openxmlformats.org/officeDocument/2006/relationships/hyperlink" Target="https://doi.org/10.1016/j.ifacol.2022.04.199" TargetMode="External"/><Relationship Id="rId47" Type="http://schemas.openxmlformats.org/officeDocument/2006/relationships/hyperlink" Target="https://doi.org/10.1145/3055366.3055375" TargetMode="External"/><Relationship Id="rId48" Type="http://schemas.openxmlformats.org/officeDocument/2006/relationships/hyperlink" Target="https://doi.org/10.1109/CySWater.2016.7469060" TargetMode="External"/><Relationship Id="rId49" Type="http://schemas.openxmlformats.org/officeDocument/2006/relationships/hyperlink" Target="https://www.usenix.org/conference/cset20/presentation/shin"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persteiny\Downloads\a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ai-template.dot</Template>
  <TotalTime>24</TotalTime>
  <Pages>20</Pages>
  <Words>8993</Words>
  <Characters>51265</Characters>
  <Application>Microsoft Office Word</Application>
  <DocSecurity>0</DocSecurity>
  <Lines>427</Lines>
  <Paragraphs>120</Paragraphs>
  <ScaleCrop>false</ScaleCrop>
  <HeadingPairs>
    <vt:vector size="4" baseType="variant">
      <vt:variant>
        <vt:lpstr>Title</vt:lpstr>
      </vt:variant>
      <vt:variant>
        <vt:i4>1</vt:i4>
      </vt:variant>
      <vt:variant>
        <vt:lpstr>Headings</vt:lpstr>
      </vt:variant>
      <vt:variant>
        <vt:i4>19</vt:i4>
      </vt:variant>
    </vt:vector>
  </HeadingPairs>
  <TitlesOfParts>
    <vt:vector size="20" baseType="lpstr">
      <vt:lpstr>Type of the Paper (Article</vt:lpstr>
      <vt:lpstr>1. Introduction</vt:lpstr>
      <vt:lpstr>2. Related Work</vt:lpstr>
      <vt:lpstr>    2.1. Opportunistic and Repurposed Urban Sensing</vt:lpstr>
      <vt:lpstr>    2.2. License Plate Recognition and Its Assumptions</vt:lpstr>
      <vt:lpstr>    2.3. Deep Learning Image Restoration</vt:lpstr>
      <vt:lpstr>    2.4. Low-Discrepancy Sampling for Benchmark Design</vt:lpstr>
      <vt:lpstr>3. Results</vt:lpstr>
      <vt:lpstr>    3.1. Subsection</vt:lpstr>
      <vt:lpstr>        3.1.1. Subsubsection</vt:lpstr>
      <vt:lpstr>    3.2. Figures, Tables and Schemes</vt:lpstr>
      <vt:lpstr>    3.3. Formatting of Mathematical Components</vt:lpstr>
      <vt:lpstr>4. Discussion</vt:lpstr>
      <vt:lpstr>5. Conclusions</vt:lpstr>
      <vt:lpstr>6. Patents</vt:lpstr>
      <vt:lpstr>Abbreviations</vt:lpstr>
      <vt:lpstr>Appendix A</vt:lpstr>
      <vt:lpstr>    Appendix A.1</vt:lpstr>
      <vt:lpstr>Appendix B</vt:lpstr>
      <vt:lpstr>References</vt:lpstr>
    </vt:vector>
  </TitlesOfParts>
  <Company/>
  <LinksUpToDate>false</LinksUpToDate>
  <CharactersWithSpaces>60138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Yehudit Aperstein</dc:creator>
  <cp:keywords/>
  <dc:description/>
  <cp:lastModifiedBy>Yehudit Aperstein</cp:lastModifiedBy>
  <cp:revision>5</cp:revision>
  <dcterms:created xsi:type="dcterms:W3CDTF">2026-04-26T14:11:00Z</dcterms:created>
  <dcterms:modified xsi:type="dcterms:W3CDTF">2026-04-26T15:12:00Z</dcterms:modified>
</cp:coreProperties>
</file>