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(HIT), Holon,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Academic College of Engineering, Tel Aviv, Israel</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Faults on a cyber-physical system (CPS) are too rare and unrepresentative to characterise, or even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w:t>
      </w:r>
      <w:r>
        <w:t xml:space="preserve"> </w:t>
      </w:r>
      <w:r>
        <w:t xml:space="preserve">normal behaviour is the union of many imbalanced, curved, thin-fringed operating regimes rather than a single</w:t>
      </w:r>
      <w:r>
        <w:t xml:space="preserve"> </w:t>
      </w:r>
      <w:r>
        <w:t xml:space="preserve">blob; we state this structure as ten assumptions (A1–A10) abbreviated</w:t>
      </w:r>
      <w:r>
        <w:t xml:space="preserve"> </w:t>
      </w:r>
      <w:r>
        <w:rPr>
          <w:i/>
          <w:iCs/>
        </w:rPr>
        <w:t xml:space="preserve">Massive, Implicit, Imbalanced</w:t>
      </w:r>
      <w:r>
        <w:rPr>
          <w:i/>
          <w:iCs/>
        </w:rPr>
        <w:t xml:space="preserve"> </w:t>
      </w:r>
      <w:r>
        <w:rPr>
          <w:i/>
          <w:iCs/>
        </w:rPr>
        <w:t xml:space="preserve">Multimodality</w:t>
      </w:r>
      <w:r>
        <w:t xml:space="preserve"> </w:t>
      </w:r>
      <w:r>
        <w:t xml:space="preserve">(MIIM). We model the normal law with a jointly learned latent representation plus explicit</w:t>
      </w:r>
      <w:r>
        <w:t xml:space="preserve"> </w:t>
      </w:r>
      <w:r>
        <w:t xml:space="preserve">Gaussian-mixture mode clustering, scored in the latent rather than by a global density or a reconstruction</w:t>
      </w:r>
      <w:r>
        <w:t xml:space="preserve"> </w:t>
      </w:r>
      <w:r>
        <w:t xml:space="preserve">residual, and evaluate under a deliberately fair protocol: raw point-wise metrics with no point adjustment, a</w:t>
      </w:r>
      <w:r>
        <w:t xml:space="preserve"> </w:t>
      </w:r>
      <w:r>
        <w:t xml:space="preserve">trivial-detector difficulty split, prevalence-matched F1, and train-normal-only calibration. On three real CPS</w:t>
      </w:r>
      <w:r>
        <w:t xml:space="preserve"> </w:t>
      </w:r>
      <w:r>
        <w:t xml:space="preserve">datasets (WADI, HAI, SKAB) the detector</w:t>
      </w:r>
      <w:r>
        <w:t xml:space="preserve"> </w:t>
      </w:r>
      <w:r>
        <w:rPr>
          <w:b/>
          <w:bCs/>
        </w:rPr>
        <w:t xml:space="preserve">wins both the combined column and the difficult</w:t>
      </w:r>
      <w:r>
        <w:rPr>
          <w:b/>
          <w:bCs/>
        </w:rPr>
        <w:t xml:space="preserve"> </w:t>
      </w:r>
      <w:r>
        <w:rPr>
          <w:b/>
          <w:bCs/>
        </w:rPr>
        <w:t xml:space="preserve">correlation/dynamics-fault column on all three</w:t>
      </w:r>
      <w:r>
        <w:t xml:space="preserve">, reaching difficult-subset AUROC 0.831 on HAI, 0.726 on</w:t>
      </w:r>
      <w:r>
        <w:t xml:space="preserve"> </w:t>
      </w:r>
      <w:r>
        <w:t xml:space="preserve">WADI, and 0.610 on SKAB. The margin is largest on the two multimodal datasets the MIIM assumptions target and</w:t>
      </w:r>
      <w:r>
        <w:t xml:space="preserve"> </w:t>
      </w:r>
      <w:r>
        <w:t xml:space="preserve">slimmest on the near-unimodal one, tracking multimodality as the thesis predicts, and it holds against three</w:t>
      </w:r>
      <w:r>
        <w:t xml:space="preserve"> </w:t>
      </w:r>
      <w:r>
        <w:t xml:space="preserve">deep detectors (USAD, TranAD, GDN) re-computed with the same raw metrics, all of which collapse on the difficult</w:t>
      </w:r>
      <w:r>
        <w:t xml:space="preserve"> </w:t>
      </w:r>
      <w:r>
        <w:t xml:space="preserve">subset. The methodological contributions are the MIIM assumption set, the difficulty-stratified fair protocol,</w:t>
      </w:r>
      <w:r>
        <w:t xml:space="preserve"> </w:t>
      </w:r>
      <w:r>
        <w:t xml:space="preserve">and a latent-only score that drops reconstruction because a flexible decoder rebuilds the hard faults faithfully.</w:t>
      </w:r>
    </w:p>
    <w:bookmarkEnd w:id="9"/>
    <w:p>
      <w:pPr>
        <w:pStyle w:val="BodyText"/>
        <w:ind w:left="720" w:right="720" w:firstLine="0"/>
        <w:jc w:val="both"/>
        <w:keepNext w:val="0"/>
        <w:keepLines w:val="0"/>
        <w:widowControl w:val="1"/>
      </w:pPr>
      <w:r>
        <w:rPr>
          <w:b/>
          <w:bCs/>
        </w:rPr>
        <w:t xml:space="preserve">Contents.</w:t>
      </w:r>
      <w:r>
        <w:t xml:space="preserve"> </w:t>
      </w:r>
      <w:r>
        <w:t xml:space="preserve">1 Introduction ·</w:t>
      </w:r>
      <w:r>
        <w:t xml:space="preserve"> </w:t>
      </w:r>
      <w:r>
        <w:t xml:space="preserve">2 The MIIM assumptions about CPS normal data ·</w:t>
      </w:r>
      <w:r>
        <w:t xml:space="preserve"> </w:t>
      </w:r>
      <w:r>
        <w:t xml:space="preserve">3 Method ·</w:t>
      </w:r>
      <w:r>
        <w:t xml:space="preserve"> </w:t>
      </w:r>
      <w:r>
        <w:t xml:space="preserve">4 Experimental methodology ·</w:t>
      </w:r>
      <w:r>
        <w:t xml:space="preserve"> </w:t>
      </w:r>
      <w:r>
        <w:t xml:space="preserve">5 Results ·</w:t>
      </w:r>
      <w:r>
        <w:t xml:space="preserve"> </w:t>
      </w:r>
      <w:r>
        <w:t xml:space="preserve">6 Discussion ·</w:t>
      </w:r>
      <w:r>
        <w:t xml:space="preserve"> </w:t>
      </w:r>
      <w:r>
        <w:t xml:space="preserve">7 Related work ·</w:t>
      </w:r>
      <w:r>
        <w:t xml:space="preserve"> </w:t>
      </w:r>
      <w:r>
        <w:t xml:space="preserve">8 Conclusion.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sensors, embedded controllers, and physical actuators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recorded continuously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(§2).</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(§3).</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(§4–5).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§4). We</w:t>
      </w:r>
      <w:r>
        <w:t xml:space="preserve"> </w:t>
      </w:r>
      <w:r>
        <w:t xml:space="preserve">report only raw metrics and we treat the difficult subset, not the headline, as the discriminative test.</w:t>
      </w:r>
    </w:p>
    <w:bookmarkEnd w:id="10"/>
    <w:bookmarkStart w:id="11" w:name="Xfdcce8d466a3f0d09792019706ab8acf076f115"/>
    <w:p>
      <w:pPr>
        <w:pStyle w:val="Heading2"/>
        <w:keepNext/>
        <w:keepLines/>
        <w:widowControl w:val="1"/>
      </w:pPr>
      <w:r>
        <w:t xml:space="preserve">2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§3.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10)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§6),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(§4)</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1"/>
    <w:bookmarkStart w:id="19" w:name="method"/>
    <w:p>
      <w:pPr>
        <w:pStyle w:val="Heading2"/>
        <w:keepNext/>
        <w:keepLines/>
        <w:widowControl w:val="1"/>
      </w:pPr>
      <w:r>
        <w:t xml:space="preserve">3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bookmarkStart w:id="12" w:name="Xdfe4fc768c349fce82ac84ed863f0c04923ca8d"/>
    <w:p>
      <w:pPr>
        <w:pStyle w:val="Heading3"/>
        <w:keepNext/>
        <w:keepLines/>
        <w:widowControl w:val="1"/>
      </w:pPr>
      <w:r>
        <w:t xml:space="preserve">3.1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2"/>
    <w:bookmarkStart w:id="13" w:name="scoring-why-we-drop-reconstruction"/>
    <w:p>
      <w:pPr>
        <w:pStyle w:val="Heading3"/>
        <w:keepNext/>
        <w:keepLines/>
        <w:widowControl w:val="1"/>
      </w:pPr>
      <w:r>
        <w:t xml:space="preserve">3.2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3"/>
    <w:bookmarkStart w:id="18" w:name="the-scoring-stack"/>
    <w:p>
      <w:pPr>
        <w:pStyle w:val="Heading3"/>
        <w:keepNext/>
        <w:keepLines/>
        <w:widowControl w:val="1"/>
      </w:pPr>
      <w:r>
        <w:t xml:space="preserve">3.3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4"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4"/>
    <w:bookmarkStart w:id="15"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15"/>
    <w:bookmarkStart w:id="16"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16"/>
    <w:bookmarkStart w:id="17"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17"/>
    <w:bookmarkEnd w:id="18"/>
    <w:bookmarkEnd w:id="19"/>
    <w:bookmarkStart w:id="25" w:name="experimental-methodology"/>
    <w:p>
      <w:pPr>
        <w:pStyle w:val="Heading2"/>
        <w:keepNext/>
        <w:keepLines/>
        <w:widowControl w:val="1"/>
      </w:pPr>
      <w:r>
        <w:t xml:space="preserve">4  Experimental methodology</w:t>
      </w:r>
    </w:p>
    <w:bookmarkStart w:id="20" w:name="datasets"/>
    <w:p>
      <w:pPr>
        <w:pStyle w:val="Heading3"/>
        <w:keepNext/>
        <w:keepLines/>
        <w:widowControl w:val="1"/>
      </w:pPr>
      <w:r>
        <w:t xml:space="preserve">4.1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0"/>
    <w:bookmarkStart w:id="21" w:name="windows-and-features"/>
    <w:p>
      <w:pPr>
        <w:pStyle w:val="Heading3"/>
        <w:keepNext/>
        <w:keepLines/>
        <w:widowControl w:val="1"/>
      </w:pPr>
      <w:r>
        <w:t xml:space="preserve">4.2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1"/>
    <w:bookmarkStart w:id="22" w:name="difficulty-stratification"/>
    <w:p>
      <w:pPr>
        <w:pStyle w:val="Heading3"/>
        <w:keepNext/>
        <w:keepLines/>
        <w:widowControl w:val="1"/>
      </w:pPr>
      <w:r>
        <w:t xml:space="preserve">4.3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2"/>
    <w:bookmarkStart w:id="23" w:name="comparable-metrics"/>
    <w:p>
      <w:pPr>
        <w:pStyle w:val="Heading3"/>
        <w:keepNext/>
        <w:keepLines/>
        <w:widowControl w:val="1"/>
      </w:pPr>
      <w:r>
        <w:t xml:space="preserve">4.4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3"/>
    <w:bookmarkStart w:id="24" w:name="baselines-and-sota-re-computation"/>
    <w:p>
      <w:pPr>
        <w:pStyle w:val="Heading3"/>
        <w:keepNext/>
        <w:keepLines/>
        <w:widowControl w:val="1"/>
      </w:pPr>
      <w:r>
        <w:t xml:space="preserve">4.5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(§7),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(§4.3),</w:t>
      </w:r>
      <w:r>
        <w:t xml:space="preserve"> </w:t>
      </w:r>
      <w:r>
        <w:t xml:space="preserve">whose behaviour by construction is strong on Easy and near chance on Difficult.</w:t>
      </w:r>
    </w:p>
    <w:bookmarkEnd w:id="24"/>
    <w:bookmarkEnd w:id="25"/>
    <w:bookmarkStart w:id="30" w:name="results"/>
    <w:p>
      <w:pPr>
        <w:pStyle w:val="Heading2"/>
        <w:keepNext/>
        <w:keepLines/>
        <w:widowControl w:val="1"/>
      </w:pPr>
      <w:r>
        <w:t xml:space="preserve">5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(§4.3): near-perfect on Easy (SKAB 1.000, HAI 0.966), near chance on Difficult (0.31–0.39), which is exactly what makes the split meaningful. GDN is reported on WADI only (§4.5);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4.3): near-perfect on Easy (SKAB 1.000, HAI 0.966), near chance on Difficult (0.31–0.39), which is exactly what makes the split meaningful. GDN is reported on WADI only (§4.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bookmarkStart w:id="29" w:name="reading-the-table"/>
    <w:p>
      <w:pPr>
        <w:pStyle w:val="Heading3"/>
        <w:keepNext/>
        <w:keepLines/>
        <w:widowControl w:val="1"/>
      </w:pPr>
      <w:r>
        <w:t xml:space="preserve">5.1  Reading the table</w:t>
      </w:r>
    </w:p>
    <w:p>
      <w:pPr>
        <w:pStyle w:val="FirstParagraph"/>
        <w:jc w:val="both"/>
        <w:keepNext w:val="0"/>
        <w:keepLines w:val="0"/>
        <w:widowControl w:val="1"/>
      </w:pPr>
      <w:r>
        <w:rPr>
          <w:b/>
          <w:bCs/>
        </w:rPr>
        <w:t xml:space="preserve">Combined (All) column.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column.</w:t>
      </w:r>
      <w:r>
        <w:t xml:space="preserve"> </w:t>
      </w:r>
      <w:r>
        <w:t xml:space="preserve">This is where the design earns its keep, and the model leads it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Easy column.</w:t>
      </w:r>
      <w:r>
        <w:t xml:space="preserve"> </w:t>
      </w:r>
      <w:r>
        <w:t xml:space="preserve">On the trivially separable anomalies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The trivial baseline defines the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27" name="Picture"/>
            <a:graphic>
              <a:graphicData uri="http://schemas.openxmlformats.org/drawingml/2006/picture">
                <pic:pic>
                  <pic:nvPicPr>
                    <pic:cNvPr descr="figure1.png" id="28" name="Picture"/>
                    <pic:cNvPicPr>
                      <a:picLocks noChangeArrowheads="1" noChangeAspect="1"/>
                    </pic:cNvPicPr>
                  </pic:nvPicPr>
                  <pic:blipFill>
                    <a:blip r:embed="rId26"/>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29"/>
    <w:bookmarkEnd w:id="30"/>
    <w:bookmarkStart w:id="31" w:name="discussion"/>
    <w:p>
      <w:pPr>
        <w:pStyle w:val="Heading2"/>
        <w:keepNext/>
        <w:keepLines/>
        <w:widowControl w:val="1"/>
      </w:pPr>
      <w:r>
        <w:t xml:space="preserve">6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1"/>
    <w:bookmarkStart w:id="36" w:name="related-work"/>
    <w:p>
      <w:pPr>
        <w:pStyle w:val="Heading2"/>
        <w:keepNext/>
        <w:keepLines/>
        <w:widowControl w:val="1"/>
      </w:pPr>
      <w:r>
        <w:t xml:space="preserve">7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32" w:name="Xd79ac398892bc84acd5a01a98e1c3327df498f0"/>
    <w:p>
      <w:pPr>
        <w:pStyle w:val="Heading3"/>
        <w:keepNext/>
        <w:keepLines/>
        <w:widowControl w:val="1"/>
      </w:pPr>
      <w:r>
        <w:t xml:space="preserve">7.1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is the theoretical counterpart of our Table 2 result that the reconstruction residual is at or below chance on correlation-break faults, and it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responds to these critiques directly. We report</w:t>
      </w:r>
      <w:r>
        <w:t xml:space="preserve"> </w:t>
      </w:r>
      <w:r>
        <w:rPr>
          <w:i/>
          <w:iCs/>
        </w:rPr>
        <w:t xml:space="preserve">raw</w:t>
      </w:r>
      <w:r>
        <w:t xml:space="preserve"> </w:t>
      </w:r>
      <w:r>
        <w:t xml:space="preserve">point-wise AUROC, F1 and FPR with no point</w:t>
      </w:r>
      <w:r>
        <w:t xml:space="preserve"> </w:t>
      </w:r>
      <w:r>
        <w:t xml:space="preserve">adjustment for any method; we stratify by a trivial-detector difficulty split so that the discriminative</w:t>
      </w:r>
      <w:r>
        <w:t xml:space="preserve"> </w:t>
      </w:r>
      <w:r>
        <w:t xml:space="preserve">difficult subset is reported separately from the easy majority that carries headline numbers; we match</w:t>
      </w:r>
      <w:r>
        <w:t xml:space="preserve"> </w:t>
      </w:r>
      <w:r>
        <w:t xml:space="preserve">prevalence before comparing F1 across subsets; and we re-compute the deep SOTA baselines (USAD, TranAD, GDN) with the</w:t>
      </w:r>
      <w:r>
        <w:t xml:space="preserve"> </w:t>
      </w:r>
      <w:r>
        <w:rPr>
          <w:i/>
          <w:iCs/>
        </w:rPr>
        <w:t xml:space="preserve">same</w:t>
      </w:r>
      <w:r>
        <w:t xml:space="preserve"> </w:t>
      </w:r>
      <w:r>
        <w:t xml:space="preserve">raw metrics rather than quoting their point-adjusted published figures. Under this protocol the</w:t>
      </w:r>
      <w:r>
        <w:t xml:space="preserve"> </w:t>
      </w:r>
      <w:r>
        <w:t xml:space="preserve">SOTA methods lose most of their apparent advantage on the difficult subset, which is exactly the phenomenon the</w:t>
      </w:r>
      <w:r>
        <w:t xml:space="preserve"> </w:t>
      </w:r>
      <w:r>
        <w:t xml:space="preserve">critique predicts.</w:t>
      </w:r>
    </w:p>
    <w:bookmarkEnd w:id="32"/>
    <w:bookmarkStart w:id="33" w:name="X301c8971cc47a3655bb4e21bc8bb65a2caac9d3"/>
    <w:p>
      <w:pPr>
        <w:pStyle w:val="Heading3"/>
        <w:keepNext/>
        <w:keepLines/>
        <w:widowControl w:val="1"/>
      </w:pPr>
      <w:r>
        <w:t xml:space="preserve">7.2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find, on these datasets, that scoring against explicit per-mode Gaussians in a jointly learned</w:t>
      </w:r>
      <w:r>
        <w:t xml:space="preserve"> </w:t>
      </w:r>
      <w:r>
        <w:t xml:space="preserve">latent outperforms a learned-Gaussian energy.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33"/>
    <w:bookmarkStart w:id="34" w:name="deep-multivariate-cps-anomaly-detection"/>
    <w:p>
      <w:pPr>
        <w:pStyle w:val="Heading3"/>
        <w:keepNext/>
        <w:keepLines/>
        <w:widowControl w:val="1"/>
      </w:pPr>
      <w:r>
        <w:t xml:space="preserve">7.3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raw metrics (GDN on</w:t>
      </w:r>
      <w:r>
        <w:t xml:space="preserve"> </w:t>
      </w:r>
      <w:r>
        <w:t xml:space="preserve">WADI, where the graph-attention model fits our compute budget). Re-scored this way, all three</w:t>
      </w:r>
      <w:r>
        <w:t xml:space="preserve"> </w:t>
      </w:r>
      <w:r>
        <w:t xml:space="preserve">collapse on the difficult subset (on WADI, USAD 0.554, TranAD 0.547 and GDN 0.582, against our 0.726),</w:t>
      </w:r>
      <w:r>
        <w:t xml:space="preserve"> </w:t>
      </w:r>
      <w:r>
        <w:t xml:space="preserve">confirming that their apparent strength does not survive a raw, difficulty-stratified metric.</w:t>
      </w:r>
    </w:p>
    <w:bookmarkEnd w:id="34"/>
    <w:bookmarkStart w:id="35" w:name="datasets-1"/>
    <w:p>
      <w:pPr>
        <w:pStyle w:val="Heading3"/>
        <w:keepNext/>
        <w:keepLines/>
        <w:widowControl w:val="1"/>
      </w:pPr>
      <w:r>
        <w:t xml:space="preserve">7.4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35"/>
    <w:bookmarkEnd w:id="36"/>
    <w:bookmarkStart w:id="37"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used</w:t>
      </w:r>
      <w:r>
        <w:t xml:space="preserve"> </w:t>
      </w:r>
      <w:r>
        <w:t xml:space="preserve">them to motivate a detector that models normal as a jointly learned latent plus explicit mode clustering, scored</w:t>
      </w:r>
      <w:r>
        <w:t xml:space="preserve"> </w:t>
      </w:r>
      <w:r>
        <w:t xml:space="preserve">in the latent by a mixture density and a rare-mode-safe nearest-component likelihood, with reconstruction dropped</w:t>
      </w:r>
      <w:r>
        <w:t xml:space="preserve"> </w:t>
      </w:r>
      <w:r>
        <w:t xml:space="preserve">and two optional heads auto-gated on training-normal 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Next steps are multi-seed</w:t>
      </w:r>
      <w:r>
        <w:t xml:space="preserve"> </w:t>
      </w:r>
      <w:r>
        <w:t xml:space="preserve">confidence intervals, a raw-waveform representation for SKAB, and a dataset that actually contains a</w:t>
      </w:r>
      <w:r>
        <w:t xml:space="preserve"> </w:t>
      </w:r>
      <w:r>
        <w:t xml:space="preserve">history-dependent fault to exercise the trajectory assumptions.</w:t>
      </w:r>
    </w:p>
    <w:p>
      <w:r>
        <w:pict>
          <v:rect style="width:0;height:1.5pt" o:hralign="center" o:hrstd="t" o:hr="t"/>
        </w:pict>
      </w:r>
    </w:p>
    <w:bookmarkEnd w:id="37"/>
    <w:bookmarkStart w:id="9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In-text citations use the numbers below.</w:t>
      </w:r>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kim"/>
      <w:r>
        <w:t xml:space="preserve">S. Kim, K. Choi, H.-S. Choi, B. Lee, and S. Yoon. “Towards a Rigorous Evaluation of</w:t>
      </w:r>
      <w:r>
        <w:t xml:space="preserve"> </w:t>
      </w:r>
      <w:r>
        <w:t xml:space="preserve">Time-Series Anomaly Detection.”</w:t>
      </w:r>
      <w:r>
        <w:t xml:space="preserve"> </w:t>
      </w:r>
      <w:r>
        <w:rPr>
          <w:i/>
          <w:iCs/>
        </w:rPr>
        <w:t xml:space="preserve">Proceedings of the AAAI Conference on Artificial Intelligence</w:t>
      </w:r>
      <w:r>
        <w:t xml:space="preserve">,</w:t>
      </w:r>
      <w:r>
        <w:t xml:space="preserve"> </w:t>
      </w:r>
      <w:r>
        <w:t xml:space="preserve">2022, pp. 7194–7201.</w:t>
      </w:r>
      <w:r>
        <w:t xml:space="preserve"> </w:t>
      </w:r>
      <w:hyperlink r:id="rId38">
        <w:r>
          <w:rPr>
            <w:rStyle w:val="Hyperlink"/>
          </w:rPr>
          <w:t xml:space="preserve">arXiv:2109.05257</w:t>
        </w:r>
      </w:hyperlink>
      <w:r>
        <w:t xml:space="preserve">,</w:t>
      </w:r>
      <w:r>
        <w:t xml:space="preserve"> </w:t>
      </w:r>
      <w:hyperlink r:id="rId39">
        <w:r>
          <w:rPr>
            <w:rStyle w:val="Hyperlink"/>
          </w:rPr>
          <w:t xml:space="preserve">AAAI</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garg"/>
      <w:r>
        <w:t xml:space="preserve">A. Garg, W. Zhang, J. Samaran, R. Savitha, and C.-S. Foo. “An Evaluation of Anomaly</w:t>
      </w:r>
      <w:r>
        <w:t xml:space="preserve"> </w:t>
      </w:r>
      <w:r>
        <w:t xml:space="preserve">Detection and Diagnosis in Multivariate Time Series.”</w:t>
      </w:r>
      <w:r>
        <w:t xml:space="preserve"> </w:t>
      </w:r>
      <w:r>
        <w:rPr>
          <w:i/>
          <w:iCs/>
        </w:rPr>
        <w:t xml:space="preserve">IEEE Transactions on Neural Networks and Learning</w:t>
      </w:r>
      <w:r>
        <w:rPr>
          <w:i/>
          <w:iCs/>
        </w:rPr>
        <w:t xml:space="preserve"> </w:t>
      </w:r>
      <w:r>
        <w:rPr>
          <w:i/>
          <w:iCs/>
        </w:rPr>
        <w:t xml:space="preserve">Systems</w:t>
      </w:r>
      <w:r>
        <w:t xml:space="preserve">, 33(6):2508–2517, 2022.</w:t>
      </w:r>
      <w:r>
        <w:t xml:space="preserve"> </w:t>
      </w:r>
      <w:hyperlink r:id="rId41">
        <w:r>
          <w:rPr>
            <w:rStyle w:val="Hyperlink"/>
          </w:rPr>
          <w:t xml:space="preserve">arXiv:2109.11428</w:t>
        </w:r>
      </w:hyperlink>
      <w:r>
        <w:t xml:space="preserve">,</w:t>
      </w:r>
      <w:r>
        <w:t xml:space="preserve"> </w:t>
      </w:r>
      <w:r>
        <w:t xml:space="preserve">doi:10.1109/TNNLS.2021.3105827.</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wukeogh"/>
      <w:r>
        <w:t xml:space="preserve">R. Wu and E. J. Keogh. “Current Time Series Anomaly Detection Benchmarks are Flawed and</w:t>
      </w:r>
      <w:r>
        <w:t xml:space="preserve"> </w:t>
      </w:r>
      <w:r>
        <w:t xml:space="preserve">are Creating the Illusion of Progress.”</w:t>
      </w:r>
      <w:r>
        <w:t xml:space="preserve"> </w:t>
      </w:r>
      <w:r>
        <w:rPr>
          <w:i/>
          <w:iCs/>
        </w:rPr>
        <w:t xml:space="preserve">IEEE Transactions on Knowledge and Data Engineering</w:t>
      </w:r>
      <w:r>
        <w:t xml:space="preserve">, 2023.</w:t>
      </w:r>
      <w:r>
        <w:t xml:space="preserve"> </w:t>
      </w:r>
      <w:hyperlink r:id="rId43">
        <w:r>
          <w:rPr>
            <w:rStyle w:val="Hyperlink"/>
          </w:rPr>
          <w:t xml:space="preserve">arXiv:2009.13807</w:t>
        </w:r>
      </w:hyperlink>
      <w:r>
        <w:t xml:space="preserve">, doi:10.1109/TKDE.2021.3112126.</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doshi"/>
      <w:r>
        <w:t xml:space="preserve">K. Doshi, S. Abudalou, and Y. Yilmaz. “Reward Once, Penalize Once: Rectifying Time Series</w:t>
      </w:r>
      <w:r>
        <w:t xml:space="preserve"> </w:t>
      </w:r>
      <w:r>
        <w:t xml:space="preserve">Anomaly Detection.”</w:t>
      </w:r>
      <w:r>
        <w:t xml:space="preserve"> </w:t>
      </w:r>
      <w:r>
        <w:rPr>
          <w:i/>
          <w:iCs/>
        </w:rPr>
        <w:t xml:space="preserve">International Joint Conference on Neural Networks (IJCNN)</w:t>
      </w:r>
      <w:r>
        <w:t xml:space="preserve">, 2022.</w:t>
      </w:r>
      <w:r>
        <w:t xml:space="preserve"> </w:t>
      </w:r>
      <w:hyperlink r:id="rId45">
        <w:r>
          <w:rPr>
            <w:rStyle w:val="Hyperlink"/>
          </w:rPr>
          <w:t xml:space="preserve">arXiv:2203.05167</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nivar"/>
      <w:r>
        <w:t xml:space="preserve">M. Pinet, J. Cumin, S. Berlemont, and D. Vaufreydaz. “Anomalies in Multivariate Time Series</w:t>
      </w:r>
      <w:r>
        <w:t xml:space="preserve"> </w:t>
      </w:r>
      <w:r>
        <w:t xml:space="preserve">Benchmarks Are Mostly Univariate.” arXiv preprint, 2026.</w:t>
      </w:r>
      <w:r>
        <w:t xml:space="preserve"> </w:t>
      </w:r>
      <w:hyperlink r:id="rId47">
        <w:r>
          <w:rPr>
            <w:rStyle w:val="Hyperlink"/>
          </w:rPr>
          <w:t xml:space="preserve">arXiv:2606.02670</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usad"/>
      <w:r>
        <w:t xml:space="preserve">J. Audibert, P. Michiardi, F. Guyard, S. Marti, and M. A. Zuluaga. “USAD: UnSupervised</w:t>
      </w:r>
      <w:r>
        <w:t xml:space="preserve"> </w:t>
      </w:r>
      <w:r>
        <w:t xml:space="preserve">Anomaly Detection on Multivariate Time Series.”</w:t>
      </w:r>
      <w:r>
        <w:t xml:space="preserve"> </w:t>
      </w:r>
      <w:r>
        <w:rPr>
          <w:i/>
          <w:iCs/>
        </w:rPr>
        <w:t xml:space="preserve">Proceedings of the 26th ACM SIGKDD International</w:t>
      </w:r>
      <w:r>
        <w:rPr>
          <w:i/>
          <w:iCs/>
        </w:rPr>
        <w:t xml:space="preserve"> </w:t>
      </w:r>
      <w:r>
        <w:rPr>
          <w:i/>
          <w:iCs/>
        </w:rPr>
        <w:t xml:space="preserve">Conference on Knowledge Discovery &amp; Data Mining (KDD)</w:t>
      </w:r>
      <w:r>
        <w:t xml:space="preserve">, 2020.</w:t>
      </w:r>
      <w:r>
        <w:t xml:space="preserve"> </w:t>
      </w:r>
      <w:hyperlink r:id="rId49">
        <w:r>
          <w:rPr>
            <w:rStyle w:val="Hyperlink"/>
          </w:rPr>
          <w:t xml:space="preserve">doi:10.1145/3394486.3403392</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tranad"/>
      <w:r>
        <w:t xml:space="preserve">S. Tuli, G. Casale, and N. R. Jennings. “TranAD: Deep Transformer Networks for Anomaly</w:t>
      </w:r>
      <w:r>
        <w:t xml:space="preserve"> </w:t>
      </w:r>
      <w:r>
        <w:t xml:space="preserve">Detection in Multivariate Time Series Data.”</w:t>
      </w:r>
      <w:r>
        <w:t xml:space="preserve"> </w:t>
      </w:r>
      <w:r>
        <w:rPr>
          <w:i/>
          <w:iCs/>
        </w:rPr>
        <w:t xml:space="preserve">Proceedings of the VLDB Endowment</w:t>
      </w:r>
      <w:r>
        <w:t xml:space="preserve">, 15(6), 2022.</w:t>
      </w:r>
      <w:r>
        <w:t xml:space="preserve"> </w:t>
      </w:r>
      <w:hyperlink r:id="rId51">
        <w:r>
          <w:rPr>
            <w:rStyle w:val="Hyperlink"/>
          </w:rPr>
          <w:t xml:space="preserve">arXiv:2201.07284</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vade"/>
      <w:r>
        <w:t xml:space="preserve">Z. Jiang, Y. Zheng, H. Tan, B. Tang, and H. Zhou. “Variational Deep Embedding: An</w:t>
      </w:r>
      <w:r>
        <w:t xml:space="preserve"> </w:t>
      </w:r>
      <w:r>
        <w:t xml:space="preserve">Unsupervised and Generative Approach to Clustering.”</w:t>
      </w:r>
      <w:r>
        <w:t xml:space="preserve"> </w:t>
      </w:r>
      <w:r>
        <w:rPr>
          <w:i/>
          <w:iCs/>
        </w:rPr>
        <w:t xml:space="preserve">Proceedings of the 26th International Joint</w:t>
      </w:r>
      <w:r>
        <w:rPr>
          <w:i/>
          <w:iCs/>
        </w:rPr>
        <w:t xml:space="preserve"> </w:t>
      </w:r>
      <w:r>
        <w:rPr>
          <w:i/>
          <w:iCs/>
        </w:rPr>
        <w:t xml:space="preserve">Conference on Artificial Intelligence (IJCAI)</w:t>
      </w:r>
      <w:r>
        <w:t xml:space="preserve">, 2017.</w:t>
      </w:r>
      <w:r>
        <w:t xml:space="preserve"> </w:t>
      </w:r>
      <w:hyperlink r:id="rId53">
        <w:r>
          <w:rPr>
            <w:rStyle w:val="Hyperlink"/>
          </w:rPr>
          <w:t xml:space="preserve">arXiv:1611.05148</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dagmm"/>
      <w:r>
        <w:t xml:space="preserve">B. Zong, Q. Song, M. R. Min, W. Cheng, C. Lumezanu, D. Cho, and H. Chen. “Deep</w:t>
      </w:r>
      <w:r>
        <w:t xml:space="preserve"> </w:t>
      </w:r>
      <w:r>
        <w:t xml:space="preserve">Autoencoding Gaussian Mixture Model for Unsupervised Anomaly Detection.”</w:t>
      </w:r>
      <w:r>
        <w:t xml:space="preserve"> </w:t>
      </w:r>
      <w:r>
        <w:rPr>
          <w:i/>
          <w:iCs/>
        </w:rPr>
        <w:t xml:space="preserve">International Conference on</w:t>
      </w:r>
      <w:r>
        <w:rPr>
          <w:i/>
          <w:iCs/>
        </w:rPr>
        <w:t xml:space="preserve"> </w:t>
      </w:r>
      <w:r>
        <w:rPr>
          <w:i/>
          <w:iCs/>
        </w:rPr>
        <w:t xml:space="preserve">Learning Representations (ICLR)</w:t>
      </w:r>
      <w:r>
        <w:t xml:space="preserve">, 2018.</w:t>
      </w:r>
      <w:r>
        <w:t xml:space="preserve"> </w:t>
      </w:r>
      <w:hyperlink r:id="rId55">
        <w:r>
          <w:rPr>
            <w:rStyle w:val="Hyperlink"/>
          </w:rPr>
          <w:t xml:space="preserve">OpenReview</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gdn"/>
      <w:r>
        <w:t xml:space="preserve">A. Deng and B. Hooi. “Graph Neural Network-Based Anomaly Detection in Multivariate Time</w:t>
      </w:r>
      <w:r>
        <w:t xml:space="preserve"> </w:t>
      </w:r>
      <w:r>
        <w:t xml:space="preserve">Series.”</w:t>
      </w:r>
      <w:r>
        <w:t xml:space="preserve"> </w:t>
      </w:r>
      <w:r>
        <w:rPr>
          <w:i/>
          <w:iCs/>
        </w:rPr>
        <w:t xml:space="preserve">Proceedings of the AAAI Conference on Artificial Intelligence</w:t>
      </w:r>
      <w:r>
        <w:t xml:space="preserve">, 2021.</w:t>
      </w:r>
      <w:r>
        <w:t xml:space="preserve"> </w:t>
      </w:r>
      <w:hyperlink r:id="rId57">
        <w:r>
          <w:rPr>
            <w:rStyle w:val="Hyperlink"/>
          </w:rPr>
          <w:t xml:space="preserve">arXiv:2106.06947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if"/>
      <w:r>
        <w:t xml:space="preserve">F. T. Liu, K. M. Ting, and Z.-H. Zhou. “Isolation Forest.”</w:t>
      </w:r>
      <w:r>
        <w:t xml:space="preserve"> </w:t>
      </w:r>
      <w:r>
        <w:rPr>
          <w:i/>
          <w:iCs/>
        </w:rPr>
        <w:t xml:space="preserve">IEEE International</w:t>
      </w:r>
      <w:r>
        <w:rPr>
          <w:i/>
          <w:iCs/>
        </w:rPr>
        <w:t xml:space="preserve"> </w:t>
      </w:r>
      <w:r>
        <w:rPr>
          <w:i/>
          <w:iCs/>
        </w:rPr>
        <w:t xml:space="preserve">Conference on Data Mining (ICDM)</w:t>
      </w:r>
      <w:r>
        <w:t xml:space="preserve">, 2008, pp. 413–422.</w:t>
      </w:r>
      <w:r>
        <w:t xml:space="preserve"> </w:t>
      </w:r>
      <w:hyperlink r:id="rId59">
        <w:r>
          <w:rPr>
            <w:rStyle w:val="Hyperlink"/>
          </w:rPr>
          <w:t xml:space="preserve">doi:10.1109/ICDM.2008.17</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lw"/>
      <w:r>
        <w:t xml:space="preserve">O. Ledoit and M. Wolf. “A Well-Conditioned Estimator for Large-Dimensional Covariance</w:t>
      </w:r>
      <w:r>
        <w:t xml:space="preserve"> </w:t>
      </w:r>
      <w:r>
        <w:t xml:space="preserve">Matrices.”</w:t>
      </w:r>
      <w:r>
        <w:t xml:space="preserve"> </w:t>
      </w:r>
      <w:r>
        <w:rPr>
          <w:i/>
          <w:iCs/>
        </w:rPr>
        <w:t xml:space="preserve">Journal of Multivariate Analysis</w:t>
      </w:r>
      <w:r>
        <w:t xml:space="preserve">, 88(2):365–411, 2004.</w:t>
      </w:r>
      <w:r>
        <w:t xml:space="preserve"> </w:t>
      </w:r>
      <w:hyperlink r:id="rId61">
        <w:r>
          <w:rPr>
            <w:rStyle w:val="Hyperlink"/>
          </w:rPr>
          <w:t xml:space="preserve">doi:10.1016/S0047-259X(03)00096-4</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wadi"/>
      <w:r>
        <w:t xml:space="preserve">C. M. Ahmed, V. R. Palleti, and A. P. Mathur. “WADI: A Water Distribution Testbed for</w:t>
      </w:r>
      <w:r>
        <w:t xml:space="preserve"> </w:t>
      </w:r>
      <w:r>
        <w:t xml:space="preserve">Research in the Design of Secure Cyber Physical Systems.”</w:t>
      </w:r>
      <w:r>
        <w:t xml:space="preserve"> </w:t>
      </w:r>
      <w:r>
        <w:rPr>
          <w:i/>
          <w:iCs/>
        </w:rPr>
        <w:t xml:space="preserve">Proceedings of the 3rd International Workshop</w:t>
      </w:r>
      <w:r>
        <w:rPr>
          <w:i/>
          <w:iCs/>
        </w:rPr>
        <w:t xml:space="preserve"> </w:t>
      </w:r>
      <w:r>
        <w:rPr>
          <w:i/>
          <w:iCs/>
        </w:rPr>
        <w:t xml:space="preserve">on Cyber-Physical Systems for Smart Water Networks (CySWATER)</w:t>
      </w:r>
      <w:r>
        <w:t xml:space="preserve">, 2017.</w:t>
      </w:r>
      <w:r>
        <w:t xml:space="preserve"> </w:t>
      </w:r>
      <w:hyperlink r:id="rId63">
        <w:r>
          <w:rPr>
            <w:rStyle w:val="Hyperlink"/>
          </w:rPr>
          <w:t xml:space="preserve">doi:10.1145/3055366.3055375</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hai"/>
      <w:r>
        <w:t xml:space="preserve">H.-K. Shin, W. Lee, J.-H. Yun, and H. Kim. “HAI 1.0: HIL-based Augmented ICS Security</w:t>
      </w:r>
      <w:r>
        <w:t xml:space="preserve"> </w:t>
      </w:r>
      <w:r>
        <w:t xml:space="preserve">Dataset.”</w:t>
      </w:r>
      <w:r>
        <w:t xml:space="preserve"> </w:t>
      </w:r>
      <w:r>
        <w:rPr>
          <w:i/>
          <w:iCs/>
        </w:rPr>
        <w:t xml:space="preserve">13th USENIX Workshop on Cyber Security Experimentation and Test (CSET)</w:t>
      </w:r>
      <w:r>
        <w:t xml:space="preserve">, 2020.</w:t>
      </w:r>
      <w:r>
        <w:t xml:space="preserve"> </w:t>
      </w:r>
      <w:hyperlink r:id="rId65">
        <w:r>
          <w:rPr>
            <w:rStyle w:val="Hyperlink"/>
          </w:rPr>
          <w:t xml:space="preserve">USENIX</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skab"/>
      <w:r>
        <w:t xml:space="preserve">I. D. Katser and V. O. Kozitsin. “Skoltech Anomaly Benchmark (SKAB).” Kaggle</w:t>
      </w:r>
      <w:r>
        <w:t xml:space="preserve"> </w:t>
      </w:r>
      <w:r>
        <w:t xml:space="preserve">dataset, 2020.</w:t>
      </w:r>
      <w:r>
        <w:t xml:space="preserve"> </w:t>
      </w:r>
      <w:hyperlink r:id="rId67">
        <w:r>
          <w:rPr>
            <w:rStyle w:val="Hyperlink"/>
          </w:rPr>
          <w:t xml:space="preserve">doi:10.34740/kaggle/dsv/1693952</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bouman"/>
      <w:r>
        <w:t xml:space="preserve">R. Bouman and T. Heskes. “Autoencoders for Anomaly Detection are Unreliable.” arXiv preprint, 2025.</w:t>
      </w:r>
      <w:r>
        <w:t xml:space="preserve"> </w:t>
      </w:r>
      <w:hyperlink r:id="rId69">
        <w:r>
          <w:rPr>
            <w:rStyle w:val="Hyperlink"/>
          </w:rPr>
          <w:t xml:space="preserve">arXiv:2501.13864</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memae"/>
      <w:r>
        <w:t xml:space="preserve">D. Gong, L. Liu, V. Le, B. Saha, M. R. Mansour, S. Venkatesh, and A. van den Hengel. “Memorizing Normality to Detect Anomaly: Memory-augmented Deep Autoencoder for Unsupervised Anomaly Detection.”</w:t>
      </w:r>
      <w:r>
        <w:t xml:space="preserve"> </w:t>
      </w:r>
      <w:r>
        <w:rPr>
          <w:i/>
          <w:iCs/>
        </w:rPr>
        <w:t xml:space="preserve">Proceedings of the IEEE/CVF International Conference on Computer Vision (ICCV)</w:t>
      </w:r>
      <w:r>
        <w:t xml:space="preserve">, 2019.</w:t>
      </w:r>
      <w:r>
        <w:t xml:space="preserve"> </w:t>
      </w:r>
      <w:hyperlink r:id="rId71">
        <w:r>
          <w:rPr>
            <w:rStyle w:val="Hyperlink"/>
          </w:rPr>
          <w:t xml:space="preserve">arXiv:1904.02639</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sarfraz"/>
      <w:r>
        <w:t xml:space="preserve">M. S. Sarfraz, M.-Y. Chen, L. Layer, K. Peng, and M. Koulakis. “Position: Quo Vadis, Unsupervised Time Series Anomaly Detection?”</w:t>
      </w:r>
      <w:r>
        <w:t xml:space="preserve"> </w:t>
      </w:r>
      <w:r>
        <w:rPr>
          <w:i/>
          <w:iCs/>
        </w:rPr>
        <w:t xml:space="preserve">Proceedings of the 41st International Conference on Machine Learning (ICML)</w:t>
      </w:r>
      <w:r>
        <w:t xml:space="preserve">, 2024.</w:t>
      </w:r>
      <w:r>
        <w:t xml:space="preserve"> </w:t>
      </w:r>
      <w:hyperlink r:id="rId73">
        <w:r>
          <w:rPr>
            <w:rStyle w:val="Hyperlink"/>
          </w:rPr>
          <w:t xml:space="preserve">arXiv:2405.02678</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timesead"/>
      <w:r>
        <w:t xml:space="preserve">D. Wagner, T. Michels, F. C. F. Schulz, A. Nair, M. Rudolph, and M. Kloft. “TimeSeAD: Benchmarking Deep Multivariate Time-Series Anomaly Detection.”</w:t>
      </w:r>
      <w:r>
        <w:t xml:space="preserve"> </w:t>
      </w:r>
      <w:r>
        <w:rPr>
          <w:i/>
          <w:iCs/>
        </w:rPr>
        <w:t xml:space="preserve">Transactions on Machine Learning Research (TMLR)</w:t>
      </w:r>
      <w:r>
        <w:t xml:space="preserve">, 2023.</w:t>
      </w:r>
      <w:r>
        <w:t xml:space="preserve"> </w:t>
      </w:r>
      <w:hyperlink r:id="rId75">
        <w:r>
          <w:rPr>
            <w:rStyle w:val="Hyperlink"/>
          </w:rPr>
          <w:t xml:space="preserve">OpenReview</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swat"/>
      <w:r>
        <w:t xml:space="preserve">A. P. Mathur and N. O. Tippenhauer. “SWaT: A Water Treatment Testbed for Research and Training on ICS Security.”</w:t>
      </w:r>
      <w:r>
        <w:t xml:space="preserve"> </w:t>
      </w:r>
      <w:r>
        <w:rPr>
          <w:i/>
          <w:iCs/>
        </w:rPr>
        <w:t xml:space="preserve">2016 International Workshop on Cyber-physical Systems for Smart Water Networks (CySWater)</w:t>
      </w:r>
      <w:r>
        <w:t xml:space="preserve">, 2016.</w:t>
      </w:r>
      <w:r>
        <w:t xml:space="preserve"> </w:t>
      </w:r>
      <w:hyperlink r:id="rId77">
        <w:r>
          <w:rPr>
            <w:rStyle w:val="Hyperlink"/>
          </w:rPr>
          <w:t xml:space="preserve">doi:10.1109/CySWater.2016.7469060</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aead"/>
      <w:r>
        <w:t xml:space="preserve">M. Sakurada and T. Yairi. “Anomaly Detection Using Autoencoders with Nonlinear Dimensionality Reduction.”</w:t>
      </w:r>
      <w:r>
        <w:t xml:space="preserve"> </w:t>
      </w:r>
      <w:r>
        <w:rPr>
          <w:i/>
          <w:iCs/>
        </w:rPr>
        <w:t xml:space="preserve">Proceedings of the MLSDA 2014 2nd Workshop on Machine Learning for Sensory Data Analysis</w:t>
      </w:r>
      <w:r>
        <w:t xml:space="preserve">, 2014, pp. 4–11.</w:t>
      </w:r>
      <w:r>
        <w:t xml:space="preserve"> </w:t>
      </w:r>
      <w:hyperlink r:id="rId79">
        <w:r>
          <w:rPr>
            <w:rStyle w:val="Hyperlink"/>
          </w:rPr>
          <w:t xml:space="preserve">doi:10.1145/2689746.2689747</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chandola"/>
      <w:r>
        <w:t xml:space="preserve">V. Chandola, A. Banerjee, and V. Kumar. “Anomaly Detection: A Survey.”</w:t>
      </w:r>
      <w:r>
        <w:t xml:space="preserve"> </w:t>
      </w:r>
      <w:r>
        <w:rPr>
          <w:i/>
          <w:iCs/>
        </w:rPr>
        <w:t xml:space="preserve">ACM Computing Surveys</w:t>
      </w:r>
      <w:r>
        <w:t xml:space="preserve">, 41(3):Article 15, 2009.</w:t>
      </w:r>
      <w:r>
        <w:t xml:space="preserve"> </w:t>
      </w:r>
      <w:hyperlink r:id="rId81">
        <w:r>
          <w:rPr>
            <w:rStyle w:val="Hyperlink"/>
          </w:rPr>
          <w:t xml:space="preserve">doi:10.1145/1541880.1541882</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pang"/>
      <w:r>
        <w:t xml:space="preserve">G. Pang, C. Shen, L. Cao, and A. van den Hengel. “Deep Learning for Anomaly Detection: A Review.”</w:t>
      </w:r>
      <w:r>
        <w:t xml:space="preserve"> </w:t>
      </w:r>
      <w:r>
        <w:rPr>
          <w:i/>
          <w:iCs/>
        </w:rPr>
        <w:t xml:space="preserve">ACM Computing Surveys</w:t>
      </w:r>
      <w:r>
        <w:t xml:space="preserve">, 54(2):Article 38, 2021.</w:t>
      </w:r>
      <w:r>
        <w:t xml:space="preserve"> </w:t>
      </w:r>
      <w:hyperlink r:id="rId83">
        <w:r>
          <w:rPr>
            <w:rStyle w:val="Hyperlink"/>
          </w:rPr>
          <w:t xml:space="preserve">arXiv:2007.02500</w:t>
        </w:r>
      </w:hyperlink>
      <w:r>
        <w:t xml:space="preserve">, doi:10.1145/3439950.</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ruff"/>
      <w:r>
        <w:t xml:space="preserve">L. Ruff, J. R. Kauffmann, R. A. Vandermeulen, G. Montavon, W. Samek, M. Kloft, T. G. Dietterich, and K.-R. Müller. “A Unifying Review of Deep and Shallow Anomaly Detection.”</w:t>
      </w:r>
      <w:r>
        <w:t xml:space="preserve"> </w:t>
      </w:r>
      <w:r>
        <w:rPr>
          <w:i/>
          <w:iCs/>
        </w:rPr>
        <w:t xml:space="preserve">Proceedings of the IEEE</w:t>
      </w:r>
      <w:r>
        <w:t xml:space="preserve">, 109(5):756–795, 2021.</w:t>
      </w:r>
      <w:r>
        <w:t xml:space="preserve"> </w:t>
      </w:r>
      <w:hyperlink r:id="rId85">
        <w:r>
          <w:rPr>
            <w:rStyle w:val="Hyperlink"/>
          </w:rPr>
          <w:t xml:space="preserve">arXiv:2009.11732</w:t>
        </w:r>
      </w:hyperlink>
      <w:r>
        <w:t xml:space="preserve">, doi:10.1109/JPROC.2021.3052449.</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tsreview"/>
      <w:r>
        <w:t xml:space="preserve">A. Blázquez-García, A. Conde, U. Mori, and J. A. Lozano. “A Review on Outlier/Anomaly Detection in Time Series Data.”</w:t>
      </w:r>
      <w:r>
        <w:t xml:space="preserve"> </w:t>
      </w:r>
      <w:r>
        <w:rPr>
          <w:i/>
          <w:iCs/>
        </w:rPr>
        <w:t xml:space="preserve">ACM Computing Surveys</w:t>
      </w:r>
      <w:r>
        <w:t xml:space="preserve">, 54(3):Article 56, 2021.</w:t>
      </w:r>
      <w:r>
        <w:t xml:space="preserve"> </w:t>
      </w:r>
      <w:hyperlink r:id="rId87">
        <w:r>
          <w:rPr>
            <w:rStyle w:val="Hyperlink"/>
          </w:rPr>
          <w:t xml:space="preserve">arXiv:2002.04236</w:t>
        </w:r>
      </w:hyperlink>
      <w:r>
        <w:t xml:space="preserve">, doi:10.1145/3444690.</w:t>
      </w:r>
      <w:bookmarkEnd w:id="88"/>
    </w:p>
    <w:p>
      <w:pPr>
        <w:pStyle w:val="ReferenceEntry"/>
        <w:spacing w:after="100"/>
        <w:ind w:left="475" w:hanging="475"/>
        <w:jc w:val="left"/>
        <w:keepNext w:val="0"/>
        <w:keepLines w:val="0"/>
        <w:widowControl w:val="1"/>
      </w:pPr>
      <w:r>
        <w:rPr>
          <w:rFonts w:ascii="Times New Roman" w:hAnsi="Times New Roman"/>
          <w:sz w:val="20"/>
        </w:rPr>
        <w:t xml:space="preserve">27. </w:t>
      </w:r>
      <w:bookmarkStart w:id="90" w:name="r-icssurvey"/>
      <w:r>
        <w:t xml:space="preserve">Y. Hu, A. Yang, H. Li, Y. Sun, and L. Sun. “A Survey of Intrusion Detection on Industrial Control Systems.”</w:t>
      </w:r>
      <w:r>
        <w:t xml:space="preserve"> </w:t>
      </w:r>
      <w:r>
        <w:rPr>
          <w:i/>
          <w:iCs/>
        </w:rPr>
        <w:t xml:space="preserve">International Journal of Distributed Sensor Networks</w:t>
      </w:r>
      <w:r>
        <w:t xml:space="preserve">, 14(8), 2018.</w:t>
      </w:r>
      <w:r>
        <w:t xml:space="preserve"> </w:t>
      </w:r>
      <w:hyperlink r:id="rId89">
        <w:r>
          <w:rPr>
            <w:rStyle w:val="Hyperlink"/>
          </w:rPr>
          <w:t xml:space="preserve">doi:10.1177/1550147718794615</w:t>
        </w:r>
      </w:hyperlink>
      <w:r>
        <w:t xml:space="preserve">.</w:t>
      </w:r>
      <w:bookmarkEnd w:id="90"/>
    </w:p>
    <w:bookmarkEnd w:id="91"/>
    <w:bookmarkEnd w:id="9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2026-07-07T08:10:09Z</dcterms:created>
  <dcterms:modified xsi:type="dcterms:W3CDTF">2026-07-07T08:10:09Z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