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Academic</w:t>
      </w:r>
      <w:r>
        <w:t xml:space="preserve"> </w:t>
      </w:r>
      <w:r>
        <w:t xml:space="preserve">Editor</w:t>
      </w:r>
      <w:r>
        <w:t xml:space="preserve"> </w:t>
      </w:r>
      <w:r>
        <w:t xml:space="preserve">-</w:t>
      </w:r>
      <w:r>
        <w:t xml:space="preserve"> </w:t>
      </w:r>
      <w:r>
        <w:t xml:space="preserve">IoT-4522779</w:t>
      </w:r>
    </w:p>
    <w:bookmarkStart w:id="30" w:name="response-to-the-academic-editor"/>
    <w:p>
      <w:pPr>
        <w:pStyle w:val="FirstParagraph"/>
      </w:pPr>
      <w:r>
        <w:t xml:space="preserve">Manuscript IoT-4522779, MDPI</w:t>
      </w:r>
      <w:r>
        <w:t xml:space="preserve"> </w:t>
      </w:r>
      <w:r>
        <w:rPr>
          <w:i/>
          <w:iCs/>
        </w:rPr>
        <w:t xml:space="preserve">IoT</w:t>
      </w:r>
      <w:r>
        <w:br/>
      </w:r>
      <w:r>
        <w:t xml:space="preserve">Title: Modeling Normal Is All You Need: Joint Latent Clustering for Anomaly Detection in Multimodal Industrial-IoT Cyber-Physical Systems</w:t>
      </w:r>
      <w:r>
        <w:br/>
      </w:r>
      <w:r>
        <w:t xml:space="preserve">Authors: Alexander Apartsin and Yehudit Aperstein</w:t>
      </w:r>
    </w:p>
    <w:p>
      <w:pPr>
        <w:pStyle w:val="BodyText"/>
      </w:pPr>
      <w:r>
        <w:t xml:space="preserve">Dear Academic Editor,</w:t>
      </w:r>
    </w:p>
    <w:p>
      <w:pPr>
        <w:pStyle w:val="BodyText"/>
      </w:pPr>
      <w:r>
        <w:t xml:space="preserve">Thank you for handling our manuscript. This revision addresses every request, and it does so with</w:t>
      </w:r>
      <w:r>
        <w:t xml:space="preserve"> </w:t>
      </w:r>
      <w:r>
        <w:t xml:space="preserve">substantial new experimental work rather than rewriting alone: the new experiments and datasets are listed</w:t>
      </w:r>
      <w:r>
        <w:t xml:space="preserve"> </w:t>
      </w:r>
      <w:r>
        <w:t xml:space="preserve">first below, followed by a short answer to each of your requests. Full point-by-point detail is in the two</w:t>
      </w:r>
      <w:r>
        <w:t xml:space="preserve"> </w:t>
      </w:r>
      <w:r>
        <w:t xml:space="preserve">accompanying Reviewer letters.</w:t>
      </w:r>
    </w:p>
    <w:bookmarkStart w:id="20" w:name="X4d4b4d0e8361adb5119e41797c209c0f0483574"/>
    <w:p>
      <w:pPr>
        <w:pStyle w:val="Heading2"/>
      </w:pPr>
      <w:r>
        <w:t xml:space="preserve">New experiments and datasets added in this revision</w:t>
      </w:r>
    </w:p>
    <w:p>
      <w:pPr>
        <w:pStyle w:val="FirstParagraph"/>
      </w:pPr>
      <w:r>
        <w:t xml:space="preserve">The following are new empirical results, not present in the submitted version: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Computational-cost benchmark</w:t>
      </w:r>
      <w:r>
        <w:t xml:space="preserve"> </w:t>
      </w:r>
      <w:r>
        <w:t xml:space="preserve">(new Appendix B, Table B1): LatAD and the deep baselines</w:t>
      </w:r>
      <w:r>
        <w:t xml:space="preserve"> </w:t>
      </w:r>
      <w:r>
        <w:t xml:space="preserve">trained and timed on one Modal A10G GPU plus a CPU edge proxy (parameters, training time, per-window</w:t>
      </w:r>
      <w:r>
        <w:t xml:space="preserve"> </w:t>
      </w:r>
      <w:r>
        <w:t xml:space="preserve">latency, GPU and host memory).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Time-aware significance</w:t>
      </w:r>
      <w:r>
        <w:t xml:space="preserve"> </w:t>
      </w:r>
      <w:r>
        <w:t xml:space="preserve">(Section 5.4, Figure 3): every claim recomputed with an</w:t>
      </w:r>
      <w:r>
        <w:t xml:space="preserve"> </w:t>
      </w:r>
      <w:r>
        <w:t xml:space="preserve">episode-block bootstrap.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Source-of-gain ablation</w:t>
      </w:r>
      <w:r>
        <w:t xml:space="preserve"> </w:t>
      </w:r>
      <w:r>
        <w:t xml:space="preserve">(new Table A4): cross-channel density versus a per-channel product,</w:t>
      </w:r>
      <w:r>
        <w:t xml:space="preserve"> </w:t>
      </w:r>
      <w:r>
        <w:t xml:space="preserve">plus a raw-sequential-input variant and a richer temporal/spectral representation (Table A2).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Rare-regime imbalance sweep</w:t>
      </w:r>
      <w:r>
        <w:t xml:space="preserve"> </w:t>
      </w:r>
      <w:r>
        <w:t xml:space="preserve">(new Appendix E, Tables E1–E2) on the</w:t>
      </w:r>
      <w:r>
        <w:t xml:space="preserve"> </w:t>
      </w:r>
      <w:r>
        <w:rPr>
          <w:b/>
          <w:bCs/>
        </w:rPr>
        <w:t xml:space="preserve">newly added</w:t>
      </w:r>
      <w:r>
        <w:rPr>
          <w:b/>
          <w:bCs/>
        </w:rPr>
        <w:t xml:space="preserve"> </w:t>
      </w:r>
      <w:r>
        <w:rPr>
          <w:b/>
          <w:bCs/>
        </w:rPr>
        <w:t xml:space="preserve">3W oil-well dataset</w:t>
      </w:r>
      <w:r>
        <w:t xml:space="preserve">, which has genuinely imbalanced regime occupancy.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Between-regime overlap (A8) screen</w:t>
      </w:r>
      <w:r>
        <w:t xml:space="preserve"> </w:t>
      </w:r>
      <w:r>
        <w:t xml:space="preserve">(new Appendix C, Table C1) across eight CPS sources,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Cranfield, SKAB, MetroPT, SMD, and the Paderborn bearing testbed</w:t>
      </w:r>
      <w:r>
        <w:t xml:space="preserve"> </w:t>
      </w:r>
      <w:r>
        <w:t xml:space="preserve">to WADI, HAI, and SWaT.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Multiscale (A9) and path-dependence (A10) tests</w:t>
      </w:r>
      <w:r>
        <w:t xml:space="preserve"> </w:t>
      </w:r>
      <w:r>
        <w:t xml:space="preserve">(Section 8): a longer-window experiment, and</w:t>
      </w:r>
      <w:r>
        <w:t xml:space="preserve"> </w:t>
      </w:r>
      <w:r>
        <w:t xml:space="preserve">three conditional scorers guarded by an order-shuffle control and a synthetic positive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GDN baseline</w:t>
      </w:r>
      <w:r>
        <w:t xml:space="preserve"> </w:t>
      </w:r>
      <w:r>
        <w:t xml:space="preserve">run on all three streams under the identical protocol (Table 2, Figure 3),</w:t>
      </w:r>
      <w:r>
        <w:t xml:space="preserve"> </w:t>
      </w:r>
      <w:r>
        <w:t xml:space="preserve">replacing the earlier inaccurate statement that GDN did not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Subsystem-localization evaluation</w:t>
      </w:r>
      <w:r>
        <w:t xml:space="preserve"> </w:t>
      </w:r>
      <w:r>
        <w:t xml:space="preserve">(new Table 5), and a synthetic mechanism illustration</w:t>
      </w:r>
      <w:r>
        <w:t xml:space="preserve"> </w:t>
      </w:r>
      <w:r>
        <w:t xml:space="preserve">(new Figure A1).</w:t>
      </w:r>
    </w:p>
    <w:bookmarkEnd w:id="20"/>
    <w:bookmarkStart w:id="21" w:name="corrections"/>
    <w:p>
      <w:pPr>
        <w:pStyle w:val="Heading2"/>
      </w:pPr>
      <w:r>
        <w:t xml:space="preserve">Corrections</w:t>
      </w:r>
    </w:p>
    <w:p>
      <w:pPr>
        <w:pStyle w:val="FirstParagraph"/>
      </w:pPr>
      <w:r>
        <w:t xml:space="preserve">We re-audited every reported number against its source artifact. The WADI difficult subset was re-derived</w:t>
      </w:r>
      <w:r>
        <w:t xml:space="preserve"> </w:t>
      </w:r>
      <w:r>
        <w:t xml:space="preserve">from 43 to 30 windows (a difficulty-stratification artifact), the rescaled WADI analyzer channel was dropped,</w:t>
      </w:r>
      <w:r>
        <w:t xml:space="preserve"> </w:t>
      </w:r>
      <w:r>
        <w:t xml:space="preserve">and the canonical December-2015 SWaT release was adopted (Section 5.1); all tables were rebuilt. The main</w:t>
      </w:r>
      <w:r>
        <w:t xml:space="preserve"> </w:t>
      </w:r>
      <w:r>
        <w:t xml:space="preserve">conclusions hold. The headline difficult-subset AUROC is HAI 0.845 and WADI 0.771; on the drift-dominated SWaT</w:t>
      </w:r>
      <w:r>
        <w:t xml:space="preserve"> </w:t>
      </w:r>
      <w:r>
        <w:t xml:space="preserve">record the drift-aware typing of Section 7 recovers the difficult subset from 0.524 to 0.723.</w:t>
      </w:r>
    </w:p>
    <w:bookmarkEnd w:id="21"/>
    <w:bookmarkStart w:id="27" w:name="your-direct-requests"/>
    <w:p>
      <w:pPr>
        <w:pStyle w:val="Heading2"/>
      </w:pPr>
      <w:r>
        <w:t xml:space="preserve">Your direct requests</w:t>
      </w:r>
    </w:p>
    <w:p>
      <w:pPr>
        <w:pStyle w:val="BlockText"/>
      </w:pPr>
      <w:r>
        <w:t xml:space="preserve">Please validate the assumptions that are currently unused (A3, A9, A10), provide direct experimental</w:t>
      </w:r>
      <w:r>
        <w:t xml:space="preserve"> </w:t>
      </w:r>
      <w:r>
        <w:t xml:space="preserve">support for the rare-regime-safe nearest-component likelihood, report training and inference cost for edge</w:t>
      </w:r>
      <w:r>
        <w:t xml:space="preserve"> </w:t>
      </w:r>
      <w:r>
        <w:t xml:space="preserve">deployment, use a time-aware statistical test, and add ablations isolating the source of the gain. Reviewer 2</w:t>
      </w:r>
      <w:r>
        <w:t xml:space="preserve"> </w:t>
      </w:r>
      <w:r>
        <w:t xml:space="preserve">additionally asks for a clearer abstract and introduction, a restructured related-work section, system-model</w:t>
      </w:r>
      <w:r>
        <w:t xml:space="preserve"> </w:t>
      </w:r>
      <w:r>
        <w:t xml:space="preserve">and LatAD workflow figures, resolution of the notation conflict for z, and consistent typesetting with numbered</w:t>
      </w:r>
      <w:r>
        <w:t xml:space="preserve"> </w:t>
      </w:r>
      <w:r>
        <w:t xml:space="preserve">equations. Please submit a point-by-point response with the revised manuscript.</w:t>
      </w:r>
    </w:p>
    <w:bookmarkStart w:id="22" w:name="X3b7e71c5ef3f2df4ae8bf0c5c060fce546902b2"/>
    <w:p>
      <w:pPr>
        <w:pStyle w:val="Heading3"/>
      </w:pPr>
      <w:r>
        <w:t xml:space="preserve">1. Validate the assumptions that are currently unused (A3, A9, A10)</w:t>
      </w:r>
    </w:p>
    <w:p>
      <w:pPr>
        <w:pStyle w:val="FirstParagraph"/>
      </w:pPr>
      <w:r>
        <w:t xml:space="preserve">New experiments.</w:t>
      </w:r>
      <w:r>
        <w:t xml:space="preserve"> </w:t>
      </w:r>
      <w:r>
        <w:t xml:space="preserve">MIIM is now ten assumptions: seven realized and</w:t>
      </w:r>
      <w:r>
        <w:t xml:space="preserve"> </w:t>
      </w:r>
      <w:r>
        <w:t xml:space="preserve">validated here (A1 to A7) and three specified for future work (A8 to A10). The unused "A3" is renumbered A8 and</w:t>
      </w:r>
      <w:r>
        <w:t xml:space="preserve"> </w:t>
      </w:r>
      <w:r>
        <w:t xml:space="preserve">remeasured with a new observation-space screen (Appendix C); A9 (multiscale) is shown present and partly</w:t>
      </w:r>
      <w:r>
        <w:t xml:space="preserve"> </w:t>
      </w:r>
      <w:r>
        <w:t xml:space="preserve">exploitable by a longer-window test; A10 (path dependence) shows no evidence under a guarded test (three</w:t>
      </w:r>
      <w:r>
        <w:t xml:space="preserve"> </w:t>
      </w:r>
      <w:r>
        <w:t xml:space="preserve">conditional scorers, order-shuffle and synthetic positive controls). See Table 1 and Section 8; full</w:t>
      </w:r>
      <w:r>
        <w:t xml:space="preserve"> </w:t>
      </w:r>
      <w:r>
        <w:t xml:space="preserve">analysis in the Reviewer 1 letter (comment 1).</w:t>
      </w:r>
    </w:p>
    <w:bookmarkEnd w:id="22"/>
    <w:bookmarkStart w:id="23" w:name="X4fd45cd0ef32903a9720199a74a699e6e15a64c"/>
    <w:p>
      <w:pPr>
        <w:pStyle w:val="Heading3"/>
      </w:pPr>
      <w:r>
        <w:t xml:space="preserve">2. Direct experimental support for the rare-regime-safe nearest-component likelihood</w:t>
      </w:r>
    </w:p>
    <w:p>
      <w:pPr>
        <w:pStyle w:val="FirstParagraph"/>
      </w:pPr>
      <w:r>
        <w:t xml:space="preserve">New experiment and dataset.</w:t>
      </w:r>
      <w:r>
        <w:t xml:space="preserve"> </w:t>
      </w:r>
      <w:r>
        <w:t xml:space="preserve">The head is isolated in Table A5, and</w:t>
      </w:r>
      <w:r>
        <w:t xml:space="preserve"> </w:t>
      </w:r>
      <w:r>
        <w:t xml:space="preserve">its rare-regime behavior is measured directly on the newly added 3W oil-well dataset (Appendix E,</w:t>
      </w:r>
      <w:r>
        <w:t xml:space="preserve"> </w:t>
      </w:r>
      <w:r>
        <w:t xml:space="preserve">Tables E1–E2): at a matched false-alarm rate it removes the mixture's rare-regime false alarms and</w:t>
      </w:r>
      <w:r>
        <w:t xml:space="preserve"> </w:t>
      </w:r>
      <w:r>
        <w:t xml:space="preserve">stays at or below three imbalance-aware alternatives at every occupancy threshold. Full detail in the Reviewer 1</w:t>
      </w:r>
      <w:r>
        <w:t xml:space="preserve"> </w:t>
      </w:r>
      <w:r>
        <w:t xml:space="preserve">letter (comment 2).</w:t>
      </w:r>
    </w:p>
    <w:bookmarkEnd w:id="23"/>
    <w:bookmarkStart w:id="24" w:name="Xb4f77eee6956cf546b9e92ff03f7462c1c29855"/>
    <w:p>
      <w:pPr>
        <w:pStyle w:val="Heading3"/>
      </w:pPr>
      <w:r>
        <w:t xml:space="preserve">3. Report training and inference cost for edge deployment</w:t>
      </w:r>
    </w:p>
    <w:p>
      <w:pPr>
        <w:pStyle w:val="FirstParagraph"/>
      </w:pPr>
      <w:r>
        <w:t xml:space="preserve">New experiment.</w:t>
      </w:r>
      <w:r>
        <w:t xml:space="preserve"> </w:t>
      </w:r>
      <w:r>
        <w:t xml:space="preserve">Appendix B and Table B1 report parameters,</w:t>
      </w:r>
      <w:r>
        <w:t xml:space="preserve"> </w:t>
      </w:r>
      <w:r>
        <w:t xml:space="preserve">training time, per-window latency, and peak GPU and host memory for LatAD and the deep baselines, on one Modal</w:t>
      </w:r>
      <w:r>
        <w:t xml:space="preserve"> </w:t>
      </w:r>
      <w:r>
        <w:t xml:space="preserve">A10G GPU plus a CPU edge proxy. LatAD-global trains in 3.2 / 16 / 3.5 s on WADI / HAI / SWaT (roughly 47 to 72</w:t>
      </w:r>
      <w:r>
        <w:t xml:space="preserve"> </w:t>
      </w:r>
      <w:r>
        <w:t xml:space="preserve">times faster than TranAD) and runs within gateway-class latency and about 19 to 29 MB of GPU memory. Full detail</w:t>
      </w:r>
      <w:r>
        <w:t xml:space="preserve"> </w:t>
      </w:r>
      <w:r>
        <w:t xml:space="preserve">in the Reviewer 1 letter (comment 4).</w:t>
      </w:r>
    </w:p>
    <w:bookmarkEnd w:id="24"/>
    <w:bookmarkStart w:id="25" w:name="use-a-time-aware-statistical-test"/>
    <w:p>
      <w:pPr>
        <w:pStyle w:val="Heading3"/>
      </w:pPr>
      <w:r>
        <w:t xml:space="preserve">4. Use a time-aware statistical test</w:t>
      </w:r>
    </w:p>
    <w:p>
      <w:pPr>
        <w:pStyle w:val="FirstParagraph"/>
      </w:pPr>
      <w:r>
        <w:t xml:space="preserve">New analysis.</w:t>
      </w:r>
      <w:r>
        <w:t xml:space="preserve"> </w:t>
      </w:r>
      <w:r>
        <w:t xml:space="preserve">Every significance claim now uses an episode-block</w:t>
      </w:r>
      <w:r>
        <w:t xml:space="preserve"> </w:t>
      </w:r>
      <w:r>
        <w:t xml:space="preserve">bootstrap that resamples whole attack episodes with contiguous normal blocks (Section 5.4). On the difficult</w:t>
      </w:r>
      <w:r>
        <w:t xml:space="preserve"> </w:t>
      </w:r>
      <w:r>
        <w:t xml:space="preserve">subset: HAI is significant (+0.088, P &lt; 0.0005); SWaT becomes significant after the drift-aware typing of</w:t>
      </w:r>
      <w:r>
        <w:t xml:space="preserve"> </w:t>
      </w:r>
      <w:r>
        <w:t xml:space="preserve">Section 7 (+0.200, P = 0.014); WADI is ahead of every learned detector (each P &lt; 0.05) and ties only the</w:t>
      </w:r>
      <w:r>
        <w:t xml:space="preserve"> </w:t>
      </w:r>
      <w:r>
        <w:t xml:space="preserve">linear baseline (8 attack episodes). Full detail, with confidence intervals, in the Reviewer 1 letter (comment 5).</w:t>
      </w:r>
    </w:p>
    <w:bookmarkEnd w:id="25"/>
    <w:bookmarkStart w:id="26" w:name="Xcb0acad378f8b644828b2cc924f17fe7581dd6c"/>
    <w:p>
      <w:pPr>
        <w:pStyle w:val="Heading3"/>
      </w:pPr>
      <w:r>
        <w:t xml:space="preserve">5. Add ablations isolating the source of the gain</w:t>
      </w:r>
    </w:p>
    <w:p>
      <w:pPr>
        <w:pStyle w:val="FirstParagraph"/>
      </w:pPr>
      <w:r>
        <w:t xml:space="preserve">New experiment.</w:t>
      </w:r>
      <w:r>
        <w:t xml:space="preserve"> </w:t>
      </w:r>
      <w:r>
        <w:t xml:space="preserve">Table A4 replaces the cross-channel latent density</w:t>
      </w:r>
      <w:r>
        <w:t xml:space="preserve"> </w:t>
      </w:r>
      <w:r>
        <w:t xml:space="preserve">with a per-channel product: the cross-channel term adds +0.200 on HAI, +0.017 on WADI, and −0.050 on SWaT.</w:t>
      </w:r>
      <w:r>
        <w:t xml:space="preserve"> </w:t>
      </w:r>
      <w:r>
        <w:t xml:space="preserve">The source is therefore dataset-specific (HAI cross-channel density, WADI regime-community factorization, SWaT</w:t>
      </w:r>
      <w:r>
        <w:t xml:space="preserve"> </w:t>
      </w:r>
      <w:r>
        <w:t xml:space="preserve">temporal and drift structure), not the window representation. Full detail in the Reviewer 1 letter (comment 6).</w:t>
      </w:r>
    </w:p>
    <w:bookmarkEnd w:id="26"/>
    <w:bookmarkEnd w:id="27"/>
    <w:bookmarkStart w:id="28" w:name="requests-forwarded-from-reviewer-2"/>
    <w:p>
      <w:pPr>
        <w:pStyle w:val="Heading2"/>
      </w:pPr>
      <w:r>
        <w:t xml:space="preserve">Requests forwarded from Reviewer 2</w:t>
      </w:r>
    </w:p>
    <w:p>
      <w:pPr>
        <w:pStyle w:val="FirstParagraph"/>
      </w:pPr>
      <w:r>
        <w:t xml:space="preserve">These are writing, figure, and notation items; each is answered in full in the Reviewer 2 letter (comment</w:t>
      </w:r>
      <w:r>
        <w:t xml:space="preserve"> </w:t>
      </w:r>
      <w:r>
        <w:t xml:space="preserve">numbers cited).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Abstract</w:t>
      </w:r>
      <w:r>
        <w:t xml:space="preserve"> </w:t>
      </w:r>
      <w:r>
        <w:t xml:space="preserve">(R2 1–2): abbreviations expanded at first use, and the abstract now states LatAD's</w:t>
      </w:r>
      <w:r>
        <w:t xml:space="preserve"> </w:t>
      </w:r>
      <w:r>
        <w:t xml:space="preserve">mechanism before the headline result (best All-subset AUROC on HAI 0.948; difficult-subset HAI 0.845).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(R2 3–5): opens with CPS/IIoT background, no contributions or method sentence in</w:t>
      </w:r>
      <w:r>
        <w:t xml:space="preserve"> </w:t>
      </w:r>
      <w:r>
        <w:t xml:space="preserve">the first paragraph, the "task" named, and the two obstacles tied to contributions C1 to C3.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Related Work</w:t>
      </w:r>
      <w:r>
        <w:t xml:space="preserve"> </w:t>
      </w:r>
      <w:r>
        <w:t xml:space="preserve">(R2 6): definition moved to the introduction, LatAD self-descriptions removed,</w:t>
      </w:r>
      <w:r>
        <w:t xml:space="preserve"> </w:t>
      </w:r>
      <w:r>
        <w:t xml:space="preserve">Section 2.3 rewritten as a neutral survey, and the old Section 2.5 replaced by a benchmark-scale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Figures</w:t>
      </w:r>
      <w:r>
        <w:t xml:space="preserve"> </w:t>
      </w:r>
      <w:r>
        <w:t xml:space="preserve">(R2 7, 9):</w:t>
      </w:r>
      <w:r>
        <w:t xml:space="preserve"> </w:t>
      </w:r>
      <w:r>
        <w:t xml:space="preserve">new Figure 1</w:t>
      </w:r>
      <w:r>
        <w:t xml:space="preserve"> </w:t>
      </w:r>
      <w:r>
        <w:t xml:space="preserve">(IIoT system-model context) and</w:t>
      </w:r>
      <w:r>
        <w:t xml:space="preserve"> </w:t>
      </w:r>
      <w:r>
        <w:t xml:space="preserve">new Figure 2</w:t>
      </w:r>
      <w:r>
        <w:t xml:space="preserve"> </w:t>
      </w:r>
      <w:r>
        <w:t xml:space="preserve">(LatAD workflow, each block tagged by the assumption it serves);</w:t>
      </w:r>
      <w:r>
        <w:t xml:space="preserve"> </w:t>
      </w:r>
      <w:r>
        <w:t xml:space="preserve">the Section 4 headings now name each pipeline stage.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Notation</w:t>
      </w:r>
      <w:r>
        <w:t xml:space="preserve"> </w:t>
      </w:r>
      <w:r>
        <w:t xml:space="preserve">(R2 11): the latent keeps z, the standardization operator becomes std(·), and the</w:t>
      </w:r>
      <w:r>
        <w:t xml:space="preserve"> </w:t>
      </w:r>
      <w:r>
        <w:t xml:space="preserve">trivial-rule per-channel value becomes 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Typesetting</w:t>
      </w:r>
      <w:r>
        <w:t xml:space="preserve"> </w:t>
      </w:r>
      <w:r>
        <w:t xml:space="preserve">(R2 12): all nine display equations are numbered (1) to (9), and paragraph indentation</w:t>
      </w:r>
      <w:r>
        <w:t xml:space="preserve"> </w:t>
      </w:r>
      <w:r>
        <w:t xml:space="preserve">is unified at the DOCX build stage.</w:t>
      </w:r>
    </w:p>
    <w:bookmarkEnd w:id="28"/>
    <w:bookmarkStart w:id="29" w:name="Xdb993a1c7cb004a2eeb91a6cd370eaa8222daf6"/>
    <w:p>
      <w:pPr>
        <w:pStyle w:val="Heading2"/>
      </w:pPr>
      <w:r>
        <w:t xml:space="preserve">Point-by-point response and revised manuscript</w:t>
      </w:r>
    </w:p>
    <w:p>
      <w:pPr>
        <w:pStyle w:val="BlockText"/>
      </w:pPr>
      <w:r>
        <w:t xml:space="preserve">Please submit a point-by-point response with the revised manuscript.</w:t>
      </w:r>
    </w:p>
    <w:p>
      <w:pPr>
        <w:pStyle w:val="FirstParagraph"/>
      </w:pPr>
      <w:r>
        <w:t xml:space="preserve">This letter and the accompanying Reviewer 1 and Reviewer 2 letters are the point-by-point</w:t>
      </w:r>
      <w:r>
        <w:t xml:space="preserve"> </w:t>
      </w:r>
      <w:r>
        <w:t xml:space="preserve">response. The revised manuscript is change-marked: new and changed text is highlighted, deleted passages are</w:t>
      </w:r>
      <w:r>
        <w:t xml:space="preserve"> </w:t>
      </w:r>
      <w:r>
        <w:t xml:space="preserve">removed, and each response cites the section, table, or figure it changed.</w:t>
      </w:r>
    </w:p>
    <w:p>
      <w:pPr>
        <w:pStyle w:val="BodyText"/>
      </w:pPr>
      <w:r>
        <w:t xml:space="preserve">Every request is addressed within the manuscript, with completed experiments and corrected</w:t>
      </w:r>
      <w:r>
        <w:t xml:space="preserve"> </w:t>
      </w:r>
      <w:r>
        <w:t xml:space="preserve">numbers; the three assumptions A8 to A10 are the only items explicitly scoped to future work. Thank you again for</w:t>
      </w:r>
      <w:r>
        <w:t xml:space="preserve"> </w:t>
      </w:r>
      <w:r>
        <w:t xml:space="preserve">your time.</w:t>
      </w:r>
    </w:p>
    <w:p>
      <w:pPr>
        <w:pStyle w:val="BodyText"/>
      </w:pPr>
      <w:r>
        <w:t xml:space="preserve">Sincerely,</w:t>
      </w:r>
      <w:r>
        <w:br/>
      </w:r>
      <w:r>
        <w:t xml:space="preserve">Alexander Apartsin and Yehudit Aperstein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the Academic Editor - IoT-4522779</dc:title>
  <dc:creator/>
  <dc:language>en</dc:language>
  <cp:keywords/>
  <dcterms:created xsi:type="dcterms:W3CDTF">2026-09-21T18:15:20Z</dcterms:created>
  <dcterms:modified xsi:type="dcterms:W3CDTF">2026-09-21T18:15:20Z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