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Reviewer</w:t>
      </w:r>
      <w:r>
        <w:t xml:space="preserve"> </w:t>
      </w:r>
      <w: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t xml:space="preserve">IoT-4522779</w:t>
      </w:r>
    </w:p>
    <w:bookmarkStart w:id="27" w:name="response-to-reviewer-1"/>
    <w:p>
      <w:pPr>
        <w:pStyle w:val="FirstParagraph"/>
      </w:pPr>
      <w:r>
        <w:t xml:space="preserve">Manuscript IoT-4522779, MDPI</w:t>
      </w:r>
      <w:r>
        <w:t xml:space="preserve"> </w:t>
      </w:r>
      <w:r>
        <w:rPr>
          <w:i/>
          <w:iCs/>
        </w:rPr>
        <w:t xml:space="preserve">IoT</w:t>
      </w:r>
      <w:r>
        <w:br/>
      </w:r>
      <w:r>
        <w:t xml:space="preserve">Title: Modeling Normal Is All You Need: Joint Latent Clustering for Anomaly Detection in Multimodal Industrial-IoT Cyber-Physical Systems</w:t>
      </w:r>
      <w:r>
        <w:br/>
      </w:r>
      <w:r>
        <w:t xml:space="preserve">Authors: Alexander Apartsin and Yehudit Aperstein</w:t>
      </w:r>
    </w:p>
    <w:p>
      <w:pPr>
        <w:pStyle w:val="BodyText"/>
      </w:pPr>
      <w:r>
        <w:t xml:space="preserve">Dear Reviewer,</w:t>
      </w:r>
    </w:p>
    <w:p>
      <w:pPr>
        <w:pStyle w:val="BodyText"/>
      </w:pPr>
      <w:r>
        <w:t xml:space="preserve">Thank you for reviewing the manuscript. Your</w:t>
      </w:r>
      <w:r>
        <w:t xml:space="preserve"> </w:t>
      </w:r>
      <w:r>
        <w:t xml:space="preserve">comments pushed us to validate or remeasure the previously unused assumptions, to support the</w:t>
      </w:r>
      <w:r>
        <w:t xml:space="preserve"> </w:t>
      </w:r>
      <w:r>
        <w:t xml:space="preserve">nearest-component score directly, to benchmark computational cost, to put every significance claim on a</w:t>
      </w:r>
      <w:r>
        <w:t xml:space="preserve"> </w:t>
      </w:r>
      <w:r>
        <w:t xml:space="preserve">time-aware footing, and to isolate the source of the gain. We address each point below, giving the change we</w:t>
      </w:r>
      <w:r>
        <w:t xml:space="preserve"> </w:t>
      </w:r>
      <w:r>
        <w:t xml:space="preserve">made and where to find it, or a rebuttal with the supporting evidence. While preparing the revision we also</w:t>
      </w:r>
      <w:r>
        <w:t xml:space="preserve"> </w:t>
      </w:r>
      <w:r>
        <w:t xml:space="preserve">re-audited every number and corrected a difficulty-stratification artifact on WADI; the corrected numbers are</w:t>
      </w:r>
      <w:r>
        <w:t xml:space="preserve"> </w:t>
      </w:r>
      <w:r>
        <w:t xml:space="preserve">used throughout and are reflected in the responses.</w:t>
      </w:r>
    </w:p>
    <w:bookmarkStart w:id="20" w:name="X5169a9d53f31ba643c7c4225a23dd88e4fb3c08"/>
    <w:p>
      <w:pPr>
        <w:pStyle w:val="Heading2"/>
      </w:pPr>
      <w:r>
        <w:t xml:space="preserve">Comment 1. A9 and A10 are unused, and the basin-agreement head (A3) is inactive on all three datasets; run data that activates them or limit the contribution to the validated assumptions.</w:t>
      </w:r>
    </w:p>
    <w:p>
      <w:pPr>
        <w:pStyle w:val="BlockText"/>
      </w:pPr>
      <w:r>
        <w:t xml:space="preserve">This manuscript introduces ten structural assumptions from A1 to A10, but the current model does</w:t>
      </w:r>
      <w:r>
        <w:t xml:space="preserve"> </w:t>
      </w:r>
      <w:r>
        <w:t xml:space="preserve">not fully realize them. A9 and A10 are not used in the model, while the basin-agreement head for A3 is</w:t>
      </w:r>
      <w:r>
        <w:t xml:space="preserve"> </w:t>
      </w:r>
      <w:r>
        <w:t xml:space="preserve">inactive on all three datasets. More experiments are needed on data that can activate and test these</w:t>
      </w:r>
      <w:r>
        <w:t xml:space="preserve"> </w:t>
      </w:r>
      <w:r>
        <w:t xml:space="preserve">assumptions, otherwise the contribution should be limited to the assumptions that are actually validated.</w:t>
      </w:r>
    </w:p>
    <w:p>
      <w:pPr>
        <w:pStyle w:val="FirstParagraph"/>
      </w:pPr>
      <w:r>
        <w:rPr>
          <w:b/>
          <w:bCs/>
        </w:rPr>
        <w:t xml:space="preserve">Response: change made and assumptions remeasured.</w:t>
      </w:r>
      <w:r>
        <w:t xml:space="preserve"> </w:t>
      </w:r>
      <w:r>
        <w:t xml:space="preserve">We agree, and have</w:t>
      </w:r>
      <w:r>
        <w:t xml:space="preserve"> </w:t>
      </w:r>
      <w:r>
        <w:t xml:space="preserve">rescoped the contribution accordingly. We now present MIIM as ten assumptions of which seven are realized by the detector and</w:t>
      </w:r>
      <w:r>
        <w:t xml:space="preserve"> </w:t>
      </w:r>
      <w:r>
        <w:t xml:space="preserve">validated here (A1 to A7) and three are specified for future work (A8 to A10). Table 1 lists the assumptions and</w:t>
      </w:r>
      <w:r>
        <w:t xml:space="preserve"> </w:t>
      </w:r>
      <w:r>
        <w:t xml:space="preserve">their physical origin, and Section 4 maps each realized assumption (A1 to A7) to its design section; the caption</w:t>
      </w:r>
      <w:r>
        <w:t xml:space="preserve"> </w:t>
      </w:r>
      <w:r>
        <w:t xml:space="preserve">states which are realized and which are future work. The between-regime</w:t>
      </w:r>
      <w:r>
        <w:t xml:space="preserve"> </w:t>
      </w:r>
      <w:r>
        <w:t xml:space="preserve">assumption whose basin head you note as inactive (your "A3") is renumbered</w:t>
      </w:r>
      <w:r>
        <w:t xml:space="preserve"> </w:t>
      </w:r>
      <w:r>
        <w:rPr>
          <w:b/>
          <w:bCs/>
        </w:rPr>
        <w:t xml:space="preserve">A8</w:t>
      </w:r>
      <w:r>
        <w:t xml:space="preserve">, so the realized</w:t>
      </w:r>
      <w:r>
        <w:t xml:space="preserve"> </w:t>
      </w:r>
      <w:r>
        <w:t xml:space="preserve">instantaneous-window properties are contiguous A1 to A7.</w:t>
      </w:r>
    </w:p>
    <w:p>
      <w:pPr>
        <w:pStyle w:val="BodyText"/>
      </w:pPr>
      <w:r>
        <w:t xml:space="preserve">Rather than only scoping A8 down, we remeasured it. The earlier signal came from a</w:t>
      </w:r>
      <w:r>
        <w:t xml:space="preserve"> </w:t>
      </w:r>
      <w:r>
        <w:t xml:space="preserve">cluster-responsibility screen that is blind by construction: on a synthetic overlap positive control</w:t>
      </w:r>
      <w:r>
        <w:t xml:space="preserve"> </w:t>
      </w:r>
      <w:r>
        <w:t xml:space="preserve">(30 to 2 percent Bayes error) it rated the regimes as maximally crisp, and SKAB is the one screened dataset</w:t>
      </w:r>
      <w:r>
        <w:t xml:space="preserve"> </w:t>
      </w:r>
      <w:r>
        <w:t xml:space="preserve">with no close-distinct regime pair at all (a single-loop 400-window rig; Appendix C, Table C1). Under valid</w:t>
      </w:r>
      <w:r>
        <w:t xml:space="preserve"> </w:t>
      </w:r>
      <w:r>
        <w:t xml:space="preserve">observation-space metrics the A8 precondition (adjacent but distinct regimes) is present on nearly every real</w:t>
      </w:r>
      <w:r>
        <w:t xml:space="preserve"> </w:t>
      </w:r>
      <w:r>
        <w:t xml:space="preserve">CPS dataset screened, but heavy mode overlap is absent; the masking form is detectable only through the</w:t>
      </w:r>
      <w:r>
        <w:t xml:space="preserve"> </w:t>
      </w:r>
      <w:r>
        <w:t xml:space="preserve">trajectory, which couples it to A10, and the over-coverage form is already defended by the shipped</w:t>
      </w:r>
      <w:r>
        <w:t xml:space="preserve"> </w:t>
      </w:r>
      <w:r>
        <w:t xml:space="preserve">80-component density head (a wide two-component head misses about 80 percent of WADI's isolated anomalies, the</w:t>
      </w:r>
      <w:r>
        <w:t xml:space="preserve"> </w:t>
      </w:r>
      <w:r>
        <w:t xml:space="preserve">80-component head about 13 percent). A8 is therefore specified, partly defended, and verifiable at operational</w:t>
      </w:r>
      <w:r>
        <w:t xml:space="preserve"> </w:t>
      </w:r>
      <w:r>
        <w:t xml:space="preserve">scale (Section 8, Appendix C).</w:t>
      </w:r>
    </w:p>
    <w:p>
      <w:pPr>
        <w:pStyle w:val="BodyText"/>
      </w:pPr>
      <w:r>
        <w:t xml:space="preserve">A9 (multiscale structure) is present in the data as a measured property: per-channel</w:t>
      </w:r>
      <w:r>
        <w:t xml:space="preserve"> </w:t>
      </w:r>
      <w:r>
        <w:t xml:space="preserve">autocorrelation timescales span 3.4 to 3.7 decades on all three plants, and a longer 600-sample window adds</w:t>
      </w:r>
      <w:r>
        <w:t xml:space="preserve"> </w:t>
      </w:r>
      <w:r>
        <w:t xml:space="preserve">about +0.06 difficult-subset AUROC on HAI, corroborating the +0.071 that explicit temporal features add in</w:t>
      </w:r>
      <w:r>
        <w:t xml:space="preserve"> </w:t>
      </w:r>
      <w:r>
        <w:t xml:space="preserve">Appendix A. A10 (path dependence) shows no evidence under these tests on these snapshot-detectable benchmarks by three</w:t>
      </w:r>
      <w:r>
        <w:t xml:space="preserve"> </w:t>
      </w:r>
      <w:r>
        <w:t xml:space="preserve">conditional scorers (a linear autoregressor, a nearest-neighbor successor model, and a regime-transition</w:t>
      </w:r>
      <w:r>
        <w:t xml:space="preserve"> </w:t>
      </w:r>
      <w:r>
        <w:t xml:space="preserve">matrix), each validated against a passing synthetic positive control and guarded by an order-shuffle control.</w:t>
      </w:r>
      <w:r>
        <w:t xml:space="preserve"> </w:t>
      </w:r>
      <w:r>
        <w:t xml:space="preserve">"Snapshot detectable" is thus now a measured finding for these benchmarks, not an assumption (Table 1,</w:t>
      </w:r>
      <w:r>
        <w:t xml:space="preserve"> </w:t>
      </w:r>
      <w:r>
        <w:t xml:space="preserve">Section 8). Because the public benchmarks are small and snapshot-detectable, we added a benchmark-scale</w:t>
      </w:r>
      <w:r>
        <w:t xml:space="preserve"> </w:t>
      </w:r>
      <w:r>
        <w:t xml:space="preserve">discussion (Section 2.5, Section 8) arguing that exercising A8 to A10 further requires operational-scale data</w:t>
      </w:r>
      <w:r>
        <w:t xml:space="preserve"> </w:t>
      </w:r>
      <w:r>
        <w:t xml:space="preserve">with history-dependent faults.</w:t>
      </w:r>
    </w:p>
    <w:bookmarkEnd w:id="20"/>
    <w:bookmarkStart w:id="21" w:name="X5ca7be4bb510d066e129f16835a3b24352fac87"/>
    <w:p>
      <w:pPr>
        <w:pStyle w:val="Heading2"/>
      </w:pPr>
      <w:r>
        <w:t xml:space="preserve">Comment 2. The nearest-component likelihood lacks direct support: compare mixture NLL, nearest-component NLL, and other imbalance-aware scores across regime-imbalance ratios, with attention to the false-positive rate of rare normal regimes.</w:t>
      </w:r>
    </w:p>
    <w:p>
      <w:pPr>
        <w:pStyle w:val="BlockText"/>
      </w:pPr>
      <w:r>
        <w:t xml:space="preserve">The rare-regime-safe nearest-component likelihood in this manuscript lacks direct experimental</w:t>
      </w:r>
      <w:r>
        <w:t xml:space="preserve"> </w:t>
      </w:r>
      <w:r>
        <w:t xml:space="preserve">support. Experiments under different regime imbalance ratios should compare mixture NLL, nearest-component</w:t>
      </w:r>
      <w:r>
        <w:t xml:space="preserve"> </w:t>
      </w:r>
      <w:r>
        <w:t xml:space="preserve">NLL, and other imbalance-aware scoring methods, with more attention to the false-positive rate of rare normal</w:t>
      </w:r>
      <w:r>
        <w:t xml:space="preserve"> </w:t>
      </w:r>
      <w:r>
        <w:t xml:space="preserve">regimes.</w:t>
      </w:r>
    </w:p>
    <w:p>
      <w:pPr>
        <w:pStyle w:val="FirstParagraph"/>
      </w:pPr>
      <w:r>
        <w:rPr>
          <w:b/>
          <w:bCs/>
        </w:rPr>
        <w:t xml:space="preserve">Response: change made (new Appendix E) plus head-level isolation.</w:t>
      </w:r>
      <w:r>
        <w:t xml:space="preserve"> </w:t>
      </w:r>
      <w:r>
        <w:t xml:space="preserve">We agree the term needs</w:t>
      </w:r>
      <w:r>
        <w:t xml:space="preserve"> </w:t>
      </w:r>
      <w:r>
        <w:t xml:space="preserve">direct support, and the rare-occupancy threshold sweep isolates its role. The nearest-component likelihood is isolated as a</w:t>
      </w:r>
      <w:r>
        <w:t xml:space="preserve"> </w:t>
      </w:r>
      <w:r>
        <w:t xml:space="preserve">standalone score head in Table A5, with difficult-subset AUROC 0.603 on WADI, 0.797 on HAI, and 0.479 on</w:t>
      </w:r>
      <w:r>
        <w:t xml:space="preserve"> </w:t>
      </w:r>
      <w:r>
        <w:t xml:space="preserve">SWaT, beside the mixture density and the density-plus-nearest base; its rationale is stated as assumption A5</w:t>
      </w:r>
      <w:r>
        <w:t xml:space="preserve"> </w:t>
      </w:r>
      <w:r>
        <w:t xml:space="preserve">in Table 1 ("score against the nearest component, never the weighted mixture, so a rare-but-valid regime is</w:t>
      </w:r>
      <w:r>
        <w:t xml:space="preserve"> </w:t>
      </w:r>
      <w:r>
        <w:t xml:space="preserve">not penalized"). It is a rare-regime safety term: it keeps a valid window in a sparsely populated regime from</w:t>
      </w:r>
      <w:r>
        <w:t xml:space="preserve"> </w:t>
      </w:r>
      <w:r>
        <w:t xml:space="preserve">being flagged for rarity alone, protecting the false-alarm rate rather than raising the aggregate score, so on</w:t>
      </w:r>
      <w:r>
        <w:t xml:space="preserve"> </w:t>
      </w:r>
      <w:r>
        <w:t xml:space="preserve">a dataset without such rare-regime false alarms it can sit marginally below the density head alone (Table A5,</w:t>
      </w:r>
      <w:r>
        <w:t xml:space="preserve"> </w:t>
      </w:r>
      <w:r>
        <w:t xml:space="preserve">WADI; Section 4.3 ii).</w:t>
      </w:r>
    </w:p>
    <w:p>
      <w:pPr>
        <w:pStyle w:val="BodyText"/>
      </w:pPr>
      <w:r>
        <w:t xml:space="preserve">We now measure the false-positive behavior you ask about directly. Appendix E runs the</w:t>
      </w:r>
      <w:r>
        <w:t xml:space="preserve"> </w:t>
      </w:r>
      <w:r>
        <w:t xml:space="preserve">comparison on the 3W oil-well dataset, which has genuinely imbalanced regime occupancy: at a matched</w:t>
      </w:r>
      <w:r>
        <w:t xml:space="preserve"> </w:t>
      </w:r>
      <w:r>
        <w:t xml:space="preserve">false-alarm rate the nearest-component score removes the mixture's rare-regime false alarms (from 17, 17, 23</w:t>
      </w:r>
      <w:r>
        <w:t xml:space="preserve"> </w:t>
      </w:r>
      <w:r>
        <w:t xml:space="preserve">to 11, 9, 16 across three seeds). Sweeping the rare-occupancy threshold (2, 5, and 10 percent) against three</w:t>
      </w:r>
      <w:r>
        <w:t xml:space="preserve"> </w:t>
      </w:r>
      <w:r>
        <w:t xml:space="preserve">imbalance-aware alternatives (a uniform-prior mixture, a tempered π</w:t>
      </w:r>
      <w:r>
        <w:rPr>
          <w:vertAlign w:val="superscript"/>
        </w:rPr>
        <w:t xml:space="preserve">0.5</w:t>
      </w:r>
      <w:r>
        <w:t xml:space="preserve"> </w:t>
      </w:r>
      <w:r>
        <w:t xml:space="preserve">mixture, and a kNN latent</w:t>
      </w:r>
      <w:r>
        <w:t xml:space="preserve"> </w:t>
      </w:r>
      <w:r>
        <w:t xml:space="preserve">density), nearest-component is at or below every alternative at every threshold (at 5 percent, 0.148 versus</w:t>
      </w:r>
      <w:r>
        <w:t xml:space="preserve"> </w:t>
      </w:r>
      <w:r>
        <w:t xml:space="preserve">0.210 for the π-weighted mixture, with the prior-flattening alternatives in between; Table E2), so the</w:t>
      </w:r>
      <w:r>
        <w:t xml:space="preserve"> </w:t>
      </w:r>
      <w:r>
        <w:t xml:space="preserve">benefit is specifically removal of the −log π rare-regime penalty, not generic</w:t>
      </w:r>
      <w:r>
        <w:t xml:space="preserve"> </w:t>
      </w:r>
      <w:r>
        <w:t xml:space="preserve">imbalance-awareness. At the genuinely rare thresholds (5 percent occupancy and below) nearest never adds a</w:t>
      </w:r>
      <w:r>
        <w:t xml:space="preserve"> </w:t>
      </w:r>
      <w:r>
        <w:t xml:space="preserve">rare-regime false alarm (0 of 30 cases per threshold); at a looser 10 percent threshold it can redistribute a</w:t>
      </w:r>
      <w:r>
        <w:t xml:space="preserve"> </w:t>
      </w:r>
      <w:r>
        <w:t xml:space="preserve">few flags onto moderately-common tails (1 of 30). Difficult-subset detection is unchanged (true-positive rate at 5 percent false-alarm</w:t>
      </w:r>
      <w:r>
        <w:t xml:space="preserve"> </w:t>
      </w:r>
      <w:r>
        <w:t xml:space="preserve">+0.007 ± 0.068). The property is defensive by design, and the single-mode benchmarks cannot</w:t>
      </w:r>
      <w:r>
        <w:t xml:space="preserve"> </w:t>
      </w:r>
      <w:r>
        <w:t xml:space="preserve">exhibit it.</w:t>
      </w:r>
    </w:p>
    <w:bookmarkEnd w:id="21"/>
    <w:bookmarkStart w:id="22" w:name="X83734c3127c74857e364cf1918d917998e178c7"/>
    <w:p>
      <w:pPr>
        <w:pStyle w:val="Heading2"/>
      </w:pPr>
      <w:r>
        <w:t xml:space="preserve">Comment 3. The connection to industrial-IoT is limited; cite two suggested LoRa/LPWAN papers.</w:t>
      </w:r>
    </w:p>
    <w:p>
      <w:pPr>
        <w:pStyle w:val="BlockText"/>
      </w:pPr>
      <w:r>
        <w:t xml:space="preserve">The connection to industrial-IoT system remains limited, and please cite the following important</w:t>
      </w:r>
      <w:r>
        <w:t xml:space="preserve"> </w:t>
      </w:r>
      <w:r>
        <w:t xml:space="preserve">papers: [1] Chen, Ciyuan, et al. "Enhancing Link Performance for Mobile LoRa Networks." IEEE Transactions on</w:t>
      </w:r>
      <w:r>
        <w:t xml:space="preserve"> </w:t>
      </w:r>
      <w:r>
        <w:t xml:space="preserve">Mobile Computing (2025). [2] Xu, Zhuqing, et al. "Leveraging imperfect-orthogonality aware scheduling for high</w:t>
      </w:r>
      <w:r>
        <w:t xml:space="preserve"> </w:t>
      </w:r>
      <w:r>
        <w:t xml:space="preserve">scalability in LPWAN." IEEE Transactions on Mobile Computing 23.10 (2024): 10111-10129.</w:t>
      </w:r>
    </w:p>
    <w:p>
      <w:pPr>
        <w:pStyle w:val="FirstParagraph"/>
      </w:pPr>
      <w:r>
        <w:rPr>
          <w:b/>
          <w:bCs/>
        </w:rPr>
        <w:t xml:space="preserve">Response: industrial-IoT connection strengthened.</w:t>
      </w:r>
      <w:r>
        <w:t xml:space="preserve"> </w:t>
      </w:r>
      <w:r>
        <w:t xml:space="preserve">We agree the</w:t>
      </w:r>
      <w:r>
        <w:t xml:space="preserve"> </w:t>
      </w:r>
      <w:r>
        <w:t xml:space="preserve">industrial-IoT framing should be more explicit, and we have deepened it throughout the revision. Section 1 now</w:t>
      </w:r>
      <w:r>
        <w:t xml:space="preserve"> </w:t>
      </w:r>
      <w:r>
        <w:t xml:space="preserve">opens inside the IIoT stack: a cyber-physical system couples networked sensors, actuators, and controllers with</w:t>
      </w:r>
      <w:r>
        <w:t xml:space="preserve"> </w:t>
      </w:r>
      <w:r>
        <w:t xml:space="preserve">a physical process and forms the sensing-and-actuation layer of the Industrial Internet of Things, and anomaly</w:t>
      </w:r>
      <w:r>
        <w:t xml:space="preserve"> </w:t>
      </w:r>
      <w:r>
        <w:t xml:space="preserve">detection is a core reliability-and-security function of that layer, monitored from streaming telemetry</w:t>
      </w:r>
      <w:r>
        <w:t xml:space="preserve"> </w:t>
      </w:r>
      <w:r>
        <w:t xml:space="preserve">[</w:t>
      </w:r>
      <w:hyperlink w:anchor="r-iotsurvey">
        <w:r>
          <w:rPr>
            <w:rStyle w:val="Hyperlink"/>
          </w:rPr>
          <w:t xml:space="preserve">5</w:t>
        </w:r>
      </w:hyperlink>
      <w:r>
        <w:t xml:space="preserve">, </w:t>
      </w:r>
      <w:hyperlink w:anchor="r-iottaxon">
        <w:r>
          <w:rPr>
            <w:rStyle w:val="Hyperlink"/>
          </w:rPr>
          <w:t xml:space="preserve">6</w:t>
        </w:r>
      </w:hyperlink>
      <w:r>
        <w:t xml:space="preserve">]. Section 2.1 makes the edge thread explicit:</w:t>
      </w:r>
      <w:r>
        <w:t xml:space="preserve"> </w:t>
      </w:r>
      <w:r>
        <w:t xml:space="preserve">detection is increasingly pushed onto gateways and industrial edge nodes to cut telemetry backhaul and enable</w:t>
      </w:r>
      <w:r>
        <w:t xml:space="preserve"> </w:t>
      </w:r>
      <w:r>
        <w:t xml:space="preserve">local response, under the compute, memory, and latency budgets that shape model design</w:t>
      </w:r>
      <w:r>
        <w:t xml:space="preserve"> </w:t>
      </w:r>
      <w:r>
        <w:t xml:space="preserve">[</w:t>
      </w:r>
      <w:hyperlink w:anchor="r-edgeint">
        <w:r>
          <w:rPr>
            <w:rStyle w:val="Hyperlink"/>
          </w:rPr>
          <w:t xml:space="preserve">14</w:t>
        </w:r>
      </w:hyperlink>
      <w:r>
        <w:t xml:space="preserve">–</w:t>
      </w:r>
      <w:hyperlink w:anchor="r-iotedgeai">
        <w:r>
          <w:rPr>
            <w:rStyle w:val="Hyperlink"/>
          </w:rPr>
          <w:t xml:space="preserve">16</w:t>
        </w:r>
      </w:hyperlink>
      <w:r>
        <w:t xml:space="preserve">], which now connects directly to the</w:t>
      </w:r>
      <w:r>
        <w:t xml:space="preserve"> </w:t>
      </w:r>
      <w:r>
        <w:t xml:space="preserve">edge-deployment cost measurements we added in Appendix B and Table B1. We also added evidence that fleet-scale</w:t>
      </w:r>
      <w:r>
        <w:t xml:space="preserve"> </w:t>
      </w:r>
      <w:r>
        <w:t xml:space="preserve">IIoT heterogeneity motivates the core design: global models trained across many devices, subsystems, and</w:t>
      </w:r>
      <w:r>
        <w:t xml:space="preserve"> </w:t>
      </w:r>
      <w:r>
        <w:t xml:space="preserve">regimes develop detection blind spots that subsystem-specific models recover [</w:t>
      </w:r>
      <w:hyperlink w:anchor="r-islam">
        <w:r>
          <w:rPr>
            <w:rStyle w:val="Hyperlink"/>
          </w:rPr>
          <w:t xml:space="preserve">17</w:t>
        </w:r>
      </w:hyperlink>
      <w:r>
        <w:t xml:space="preserve">], the</w:t>
      </w:r>
      <w:r>
        <w:t xml:space="preserve"> </w:t>
      </w:r>
      <w:r>
        <w:t xml:space="preserve">direct rationale for factorizing the density over correlation-community subsystems. Figure 1 now shows where</w:t>
      </w:r>
      <w:r>
        <w:t xml:space="preserve"> </w:t>
      </w:r>
      <w:r>
        <w:t xml:space="preserve">LatAD sits in the IIoT monitoring context (field sensors and PLCs feeding an edge gateway or SCADA historian,</w:t>
      </w:r>
      <w:r>
        <w:t xml:space="preserve"> </w:t>
      </w:r>
      <w:r>
        <w:t xml:space="preserve">LatAD scoring each completed window online, and the alarm plus most-surprised subsystem forwarded to the</w:t>
      </w:r>
      <w:r>
        <w:t xml:space="preserve"> </w:t>
      </w:r>
      <w:r>
        <w:t xml:space="preserve">operator). The two suggested references address the LoRa link and LPWAN scheduling layer of wireless</w:t>
      </w:r>
      <w:r>
        <w:t xml:space="preserve"> </w:t>
      </w:r>
      <w:r>
        <w:t xml:space="preserve">connectivity; this paper operates on the process-telemetry layer above it, so we strengthened the industrial-IoT</w:t>
      </w:r>
      <w:r>
        <w:t xml:space="preserve"> </w:t>
      </w:r>
      <w:r>
        <w:t xml:space="preserve">connection through the sensing, edge-inference, and heterogeneity references cited above.</w:t>
      </w:r>
    </w:p>
    <w:bookmarkEnd w:id="22"/>
    <w:bookmarkStart w:id="23" w:name="Xca984418ba998d9586a9287edc3586ca42bce8d"/>
    <w:p>
      <w:pPr>
        <w:pStyle w:val="Heading2"/>
      </w:pPr>
      <w:r>
        <w:t xml:space="preserve">Comment 4. The regime-community design trains many models; evaluate its practical cost under the same hardware as the baselines.</w:t>
      </w:r>
    </w:p>
    <w:p>
      <w:pPr>
        <w:pStyle w:val="BlockText"/>
      </w:pPr>
      <w:r>
        <w:t xml:space="preserve">The regime-community design in this manuscript trains separate representation and density models</w:t>
      </w:r>
      <w:r>
        <w:t xml:space="preserve"> </w:t>
      </w:r>
      <w:r>
        <w:t xml:space="preserve">for many communities, which may introduce much higher cost than a single global detector. More experiments</w:t>
      </w:r>
      <w:r>
        <w:t xml:space="preserve"> </w:t>
      </w:r>
      <w:r>
        <w:t xml:space="preserve">are needed to evaluate the practical cost of this design under the same hardware setting as the main</w:t>
      </w:r>
      <w:r>
        <w:t xml:space="preserve"> </w:t>
      </w:r>
      <w:r>
        <w:t xml:space="preserve">baselines.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We agree the added cost should be quantified. We</w:t>
      </w:r>
      <w:r>
        <w:t xml:space="preserve"> </w:t>
      </w:r>
      <w:r>
        <w:t xml:space="preserve">added Appendix B and Table B1, reporting parameter count, training wall-clock, per-window</w:t>
      </w:r>
      <w:r>
        <w:t xml:space="preserve"> </w:t>
      </w:r>
      <w:r>
        <w:t xml:space="preserve">inference latency, peak GPU memory, and host memory for LatAD (global and regime-community) and the deep</w:t>
      </w:r>
      <w:r>
        <w:t xml:space="preserve"> </w:t>
      </w:r>
      <w:r>
        <w:t xml:space="preserve">baselines on one Modal A10G GPU (24 GB) plus a Modal 8-vCPU CPU edge proxy, the same hardware for every</w:t>
      </w:r>
      <w:r>
        <w:t xml:space="preserve"> </w:t>
      </w:r>
      <w:r>
        <w:t xml:space="preserve">method. The regime-community stack does instantiate one small density model per subsystem, at a cost Table B1</w:t>
      </w:r>
      <w:r>
        <w:t xml:space="preserve"> </w:t>
      </w:r>
      <w:r>
        <w:t xml:space="preserve">quantifies: training 50 / 195 / 38 s on WADI / HAI / SWaT and per-window latency of 17 to 32 ms (up to about</w:t>
      </w:r>
      <w:r>
        <w:t xml:space="preserve"> </w:t>
      </w:r>
      <w:r>
        <w:t xml:space="preserve">52 ms at batch 256), against LatAD-global at 3.2 / 16 / 3.5 s and 0.7 to 13 ms. Even so, LatAD-global trains</w:t>
      </w:r>
      <w:r>
        <w:t xml:space="preserve"> </w:t>
      </w:r>
      <w:r>
        <w:t xml:space="preserve">roughly 47 to 72 times faster than TranAD (231 / 898 / 163 s), both configurations use only about 19 to 29 MB</w:t>
      </w:r>
      <w:r>
        <w:t xml:space="preserve"> </w:t>
      </w:r>
      <w:r>
        <w:t xml:space="preserve">of GPU memory and run within about 3.5 to 3.9 GB of host memory, and both stay inside gateway-class real-time</w:t>
      </w:r>
      <w:r>
        <w:t xml:space="preserve"> </w:t>
      </w:r>
      <w:r>
        <w:t xml:space="preserve">budgets on the CPU edge proxy. Section 4.4 now states the architecture (a separate small VaDE per community,</w:t>
      </w:r>
      <w:r>
        <w:t xml:space="preserve"> </w:t>
      </w:r>
      <w:r>
        <w:t xml:space="preserve">nothing shared but the input window features, plus one whole-plant expert), and the deployment paragraph in</w:t>
      </w:r>
      <w:r>
        <w:t xml:space="preserve"> </w:t>
      </w:r>
      <w:r>
        <w:t xml:space="preserve">Section 8 points at these numbers.</w:t>
      </w:r>
    </w:p>
    <w:bookmarkEnd w:id="23"/>
    <w:bookmarkStart w:id="24" w:name="Xa60c53663f94afdb36c9625295a60fbd7eb1c96"/>
    <w:p>
      <w:pPr>
        <w:pStyle w:val="Heading2"/>
      </w:pPr>
      <w:r>
        <w:t xml:space="preserve">Comment 5. Sliding windows are strongly time-correlated; use a time-aware test on all three datasets, and clarify the WADI confidence interval and p-value.</w:t>
      </w:r>
    </w:p>
    <w:p>
      <w:pPr>
        <w:pStyle w:val="BlockText"/>
      </w:pPr>
      <w:r>
        <w:t xml:space="preserve">The sliding windows in this manuscript are strongly correlated in time, so ordinary resampling may</w:t>
      </w:r>
      <w:r>
        <w:t xml:space="preserve"> </w:t>
      </w:r>
      <w:r>
        <w:t xml:space="preserve">underestimate the confidence interval. A time-aware statistical test should be used on all three datasets, and</w:t>
      </w:r>
      <w:r>
        <w:t xml:space="preserve"> </w:t>
      </w:r>
      <w:r>
        <w:t xml:space="preserve">the definition of the confidence interval and p-value on WADI should be clarified.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We agree that time correlation matters here.</w:t>
      </w:r>
      <w:r>
        <w:t xml:space="preserve"> </w:t>
      </w:r>
      <w:r>
        <w:t xml:space="preserve">Every significance statement now uses an episode-block bootstrap that resamples whole attack episodes together</w:t>
      </w:r>
      <w:r>
        <w:t xml:space="preserve"> </w:t>
      </w:r>
      <w:r>
        <w:t xml:space="preserve">with contiguous normal blocks, rather than independent windows, applied uniformly to all three datasets and to</w:t>
      </w:r>
      <w:r>
        <w:t xml:space="preserve"> </w:t>
      </w:r>
      <w:r>
        <w:t xml:space="preserve">every confidence interval and P-value (defined in Section 5.4; results in Section 6, Figure 3). The confidence</w:t>
      </w:r>
      <w:r>
        <w:t xml:space="preserve"> </w:t>
      </w:r>
      <w:r>
        <w:t xml:space="preserve">interval is the two-sided 2.5 / 97.5 percentile of the paired difference; P is the one-sided bootstrap</w:t>
      </w:r>
      <w:r>
        <w:t xml:space="preserve"> </w:t>
      </w:r>
      <w:r>
        <w:t xml:space="preserve">probability that the difference is at most zero. The block length exceeds the window-overlap span, and the</w:t>
      </w:r>
      <w:r>
        <w:t xml:space="preserve"> </w:t>
      </w:r>
      <w:r>
        <w:t xml:space="preserve">verdicts are unchanged when it is instead selected from the empirical serial dependence (the</w:t>
      </w:r>
      <w:r>
        <w:t xml:space="preserve"> </w:t>
      </w:r>
      <w:r>
        <w:t xml:space="preserve">autocorrelation-decay length: 264 windows on HAI, 3 on WADI, 4 on SWaT) and under a seed-hierarchical resample</w:t>
      </w:r>
      <w:r>
        <w:t xml:space="preserve"> </w:t>
      </w:r>
      <w:r>
        <w:t xml:space="preserve">over the five training seeds, so the conclusions do not depend on the block choice.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HAI difficult subset:</w:t>
      </w:r>
      <w:r>
        <w:t xml:space="preserve"> </w:t>
      </w:r>
      <w:r>
        <w:t xml:space="preserve">+0.088, 95 percent CI [0.042, 0.157], P &lt; 0.0005 (167 windows, 26</w:t>
      </w:r>
      <w:r>
        <w:t xml:space="preserve"> </w:t>
      </w:r>
      <w:r>
        <w:t xml:space="preserve">episodes).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SWaT difficult subset (91 windows, 23 episodes):</w:t>
      </w:r>
      <w:r>
        <w:t xml:space="preserve"> </w:t>
      </w:r>
      <w:r>
        <w:t xml:space="preserve">the raw community score ties the</w:t>
      </w:r>
      <w:r>
        <w:t xml:space="preserve"> </w:t>
      </w:r>
      <w:r>
        <w:t xml:space="preserve">strongest linear baseline (95 percent CI including zero); it becomes significant only after the drift-aware</w:t>
      </w:r>
      <w:r>
        <w:t xml:space="preserve"> </w:t>
      </w:r>
      <w:r>
        <w:t xml:space="preserve">typing of Section 7, +0.200 (95 percent CI [0.018, 0.355], P = 0.014).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WADI difficult subset (clarified):</w:t>
      </w:r>
      <w:r>
        <w:t xml:space="preserve"> </w:t>
      </w:r>
      <w:r>
        <w:t xml:space="preserve">LatAD (0.771) is significantly ahead of every learned detector</w:t>
      </w:r>
      <w:r>
        <w:t xml:space="preserve"> </w:t>
      </w:r>
      <w:r>
        <w:t xml:space="preserve">by the same per-detector episode-block bootstrap, each cleared with P &lt; 0.05: vs AutoEncoder +0.143</w:t>
      </w:r>
      <w:r>
        <w:t xml:space="preserve"> </w:t>
      </w:r>
      <w:r>
        <w:t xml:space="preserve">(P = 0.001), USAD +0.192 (P &lt; 0.0005), TranAD +0.157 (P = 0.0005), Isolation Forest +0.136 (P &lt; 0.0005), and</w:t>
      </w:r>
      <w:r>
        <w:t xml:space="preserve"> </w:t>
      </w:r>
      <w:r>
        <w:t xml:space="preserve">GDN +0.111 (P &lt; 0.0005). It ties only the linear baseline LinRes (0.750): +0.020, 95 percent CI</w:t>
      </w:r>
      <w:r>
        <w:t xml:space="preserve"> </w:t>
      </w:r>
      <w:r>
        <w:t xml:space="preserve">[-0.161, 0.205], P = 0.46 over 8 attack episodes, not statistically separable at that episode count.</w:t>
      </w:r>
    </w:p>
    <w:p>
      <w:pPr>
        <w:pStyle w:val="FirstParagraph"/>
      </w:pPr>
      <w:r>
        <w:t xml:space="preserve">On the double-hard subset LatAD holds a numerical lead of +0.101 on HAI (13 episodes)</w:t>
      </w:r>
      <w:r>
        <w:t xml:space="preserve"> </w:t>
      </w:r>
      <w:r>
        <w:t xml:space="preserve">and +0.021 on WADI (8 episodes); on SWaT the raw double-hard score is drift-dominated (0.178) and the</w:t>
      </w:r>
      <w:r>
        <w:t xml:space="preserve"> </w:t>
      </w:r>
      <w:r>
        <w:t xml:space="preserve">drift-aware typing of Section 7 recovers it to 0.671, a significant +0.493 (95 percent CI [0.349, 0.619],</w:t>
      </w:r>
      <w:r>
        <w:t xml:space="preserve"> </w:t>
      </w:r>
      <w:r>
        <w:t xml:space="preserve">P &lt; 0.001) over the raw score (Table A3). All intervals were recomputed from persisted scores, with no retraining.</w:t>
      </w:r>
    </w:p>
    <w:bookmarkEnd w:id="24"/>
    <w:bookmarkStart w:id="25" w:name="X40d8268bd7ab7e5539fe2d43aab722bc002b95b"/>
    <w:p>
      <w:pPr>
        <w:pStyle w:val="Heading2"/>
      </w:pPr>
      <w:r>
        <w:t xml:space="preserve">Comment 6. Six static window statistics: run raw-sequential, temporal, or spectral experiments and ablations to verify whether the gain comes from cross-channel density or from the window representation.</w:t>
      </w:r>
    </w:p>
    <w:p>
      <w:pPr>
        <w:pStyle w:val="BlockText"/>
      </w:pPr>
      <w:r>
        <w:t xml:space="preserve">This manuscript mainly uses six static statistics from each window, so the source of the performance</w:t>
      </w:r>
      <w:r>
        <w:t xml:space="preserve"> </w:t>
      </w:r>
      <w:r>
        <w:t xml:space="preserve">gain is still unclear. Experiments with raw sequential input and temporal or spectral information are needed</w:t>
      </w:r>
      <w:r>
        <w:t xml:space="preserve"> </w:t>
      </w:r>
      <w:r>
        <w:t xml:space="preserve">to verify whether the gain mainly comes from cross-channel density modeling or from the current window</w:t>
      </w:r>
      <w:r>
        <w:t xml:space="preserve"> </w:t>
      </w:r>
      <w:r>
        <w:t xml:space="preserve">representation.</w:t>
      </w:r>
    </w:p>
    <w:p>
      <w:pPr>
        <w:pStyle w:val="FirstParagraph"/>
      </w:pPr>
      <w:r>
        <w:rPr>
          <w:b/>
          <w:bCs/>
        </w:rPr>
        <w:t xml:space="preserve">Response: change made, the source of the gain is now isolated.</w:t>
      </w:r>
      <w:r>
        <w:t xml:space="preserve"> </w:t>
      </w:r>
      <w:r>
        <w:t xml:space="preserve">We agree</w:t>
      </w:r>
      <w:r>
        <w:t xml:space="preserve"> </w:t>
      </w:r>
      <w:r>
        <w:t xml:space="preserve">this needs isolating, and Table A4 (cited from Section 6) does so directly. Table A4 swaps the</w:t>
      </w:r>
      <w:r>
        <w:t xml:space="preserve"> </w:t>
      </w:r>
      <w:r>
        <w:t xml:space="preserve">cross-channel latent density for a channel-independent product of per-channel densities, holding the</w:t>
      </w:r>
      <w:r>
        <w:t xml:space="preserve"> </w:t>
      </w:r>
      <w:r>
        <w:t xml:space="preserve">representation fixed: the cross-channel density adds</w:t>
      </w:r>
      <w:r>
        <w:t xml:space="preserve"> </w:t>
      </w:r>
      <w:r>
        <w:rPr>
          <w:b/>
          <w:bCs/>
        </w:rPr>
        <w:t xml:space="preserve">+0.200 on HAI</w:t>
      </w:r>
      <w:r>
        <w:t xml:space="preserve">, essentially nothing on the WADI</w:t>
      </w:r>
      <w:r>
        <w:t xml:space="preserve"> </w:t>
      </w:r>
      <w:r>
        <w:t xml:space="preserve">difficult subset (+0.017), whose difficult anomalies are single-channel or linear so per-channel marginals</w:t>
      </w:r>
      <w:r>
        <w:t xml:space="preserve"> </w:t>
      </w:r>
      <w:r>
        <w:t xml:space="preserve">already suffice, and</w:t>
      </w:r>
      <w:r>
        <w:t xml:space="preserve"> </w:t>
      </w:r>
      <w:r>
        <w:rPr>
          <w:b/>
          <w:bCs/>
        </w:rPr>
        <w:t xml:space="preserve">does not exceed the per-channel product on SWaT (-0.050)</w:t>
      </w:r>
      <w:r>
        <w:t xml:space="preserve">. To address the</w:t>
      </w:r>
      <w:r>
        <w:t xml:space="preserve"> </w:t>
      </w:r>
      <w:r>
        <w:t xml:space="preserve">representation directly, Table A2 re-runs the same latent-density detector with a richer ten-feature temporal</w:t>
      </w:r>
      <w:r>
        <w:t xml:space="preserve"> </w:t>
      </w:r>
      <w:r>
        <w:t xml:space="preserve">and spectral representation in place of the six statistics: immaterial on WADI, +0.071 on HAI and +0.241 on</w:t>
      </w:r>
      <w:r>
        <w:t xml:space="preserve"> </w:t>
      </w:r>
      <w:r>
        <w:t xml:space="preserve">SWaT, so an expanded representation is a smaller complementary lever aligned with A9, not the source. We also</w:t>
      </w:r>
      <w:r>
        <w:t xml:space="preserve"> </w:t>
      </w:r>
      <w:r>
        <w:t xml:space="preserve">ran a raw per-timestep sequential-input variant, feeding the flattened 60-sample window with no statistical</w:t>
      </w:r>
      <w:r>
        <w:t xml:space="preserve"> </w:t>
      </w:r>
      <w:r>
        <w:t xml:space="preserve">reduction to the same detector under the same difficulty mask (five seeds): it strictly lowers the</w:t>
      </w:r>
      <w:r>
        <w:t xml:space="preserve"> </w:t>
      </w:r>
      <w:r>
        <w:t xml:space="preserve">difficult-subset AUROC on all three datasets, by 0.068 on WADI, 0.230 on HAI, and 0.060 on SWaT. The gain</w:t>
      </w:r>
      <w:r>
        <w:t xml:space="preserve"> </w:t>
      </w:r>
      <w:r>
        <w:t xml:space="preserve">therefore comes from the density mechanism applied to a compact, learnable representation, not from</w:t>
      </w:r>
      <w:r>
        <w:t xml:space="preserve"> </w:t>
      </w:r>
      <w:r>
        <w:t xml:space="preserve">information the six statistics withhold. The head-level decomposition (Table A5) and the factorization ladder</w:t>
      </w:r>
      <w:r>
        <w:t xml:space="preserve"> </w:t>
      </w:r>
      <w:r>
        <w:t xml:space="preserve">(Table A1) localize the same gain to the density heads and the regime-community factorization. The source is</w:t>
      </w:r>
      <w:r>
        <w:t xml:space="preserve"> </w:t>
      </w:r>
      <w:r>
        <w:t xml:space="preserve">dataset-specific: on HAI cross-channel density modeling (+0.200 over the per-channel product); on WADI the</w:t>
      </w:r>
      <w:r>
        <w:t xml:space="preserve"> </w:t>
      </w:r>
      <w:r>
        <w:t xml:space="preserve">regime-community factorization; on SWaT the temporal and drift structure (Section 7). In none of the three is</w:t>
      </w:r>
      <w:r>
        <w:t xml:space="preserve"> </w:t>
      </w:r>
      <w:r>
        <w:t xml:space="preserve">the window representation the source. Section 8 makes this most directly: the single latent-density head, with</w:t>
      </w:r>
      <w:r>
        <w:t xml:space="preserve"> </w:t>
      </w:r>
      <w:r>
        <w:t xml:space="preserve">no residual term and no factorization, beats the deep reconstruction detectors USAD and TranAD on the HAI and</w:t>
      </w:r>
      <w:r>
        <w:t xml:space="preserve"> </w:t>
      </w:r>
      <w:r>
        <w:t xml:space="preserve">WADI difficult subsets (Table A5; on SWaT the raw difficult subset is drift-dominated), isolating the density</w:t>
      </w:r>
      <w:r>
        <w:t xml:space="preserve"> </w:t>
      </w:r>
      <w:r>
        <w:t xml:space="preserve">mechanism from both the representation and the factorization.</w:t>
      </w:r>
    </w:p>
    <w:bookmarkEnd w:id="25"/>
    <w:bookmarkStart w:id="26" w:name="X9098bd254c62847906ca272885de024a5e2da13"/>
    <w:p>
      <w:pPr>
        <w:pStyle w:val="Heading2"/>
      </w:pPr>
      <w:r>
        <w:t xml:space="preserve">Evaluation-form items: English, figures and tables, and conclusions.</w:t>
      </w:r>
    </w:p>
    <w:p>
      <w:pPr>
        <w:pStyle w:val="BlockText"/>
      </w:pPr>
      <w:r>
        <w:t xml:space="preserve">The English could be improved to more clearly express the research. Figures and tables, and the</w:t>
      </w:r>
      <w:r>
        <w:t xml:space="preserve"> </w:t>
      </w:r>
      <w:r>
        <w:t xml:space="preserve">conclusions, should be improved.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We addressed each of these. We</w:t>
      </w:r>
      <w:r>
        <w:t xml:space="preserve"> </w:t>
      </w:r>
      <w:r>
        <w:t xml:space="preserve">revised the front matter and the longer sentences, and a language pass over the whole manuscript is applied to</w:t>
      </w:r>
      <w:r>
        <w:t xml:space="preserve"> </w:t>
      </w:r>
      <w:r>
        <w:t xml:space="preserve">the submitted version. Two vector figures were added (Figure 1, the IIoT system-model context; Figure 2, the</w:t>
      </w:r>
      <w:r>
        <w:t xml:space="preserve"> </w:t>
      </w:r>
      <w:r>
        <w:t xml:space="preserve">assumption-tagged LatAD workflow), the difficult-subset results chart is renumbered Figure 3 with a corrected</w:t>
      </w:r>
      <w:r>
        <w:t xml:space="preserve"> </w:t>
      </w:r>
      <w:r>
        <w:t xml:space="preserve">caption, and the result tables and Tables A1 to A5 were regenerated on the corrected, construct-matched data,</w:t>
      </w:r>
      <w:r>
        <w:t xml:space="preserve"> </w:t>
      </w:r>
      <w:r>
        <w:t xml:space="preserve">with GDN added as a new baseline in Table 2 and Figure 3. The Conclusion (Section 9) was rewritten to match</w:t>
      </w:r>
      <w:r>
        <w:t xml:space="preserve"> </w:t>
      </w:r>
      <w:r>
        <w:t xml:space="preserve">the scoped claims and the corrected significance pattern: the best All-subset AUROC of any learned detector on HAI, a significant margin on</w:t>
      </w:r>
      <w:r>
        <w:t xml:space="preserve"> </w:t>
      </w:r>
      <w:r>
        <w:t xml:space="preserve">HAI, a lead over every learned detector on WADI, and the drift-dominated SWaT difficult subset recovered to</w:t>
      </w:r>
      <w:r>
        <w:t xml:space="preserve"> </w:t>
      </w:r>
      <w:r>
        <w:t xml:space="preserve">0.723 by the drift-aware typing of Section 7.</w:t>
      </w:r>
    </w:p>
    <w:p>
      <w:pPr>
        <w:pStyle w:val="BodyText"/>
      </w:pPr>
      <w:r>
        <w:t xml:space="preserve">Thank you again for reviewing the manuscript. We believe the revision answers each</w:t>
      </w:r>
      <w:r>
        <w:t xml:space="preserve"> </w:t>
      </w:r>
      <w:r>
        <w:t xml:space="preserve">point, and where the answer is a limitation we have stated it plainly.</w:t>
      </w:r>
    </w:p>
    <w:p>
      <w:pPr>
        <w:pStyle w:val="BodyText"/>
      </w:pPr>
      <w:r>
        <w:t xml:space="preserve">Sincerely,</w:t>
      </w:r>
      <w:r>
        <w:br/>
      </w:r>
      <w:r>
        <w:t xml:space="preserve">Alexander Apartsin and Yehudit Aperstein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 1 - IoT-4522779</dc:title>
  <dc:creator/>
  <dc:language>en</dc:language>
  <cp:keywords/>
  <dcterms:created xsi:type="dcterms:W3CDTF">2026-09-21T18:15:21Z</dcterms:created>
  <dcterms:modified xsi:type="dcterms:W3CDTF">2026-09-21T18:15:21Z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