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and leads on the difficult subset over five seeds (0.690, 0.811, and 0.960).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attack benchmarks, and compare against classical baselines and against two deep detectors, USAD</w:t>
      </w:r>
      <w:r>
        <w:t xml:space="preserve"> </w:t>
      </w:r>
      <w:r>
        <w:t xml:space="preserve">and TranAD, re-computed with the same raw metrics (§5–6). The detector attains the best overall AUROC</w:t>
      </w:r>
      <w:r>
        <w:t xml:space="preserve"> </w:t>
      </w:r>
      <w:r>
        <w:t xml:space="preserve">on every dataset and leads the difficult column over five seeds, most decisively on HAI, where the difficult</w:t>
      </w:r>
      <w:r>
        <w:t xml:space="preserve"> </w:t>
      </w:r>
      <w:r>
        <w:t xml:space="preserve">faults break joint structure and the deep detectors collapse.</w:t>
      </w:r>
    </w:p>
    <w:p>
      <w:pPr>
        <w:pStyle w:val="MDPI31text"/>
        <w:ind w:left="2608"/>
      </w:pPr>
      <w:r>
        <w:t xml:space="preserve">We are explicit about scope. This study covers three datasets with a single trained model</w:t>
      </w:r>
      <w:r>
        <w:t xml:space="preserve"> </w:t>
      </w:r>
      <w:r>
        <w:t xml:space="preserve">per dataset; AUROC is reported as a five-seed mean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10</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11</w:t>
        </w:r>
      </w:hyperlink>
      <w:r>
        <w:t xml:space="preserve">] show this assumption is unreliable, because anomalies lying far from normal data can be reconstructed perfectly in practice, and Gong et al. [</w:t>
      </w:r>
      <w:hyperlink w:anchor="r-memae">
        <w:r>
          <w:rPr>
            <w:rStyle w:val="Hyperlink"/>
          </w:rPr>
          <w:t xml:space="preserve">12</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13</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14</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15</w:t>
        </w:r>
      </w:hyperlink>
      <w:r>
        <w:t xml:space="preserve">], a VAE with a Gaussian-mixture</w:t>
      </w:r>
      <w:r>
        <w:t xml:space="preserve"> </w:t>
      </w:r>
      <w:r>
        <w:t xml:space="preserve">latent prior that learns representation and clusters jointly. DAGMM [</w:t>
      </w:r>
      <w:hyperlink w:anchor="r-dagmm">
        <w:r>
          <w:rPr>
            <w:rStyle w:val="Hyperlink"/>
          </w:rPr>
          <w:t xml:space="preserve">16</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17</w:t>
        </w:r>
      </w:hyperlink>
      <w:r>
        <w:t xml:space="preserve">]. Classical baselines are Isolation Forest [</w:t>
      </w:r>
      <w:hyperlink w:anchor="r-if">
        <w:r>
          <w:rPr>
            <w:rStyle w:val="Hyperlink"/>
          </w:rPr>
          <w:t xml:space="preserve">18</w:t>
        </w:r>
      </w:hyperlink>
      <w:r>
        <w:t xml:space="preserve">] and a deep autoencoder [</w:t>
      </w:r>
      <w:hyperlink w:anchor="r-aead">
        <w:r>
          <w:rPr>
            <w:rStyle w:val="Hyperlink"/>
          </w:rPr>
          <w:t xml:space="preserve">19</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20</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benchmark USAD and TranAD, the reconstruction- and</w:t>
      </w:r>
      <w:r>
        <w:t xml:space="preserve"> </w:t>
      </w:r>
      <w:r>
        <w:t xml:space="preserve">transformer-based deep detectors, under the same raw, difficulty-stratified metrics; the re-scored comparison is</w:t>
      </w:r>
      <w:r>
        <w:t xml:space="preserve"> </w:t>
      </w:r>
      <w:r>
        <w:t xml:space="preserve">reported in §6.</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23</w:t>
        </w:r>
      </w:hyperlink>
      <w:r>
        <w:t xml:space="preserve">, </w:t>
      </w:r>
      <w:hyperlink w:anchor="r-vibdecomp">
        <w:r>
          <w:rPr>
            <w:rStyle w:val="Hyperlink"/>
          </w:rPr>
          <w:t xml:space="preserve">24</w:t>
        </w:r>
      </w:hyperlink>
      <w:r>
        <w:t xml:space="preserve">],</w:t>
      </w:r>
      <w:r>
        <w:t xml:space="preserve"> </w:t>
      </w:r>
      <w:r>
        <w:t xml:space="preserve">structural-health monitoring of rotorcraft components [</w:t>
      </w:r>
      <w:hyperlink w:anchor="r-bolt">
        <w:r>
          <w:rPr>
            <w:rStyle w:val="Hyperlink"/>
          </w:rPr>
          <w:t xml:space="preserve">25</w:t>
        </w:r>
      </w:hyperlink>
      <w:r>
        <w:t xml:space="preserve">], and fault prediction in</w:t>
      </w:r>
      <w:r>
        <w:t xml:space="preserve"> </w:t>
      </w:r>
      <w:r>
        <w:t xml:space="preserve">rotorcraft flight controls [</w:t>
      </w:r>
      <w:hyperlink w:anchor="r-rotorcraft">
        <w:r>
          <w:rPr>
            <w:rStyle w:val="Hyperlink"/>
          </w:rPr>
          <w:t xml:space="preserve">26</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27</w:t>
        </w:r>
      </w:hyperlink>
      <w:r>
        <w:t xml:space="preserve">] is a 123-channel water-distribution testbed from iTrust, and SWaT [</w:t>
      </w:r>
      <w:hyperlink w:anchor="r-swat">
        <w:r>
          <w:rPr>
            <w:rStyle w:val="Hyperlink"/>
          </w:rPr>
          <w:t xml:space="preserve">28</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29</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15</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16</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17</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retained as a safety mechanism for datasets with heavily overlapping modes, and stays inactive on all three</w:t>
      </w:r>
      <w:r>
        <w:t xml:space="preserve"> </w:t>
      </w:r>
      <w:r>
        <w:t xml:space="preserve">benchmarks here. Thus the reported model configures its two optional heads purely from training-normal statistics,</w:t>
      </w:r>
      <w:r>
        <w:t xml:space="preserve"> </w:t>
      </w:r>
      <w:r>
        <w:t xml:space="preserve">with no test-set 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27</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29</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28</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18</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20</w:t>
        </w:r>
      </w:hyperlink>
      <w:r>
        <w:t xml:space="preserve">] and TranAD</w:t>
      </w:r>
      <w:r>
        <w:t xml:space="preserve"> </w:t>
      </w:r>
      <w:r>
        <w:t xml:space="preserve">[</w:t>
      </w:r>
      <w:hyperlink w:anchor="r-tranad">
        <w:r>
          <w:rPr>
            <w:rStyle w:val="Hyperlink"/>
          </w:rPr>
          <w:t xml:space="preserve">21</w:t>
        </w:r>
      </w:hyperlink>
      <w:r>
        <w:t xml:space="preserve">] through the TranAD evaluation harness and score them with the</w:t>
      </w:r>
      <w:r>
        <w:t xml:space="preserve"> </w:t>
      </w:r>
      <w:r>
        <w:rPr>
          <w:i/>
          <w:iCs/>
        </w:rPr>
        <w:t xml:space="preserve">same raw point-wise</w:t>
      </w:r>
      <w:r>
        <w:rPr>
          <w:i/>
          <w:iCs/>
        </w:rPr>
        <w:t xml:space="preserve"> </w:t>
      </w:r>
      <w:r>
        <w:rPr>
          <w:i/>
          <w:iCs/>
        </w:rPr>
        <w:t xml:space="preserve">metrics</w:t>
      </w:r>
      <w:r>
        <w:t xml:space="preserve">, aggregating their per-timestep scores onto our window grid (with an integer-ratio correction for</w:t>
      </w:r>
      <w:r>
        <w:t xml:space="preserve"> </w:t>
      </w:r>
      <w:r>
        <w:t xml:space="preserve">HAI's downsampling).</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and the VaDE family) report AUROC as mean±standard deviation</w:t>
      </w:r>
      <w:r>
        <w:t xml:space="preserve"> </w:t>
      </w:r>
      <w:r>
        <w:t xml:space="preserve">over five seeds. Bold = best AUROC in that dataset×subset column (ties bolded jointly). “Ours”</w:t>
      </w:r>
      <w:r>
        <w:t xml:space="preserve"> </w:t>
      </w:r>
      <w:r>
        <w:t xml:space="preserve">=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0.698</w:t>
            </w:r>
          </w:p>
        </w:tc>
        <w:tc>
          <w:tcPr>
            <w:vAlign w:val="center"/>
          </w:tcPr>
          <w:p>
            <w:pPr>
              <w:pStyle w:val="Compact"/>
              <w:suppressAutoHyphens/>
              <w:jc w:val="center"/>
            </w:pPr>
            <w:r>
              <w:rPr>
                <w:sz w:val="18"/>
                <w:szCs w:val="18"/>
              </w:rPr>
              <w:t xml:space="preserve">0.516</w:t>
            </w:r>
          </w:p>
        </w:tc>
        <w:tc>
          <w:tcPr>
            <w:vAlign w:val="center"/>
          </w:tcPr>
          <w:p>
            <w:pPr>
              <w:pStyle w:val="Compact"/>
              <w:suppressAutoHyphens/>
              <w:jc w:val="center"/>
            </w:pPr>
            <w:r>
              <w:rPr>
                <w:sz w:val="18"/>
                <w:szCs w:val="18"/>
              </w:rPr>
              <w:t xml:space="preserve">0.901</w:t>
            </w:r>
          </w:p>
        </w:tc>
        <w:tc>
          <w:tcPr>
            <w:vAlign w:val="center"/>
          </w:tcPr>
          <w:p>
            <w:pPr>
              <w:pStyle w:val="Compact"/>
              <w:suppressAutoHyphens/>
              <w:jc w:val="center"/>
            </w:pPr>
            <w:r>
              <w:rPr>
                <w:sz w:val="18"/>
                <w:szCs w:val="18"/>
              </w:rPr>
              <w:t xml:space="preserve">0.658</w:t>
            </w:r>
          </w:p>
        </w:tc>
        <w:tc>
          <w:tcPr>
            <w:vAlign w:val="center"/>
          </w:tcPr>
          <w:p>
            <w:pPr>
              <w:pStyle w:val="Compact"/>
              <w:suppressAutoHyphens/>
              <w:jc w:val="center"/>
            </w:pPr>
            <w:r>
              <w:rPr>
                <w:sz w:val="18"/>
                <w:szCs w:val="18"/>
              </w:rPr>
              <w:t xml:space="preserve">0.303</w:t>
            </w:r>
          </w:p>
        </w:tc>
        <w:tc>
          <w:tcPr>
            <w:vAlign w:val="center"/>
          </w:tcPr>
          <w:p>
            <w:pPr>
              <w:pStyle w:val="Compact"/>
              <w:suppressAutoHyphens/>
              <w:jc w:val="center"/>
            </w:pPr>
            <w:r>
              <w:rPr>
                <w:sz w:val="18"/>
                <w:szCs w:val="18"/>
              </w:rPr>
              <w:t xml:space="preserve">0.033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0.721</w:t>
            </w:r>
          </w:p>
        </w:tc>
        <w:tc>
          <w:tcPr>
            <w:vAlign w:val="center"/>
          </w:tcPr>
          <w:p>
            <w:pPr>
              <w:pStyle w:val="Compact"/>
              <w:suppressAutoHyphens/>
              <w:jc w:val="center"/>
            </w:pPr>
            <w:r>
              <w:rPr>
                <w:sz w:val="18"/>
                <w:szCs w:val="18"/>
              </w:rPr>
              <w:t xml:space="preserve">0.556</w:t>
            </w:r>
          </w:p>
        </w:tc>
        <w:tc>
          <w:tcPr>
            <w:vAlign w:val="center"/>
          </w:tcPr>
          <w:p>
            <w:pPr>
              <w:pStyle w:val="Compact"/>
              <w:suppressAutoHyphens/>
              <w:jc w:val="center"/>
            </w:pPr>
            <w:r>
              <w:rPr>
                <w:sz w:val="18"/>
                <w:szCs w:val="18"/>
              </w:rPr>
              <w:t xml:space="preserve">0.921</w:t>
            </w:r>
          </w:p>
        </w:tc>
        <w:tc>
          <w:tcPr>
            <w:vAlign w:val="center"/>
          </w:tcPr>
          <w:p>
            <w:pPr>
              <w:pStyle w:val="Compact"/>
              <w:suppressAutoHyphens/>
              <w:jc w:val="center"/>
            </w:pPr>
            <w:r>
              <w:rPr>
                <w:sz w:val="18"/>
                <w:szCs w:val="18"/>
              </w:rPr>
              <w:t xml:space="preserve">0.686</w:t>
            </w:r>
          </w:p>
        </w:tc>
        <w:tc>
          <w:tcPr>
            <w:vAlign w:val="center"/>
          </w:tcPr>
          <w:p>
            <w:pPr>
              <w:pStyle w:val="Compact"/>
              <w:suppressAutoHyphens/>
              <w:jc w:val="center"/>
            </w:pPr>
            <w:r>
              <w:rPr>
                <w:sz w:val="18"/>
                <w:szCs w:val="18"/>
              </w:rPr>
              <w:t xml:space="preserve">0.333</w:t>
            </w:r>
          </w:p>
        </w:tc>
        <w:tc>
          <w:tcPr>
            <w:vAlign w:val="center"/>
          </w:tcPr>
          <w:p>
            <w:pPr>
              <w:pStyle w:val="Compact"/>
              <w:suppressAutoHyphens/>
              <w:jc w:val="center"/>
            </w:pPr>
            <w:r>
              <w:rPr>
                <w:sz w:val="18"/>
                <w:szCs w:val="18"/>
              </w:rPr>
              <w:t xml:space="preserve">0.039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0.849</w:t>
            </w:r>
          </w:p>
        </w:tc>
        <w:tc>
          <w:tcPr>
            <w:vAlign w:val="center"/>
          </w:tcPr>
          <w:p>
            <w:pPr>
              <w:pStyle w:val="Compact"/>
              <w:suppressAutoHyphens/>
              <w:jc w:val="center"/>
            </w:pPr>
            <w:r>
              <w:rPr>
                <w:sz w:val="18"/>
                <w:szCs w:val="18"/>
              </w:rPr>
              <w:t xml:space="preserve">0.706</w:t>
            </w:r>
          </w:p>
        </w:tc>
        <w:tc>
          <w:tcPr>
            <w:vAlign w:val="center"/>
          </w:tcPr>
          <w:p>
            <w:pPr>
              <w:pStyle w:val="Compact"/>
              <w:suppressAutoHyphens/>
              <w:jc w:val="center"/>
            </w:pPr>
            <w:r>
              <w:rPr>
                <w:sz w:val="18"/>
                <w:szCs w:val="18"/>
              </w:rPr>
              <w:t xml:space="preserve">0.970</w:t>
            </w:r>
          </w:p>
        </w:tc>
        <w:tc>
          <w:tcPr>
            <w:vAlign w:val="center"/>
          </w:tcPr>
          <w:p>
            <w:pPr>
              <w:pStyle w:val="Compact"/>
              <w:suppressAutoHyphens/>
              <w:jc w:val="center"/>
            </w:pPr>
            <w:r>
              <w:rPr>
                <w:sz w:val="18"/>
                <w:szCs w:val="18"/>
              </w:rPr>
              <w:t xml:space="preserve">0.841</w:t>
            </w:r>
          </w:p>
        </w:tc>
        <w:tc>
          <w:tcPr>
            <w:vAlign w:val="center"/>
          </w:tcPr>
          <w:p>
            <w:pPr>
              <w:pStyle w:val="Compact"/>
              <w:suppressAutoHyphens/>
              <w:jc w:val="center"/>
            </w:pPr>
            <w:r>
              <w:rPr>
                <w:sz w:val="18"/>
                <w:szCs w:val="18"/>
              </w:rPr>
              <w:t xml:space="preserve">0.497</w:t>
            </w:r>
          </w:p>
        </w:tc>
        <w:tc>
          <w:tcPr>
            <w:vAlign w:val="center"/>
          </w:tcPr>
          <w:p>
            <w:pPr>
              <w:pStyle w:val="Compact"/>
              <w:suppressAutoHyphens/>
              <w:jc w:val="center"/>
            </w:pPr>
            <w:r>
              <w:rPr>
                <w:sz w:val="18"/>
                <w:szCs w:val="18"/>
              </w:rPr>
              <w:t xml:space="preserve">0.023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w:t>
            </w:r>
          </w:p>
        </w:tc>
        <w:tc>
          <w:tcPr>
            <w:vAlign w:val="center"/>
          </w:tcPr>
          <w:p>
            <w:pPr>
              <w:pStyle w:val="Compact"/>
              <w:suppressAutoHyphens/>
              <w:jc w:val="center"/>
            </w:pPr>
            <w:r>
              <w:rPr>
                <w:sz w:val="18"/>
                <w:szCs w:val="18"/>
              </w:rPr>
              <w:t xml:space="preserve">0.825</w:t>
            </w:r>
          </w:p>
        </w:tc>
        <w:tc>
          <w:tcPr>
            <w:vAlign w:val="center"/>
          </w:tcPr>
          <w:p>
            <w:pPr>
              <w:pStyle w:val="Compact"/>
              <w:suppressAutoHyphens/>
              <w:jc w:val="center"/>
            </w:pPr>
            <w:r>
              <w:rPr>
                <w:sz w:val="18"/>
                <w:szCs w:val="18"/>
              </w:rPr>
              <w:t xml:space="preserve">0.445</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0.730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w:t>
            </w:r>
          </w:p>
        </w:tc>
        <w:tc>
          <w:tcPr>
            <w:vAlign w:val="center"/>
          </w:tcPr>
          <w:p>
            <w:pPr>
              <w:pStyle w:val="Compact"/>
              <w:suppressAutoHyphens/>
              <w:jc w:val="center"/>
            </w:pPr>
            <w:r>
              <w:rPr>
                <w:sz w:val="18"/>
                <w:szCs w:val="18"/>
              </w:rPr>
              <w:t xml:space="preserve">0.725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well above the AutoEncoder (0.757) and</w:t>
      </w:r>
      <w:r>
        <w:t xml:space="preserve"> </w:t>
      </w:r>
      <w:r>
        <w:t xml:space="preserve">far above the deep detectors USAD (0.497) and TranAD (0.445), which sit near chance. On WADI it reaches 0.690,</w:t>
      </w:r>
      <w:r>
        <w:t xml:space="preserve"> </w:t>
      </w:r>
      <w:r>
        <w:t xml:space="preserve">again the best of any method, with Isolation Forest the closest competitor (0.677) and the deep detectors</w:t>
      </w:r>
      <w:r>
        <w:t xml:space="preserve"> </w:t>
      </w:r>
      <w:r>
        <w:t xml:space="preserve">collapsing to 0.30–0.33. On SWaT the difficult subset is only mildly difficult: the trivial rule already</w:t>
      </w:r>
      <w:r>
        <w:t xml:space="preserve"> </w:t>
      </w:r>
      <w:r>
        <w:t xml:space="preserve">scores 0.943 there, so every method is strong (ours 0.960, the linear baseline 0.959), which indicates that SWaT</w:t>
      </w:r>
      <w:r>
        <w:t xml:space="preserve"> </w:t>
      </w:r>
      <w:r>
        <w:t xml:space="preserve">contains few genuine correlation-break anomalies.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they fall to 0.497 and 0.445</w:t>
      </w:r>
      <w:r>
        <w:t xml:space="preserve"> </w:t>
      </w:r>
      <w:r>
        <w:t xml:space="preserve">on HAI and to 0.303 and 0.333 on WADI, near or below chance and far below our 0.690–0.811, even while they</w:t>
      </w:r>
      <w:r>
        <w:t xml:space="preserve"> </w:t>
      </w:r>
      <w:r>
        <w:t xml:space="preserve">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5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for the learned detectors). The detector leads the difficult column on every dataset.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leads the difficult</w:t>
      </w:r>
      <w:r>
        <w:rPr>
          <w:b/>
          <w:bCs/>
        </w:rPr>
        <w:t xml:space="preserve"> </w:t>
      </w:r>
      <w:r>
        <w:rPr>
          <w:b/>
          <w:bCs/>
        </w:rPr>
        <w:t xml:space="preserve">column, over five seeds</w:t>
      </w:r>
      <w:r>
        <w:t xml:space="preserve">. The clearest demonstration is HAI, whose difficult faults genuinely break</w:t>
      </w:r>
      <w:r>
        <w:t xml:space="preserve"> </w:t>
      </w:r>
      <w:r>
        <w:t xml:space="preserve">joint structure: the detector reaches 0.811 while the deep detectors USAD and TranAD fall near chance</w:t>
      </w:r>
      <w:r>
        <w:t xml:space="preserve"> </w:t>
      </w:r>
      <w:r>
        <w:t xml:space="preserve">(0.45–0.50).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we drop reconstruction entirely and</w:t>
      </w:r>
      <w:r>
        <w:t xml:space="preserve"> </w:t>
      </w:r>
      <w:r>
        <w:t xml:space="preserve">score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and a basin-agreement head</w:t>
      </w:r>
      <w:r>
        <w:t xml:space="preserve"> </w:t>
      </w:r>
      <w:r>
        <w:t xml:space="preserve">(gated by the ambiguous-normal ratio). The single configuration VaDE-hard+resid(auto) then adapts itself: the</w:t>
      </w:r>
      <w:r>
        <w:t xml:space="preserve"> </w:t>
      </w:r>
      <w:r>
        <w:t xml:space="preserve">residual head activates on HAI and SWaT, where the fault leaves a whitened-residual signal, and stays off on</w:t>
      </w:r>
      <w:r>
        <w:t xml:space="preserve"> </w:t>
      </w:r>
      <w:r>
        <w:t xml:space="preserve">WADI, whose difficult faults are pure low-density 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 difficulty-stratified protocol on three real CPS attack</w:t>
      </w:r>
      <w:r>
        <w:t xml:space="preserve"> </w:t>
      </w:r>
      <w:r>
        <w:t xml:space="preserve">benchmarks, this detector attains the best overall AUROC on every dataset and leads the difficult subset over five</w:t>
      </w:r>
      <w:r>
        <w:t xml:space="preserve"> </w:t>
      </w:r>
      <w:r>
        <w:t xml:space="preserve">seeds, most decisively on HAI, where the difficult faults break joint structure and the reconstruction-based</w:t>
      </w:r>
      <w:r>
        <w:t xml:space="preserve"> </w:t>
      </w:r>
      <w:r>
        <w:t xml:space="preserve">detectors collapse.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the fix.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54"/>
    </w:p>
    <w:p>
      <w:pPr>
        <w:pStyle w:val="MDPI81references"/>
        <w:numPr>
          <w:ilvl w:val="0"/>
          <w:numId w:val="0"/>
        </w:numPr>
        <w:ind w:left="180" w:hanging="180"/>
      </w:pPr>
      <w:bookmarkStart w:id="5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56"/>
    </w:p>
    <w:p>
      <w:pPr>
        <w:pStyle w:val="MDPI81references"/>
        <w:numPr>
          <w:ilvl w:val="0"/>
          <w:numId w:val="0"/>
        </w:numPr>
        <w:ind w:left="180" w:hanging="180"/>
      </w:pPr>
      <w:bookmarkStart w:id="5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58"/>
    </w:p>
    <w:p>
      <w:pPr>
        <w:pStyle w:val="MDPI81references"/>
        <w:numPr>
          <w:ilvl w:val="0"/>
          <w:numId w:val="0"/>
        </w:numPr>
        <w:ind w:left="180" w:hanging="180"/>
      </w:pPr>
      <w:bookmarkStart w:id="6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60"/>
    </w:p>
    <w:p>
      <w:pPr>
        <w:pStyle w:val="MDPI81references"/>
        <w:numPr>
          <w:ilvl w:val="0"/>
          <w:numId w:val="0"/>
        </w:numPr>
        <w:ind w:left="180" w:hanging="180"/>
      </w:pPr>
      <w:bookmarkStart w:id="6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62"/>
    </w:p>
    <w:p>
      <w:pPr>
        <w:pStyle w:val="MDPI81references"/>
        <w:numPr>
          <w:ilvl w:val="0"/>
          <w:numId w:val="0"/>
        </w:numPr>
        <w:ind w:left="180" w:hanging="180"/>
      </w:pPr>
      <w:bookmarkStart w:id="6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64"/>
    </w:p>
    <w:p>
      <w:pPr>
        <w:pStyle w:val="MDPI81references"/>
        <w:numPr>
          <w:ilvl w:val="0"/>
          <w:numId w:val="0"/>
        </w:numPr>
        <w:ind w:left="180" w:hanging="180"/>
      </w:pPr>
      <w:bookmarkStart w:id="66"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66"/>
    </w:p>
    <w:p>
      <w:pPr>
        <w:pStyle w:val="MDPI81references"/>
        <w:numPr>
          <w:ilvl w:val="0"/>
          <w:numId w:val="0"/>
        </w:numPr>
        <w:ind w:left="180" w:hanging="180"/>
      </w:pPr>
      <w:bookmarkStart w:id="68"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68"/>
    </w:p>
    <w:p>
      <w:pPr>
        <w:pStyle w:val="MDPI81references"/>
        <w:numPr>
          <w:ilvl w:val="0"/>
          <w:numId w:val="0"/>
        </w:numPr>
        <w:ind w:left="180" w:hanging="180"/>
      </w:pPr>
      <w:bookmarkStart w:id="7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70"/>
    </w:p>
    <w:p>
      <w:pPr>
        <w:pStyle w:val="MDPI81references"/>
        <w:numPr>
          <w:ilvl w:val="0"/>
          <w:numId w:val="0"/>
        </w:numPr>
        <w:ind w:left="180" w:hanging="180"/>
      </w:pPr>
      <w:bookmarkStart w:id="72"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72"/>
    </w:p>
    <w:p>
      <w:pPr>
        <w:pStyle w:val="MDPI81references"/>
        <w:numPr>
          <w:ilvl w:val="0"/>
          <w:numId w:val="0"/>
        </w:numPr>
        <w:ind w:left="180" w:hanging="180"/>
      </w:pPr>
      <w:bookmarkStart w:id="74"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4"/>
    </w:p>
    <w:p>
      <w:pPr>
        <w:pStyle w:val="MDPI81references"/>
        <w:numPr>
          <w:ilvl w:val="0"/>
          <w:numId w:val="0"/>
        </w:numPr>
        <w:ind w:left="180" w:hanging="180"/>
      </w:pPr>
      <w:bookmarkStart w:id="76"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76"/>
    </w:p>
    <w:p>
      <w:pPr>
        <w:pStyle w:val="MDPI81references"/>
        <w:numPr>
          <w:ilvl w:val="0"/>
          <w:numId w:val="0"/>
        </w:numPr>
        <w:ind w:left="180" w:hanging="180"/>
      </w:pPr>
      <w:bookmarkStart w:id="78"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78"/>
    </w:p>
    <w:p>
      <w:pPr>
        <w:pStyle w:val="MDPI81references"/>
        <w:numPr>
          <w:ilvl w:val="0"/>
          <w:numId w:val="0"/>
        </w:numPr>
        <w:ind w:left="180" w:hanging="180"/>
      </w:pPr>
      <w:bookmarkStart w:id="80"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80"/>
    </w:p>
    <w:p>
      <w:pPr>
        <w:pStyle w:val="MDPI81references"/>
        <w:numPr>
          <w:ilvl w:val="0"/>
          <w:numId w:val="0"/>
        </w:numPr>
        <w:ind w:left="180" w:hanging="180"/>
      </w:pPr>
      <w:bookmarkStart w:id="82"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7">
        <w:r>
          <w:rPr>
            <w:rStyle w:val="Hyperlink"/>
          </w:rPr>
          <w:t xml:space="preserve">https://doi.org/10.1109/ICCAD57653.2023.10152303</w:t>
        </w:r>
      </w:hyperlink>
      <w:r>
        <w:t xml:space="preserve">.</w:t>
      </w:r>
      <w:bookmarkEnd w:id="82"/>
    </w:p>
    <w:p>
      <w:pPr>
        <w:pStyle w:val="MDPI81references"/>
        <w:numPr>
          <w:ilvl w:val="0"/>
          <w:numId w:val="0"/>
        </w:numPr>
        <w:ind w:left="180" w:hanging="180"/>
      </w:pPr>
      <w:bookmarkStart w:id="84"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8">
        <w:r>
          <w:rPr>
            <w:rStyle w:val="Hyperlink"/>
          </w:rPr>
          <w:t xml:space="preserve">https://doi.org/10.36001/phmconf.2023.v15i1.3502</w:t>
        </w:r>
      </w:hyperlink>
      <w:r>
        <w:t xml:space="preserve">.</w:t>
      </w:r>
      <w:bookmarkEnd w:id="84"/>
    </w:p>
    <w:p>
      <w:pPr>
        <w:pStyle w:val="MDPI81references"/>
        <w:numPr>
          <w:ilvl w:val="0"/>
          <w:numId w:val="0"/>
        </w:numPr>
        <w:ind w:left="180" w:hanging="180"/>
      </w:pPr>
      <w:bookmarkStart w:id="86"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9">
        <w:r>
          <w:rPr>
            <w:rStyle w:val="Hyperlink"/>
          </w:rPr>
          <w:t xml:space="preserve">https://doi.org/10.36001/phme.2022.v7i1.3322</w:t>
        </w:r>
      </w:hyperlink>
      <w:r>
        <w:t xml:space="preserve">.</w:t>
      </w:r>
      <w:bookmarkEnd w:id="86"/>
    </w:p>
    <w:p>
      <w:pPr>
        <w:pStyle w:val="MDPI81references"/>
        <w:numPr>
          <w:ilvl w:val="0"/>
          <w:numId w:val="0"/>
        </w:numPr>
        <w:ind w:left="180" w:hanging="180"/>
      </w:pPr>
      <w:bookmarkStart w:id="88"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50">
        <w:r>
          <w:rPr>
            <w:rStyle w:val="Hyperlink"/>
          </w:rPr>
          <w:t xml:space="preserve">https://doi.org/10.1016/j.ifacol.2022.04.199</w:t>
        </w:r>
      </w:hyperlink>
      <w:r>
        <w:t xml:space="preserve">.</w:t>
      </w:r>
      <w:bookmarkEnd w:id="88"/>
    </w:p>
    <w:p>
      <w:pPr>
        <w:pStyle w:val="MDPI81references"/>
        <w:numPr>
          <w:ilvl w:val="0"/>
          <w:numId w:val="0"/>
        </w:numPr>
        <w:ind w:left="180" w:hanging="180"/>
      </w:pPr>
      <w:bookmarkStart w:id="90"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90"/>
    </w:p>
    <w:p>
      <w:pPr>
        <w:pStyle w:val="MDPI81references"/>
        <w:numPr>
          <w:ilvl w:val="0"/>
          <w:numId w:val="0"/>
        </w:numPr>
        <w:ind w:left="180" w:hanging="180"/>
      </w:pPr>
      <w:bookmarkStart w:id="92"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92"/>
    </w:p>
    <w:p>
      <w:pPr>
        <w:pStyle w:val="MDPI81references"/>
        <w:numPr>
          <w:ilvl w:val="0"/>
          <w:numId w:val="0"/>
        </w:numPr>
        <w:ind w:left="180" w:hanging="180"/>
      </w:pPr>
      <w:bookmarkStart w:id="9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94"/>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 Id="rId46" Type="http://schemas.openxmlformats.org/officeDocument/2006/relationships/image" Target="media/image6.png"/><Relationship Id="rId47" Type="http://schemas.openxmlformats.org/officeDocument/2006/relationships/hyperlink" Target="https://doi.org/10.1109/ICCAD57653.2023.10152303" TargetMode="External"/><Relationship Id="rId48" Type="http://schemas.openxmlformats.org/officeDocument/2006/relationships/hyperlink" Target="https://doi.org/10.36001/phmconf.2023.v15i1.3502" TargetMode="External"/><Relationship Id="rId49" Type="http://schemas.openxmlformats.org/officeDocument/2006/relationships/hyperlink" Target="https://doi.org/10.36001/phme.2022.v7i1.3322" TargetMode="External"/><Relationship Id="rId50" Type="http://schemas.openxmlformats.org/officeDocument/2006/relationships/hyperlink" Target="https://doi.org/10.1016/j.ifacol.2022.04.199" TargetMode="External"/><Relationship Id="rId5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