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098607a7211431410e6c9f2f10ab0a07b2bdcc9"/>
    <w:p>
      <w:pPr>
        <w:pStyle w:val="Title"/>
        <w:spacing w:before="0" w:after="160"/>
        <w:jc w:val="center"/>
        <w:keepNext/>
        <w:keepLines/>
        <w:widowControl w:val="1"/>
      </w:pPr>
      <w:r>
        <w:t xml:space="preserve">Reliable Extraction of Clinical Follow-Up Instructions: A Hybrid Neural-Symbolic Pipeline</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contain follow-up instructions that pair a clinical action with a future time ("MRI brain in two weeks"). Reliably extracting these as structured action-time pairs supports scheduling, care-coordination audit, and EHR-field validation. End-to-end generative extractors can identify the action but fail on full-pair reconstruction because linking and temporal arithmetic are implicit in decoding. We formulate follow-up extraction as a structured information extraction task and ask whether a hybrid neural-symbolic pipeline outperforms direct generative extraction.</w:t>
      </w:r>
    </w:p>
    <w:p>
      <w:pPr>
        <w:pStyle w:val="BodyText"/>
        <w:jc w:val="both"/>
        <w:keepNext w:val="0"/>
        <w:keepLines w:val="0"/>
        <w:widowControl w:val="1"/>
      </w:pPr>
      <w:r>
        <w:rPr>
          <w:b/>
          <w:bCs/>
        </w:rPr>
        <w:t xml:space="preserve">Methods.</w:t>
      </w:r>
      <w:r>
        <w:t xml:space="preserve"> </w:t>
      </w:r>
      <w:r>
        <w:t xml:space="preserve">We define TestSpecification and TimeSpecification entities and a ScheduledFor relation between them. A shared BioBERT encoder feeds a BIO tagging head and a biaffine relation extractor; entities are canonicalized via an ontology and times normalized to integer day offsets. We build a 2,000-note synthetic outpatient corpus from controlled structured skeletons. We evaluate on action-disjoint splits: 28 canonical actions partitioned into 18 train, 4 OOV-validation, and 6 OOV-test types, plus a seen-test set. We compare against zero-shot GPT-4o-mini and LoRA-fine-tuned LLaMA-3 8B with note-level bootstrap 95% confidence intervals.</w:t>
      </w:r>
    </w:p>
    <w:p>
      <w:pPr>
        <w:pStyle w:val="BodyText"/>
        <w:jc w:val="both"/>
        <w:keepNext w:val="0"/>
        <w:keepLines w:val="0"/>
        <w:widowControl w:val="1"/>
      </w:pPr>
      <w:r>
        <w:rPr>
          <w:b/>
          <w:bCs/>
        </w:rPr>
        <w:t xml:space="preserve">Results.</w:t>
      </w:r>
      <w:r>
        <w:t xml:space="preserve"> </w:t>
      </w:r>
      <w:r>
        <w:t xml:space="preserve">On both seen-test and OOV-test splits (n=259 notes each), the hybrid pipeline achieves Test-Time Pair F1 of 0.997 [0.990, 1.000] and 0.986 [0.972, 0.997], with 0.00-day mean absolute error in both splits. The generative baselines achieve high action F1 (LLaMA-3 0.992; GPT-4o-mini 0.963 on seen) but their Pair F1 drops to 0.510 [0.455, 0.562] for LLaMA-3 and 0.528 [0.471, 0.581] for GPT-4o-mini, with comparable OOV performance.</w:t>
      </w:r>
    </w:p>
    <w:p>
      <w:pPr>
        <w:pStyle w:val="BodyText"/>
        <w:jc w:val="both"/>
        <w:keepNext w:val="0"/>
        <w:keepLines w:val="0"/>
        <w:widowControl w:val="1"/>
      </w:pPr>
      <w:r>
        <w:rPr>
          <w:b/>
          <w:bCs/>
        </w:rPr>
        <w:t xml:space="preserve">Conclusion.</w:t>
      </w:r>
      <w:r>
        <w:t xml:space="preserve"> </w:t>
      </w:r>
      <w:r>
        <w:t xml:space="preserve">Treating follow-up extraction as structured information extraction with explicit relation linking and deterministic temporal normalization is more reliable than end-to-end generation on the controlled benchmark, including on action types held out from training. The architectural separation exposes failure modes to inspection. Transfer to real EHR notes is the next required validation; a first-pass realism check on real transcribed clinical notes is reported in the Limitations section.</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follow up on such instructions has been documented as a patient-safety issue in ambulatory care, with abnormal results and recommended actions sometimes going unaddressed across care transitions</w:t>
      </w:r>
      <w:r>
        <w:t xml:space="preserve"> </w:t>
      </w:r>
      <w:hyperlink w:anchor="ref-callen2012">
        <w:r>
          <w:rPr>
            <w:rStyle w:val="Hyperlink"/>
          </w:rPr>
          <w:t xml:space="preserve">[23]</w:t>
        </w:r>
      </w:hyperlink>
      <w:r>
        <w:t xml:space="preserve">.</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structured information-extraction formulation for clinical follow-up instructions, defined by two entity types (TestSpecification, TimeSpecification) and an explicit ScheduledFor relation, with a strict set-level end-to-end correctness criterion over canonical (action, day-offset) pairs.</w:t>
      </w:r>
    </w:p>
    <w:p>
      <w:pPr>
        <w:pStyle w:val="Compact"/>
        <w:numPr>
          <w:ilvl w:val="0"/>
          <w:numId w:val="1001"/>
        </w:numPr>
        <w:jc w:val="both"/>
        <w:keepNext w:val="0"/>
        <w:keepLines w:val="0"/>
        <w:widowControl w:val="1"/>
      </w:pPr>
      <w:r>
        <w:t xml:space="preserve">A hybrid neural-symbolic pipeline combining a shared BioBERT encoder, BIO entity tagging, biaffine relation extraction with a none option, ontology canonicalization, and deterministic temporal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generated from controlled structured skeletons over five specialties, with explicit stress factors (multi-action notes, shorthand temporal forms, historical distractors, proximity traps, plan-section variation) and exact character-level ground truth.</w:t>
      </w:r>
    </w:p>
    <w:p>
      <w:pPr>
        <w:pStyle w:val="Compact"/>
        <w:numPr>
          <w:ilvl w:val="0"/>
          <w:numId w:val="1001"/>
        </w:numPr>
        <w:jc w:val="both"/>
        <w:keepNext w:val="0"/>
        <w:keepLines w:val="0"/>
        <w:widowControl w:val="1"/>
      </w:pPr>
      <w:r>
        <w:t xml:space="preserve">A comparative evaluation against zero-shot GPT-4o-mini and LoRA-fine-tuned LLaMA-3 baselines on both an in-distribution (seen) test split and an action-disjoint out-of-vocabulary (OOV) test split, with note-level bootstrap 95% confidence intervals.</w:t>
      </w:r>
    </w:p>
    <w:p>
      <w:pPr>
        <w:pStyle w:val="Compact"/>
        <w:numPr>
          <w:ilvl w:val="0"/>
          <w:numId w:val="1001"/>
        </w:numPr>
        <w:jc w:val="both"/>
        <w:keepNext w:val="0"/>
        <w:keepLines w:val="0"/>
        <w:widowControl w:val="1"/>
      </w:pPr>
      <w:r>
        <w:t xml:space="preserve">An error analysis showing that generative models often identify the correct TestSpecification label but fail on full-pair reconstruction because linking and temporal normalization are implicit in decoding.</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clinical notes encode follow-up instructions ("MRI in 2 weeks") in free text alongside multiple actions, distractors, and shorthand. End-to-end LLM extraction can identify the action but commonly fails to reconstruct the complete scheduled instruction because linking and temporal arithmetic are implicit in generation and not exposed to inspection.</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ClinicalBERT) handle medical concept extraction. Rule-based temporal-expression normalizers (HeidelTime, SUTime) handle relative-date arithmetic. LLM-based structured extraction is feasible but error-prone on relation and arithmetic components.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structured-information-extraction pipeline with explicit ScheduledFor relation linking and deterministic temporal normalization. On a controlled benchmark, the pipeline achieves end-to-end Test-Time Pair F1 of 0.997 (seen-test) and 0.986 (action-disjoint OOV-test) with 0.00-day mean date error, while LoRA-fine-tuned LLaMA-3 and zero-shot GPT-4o-mini reach 0.51 Pair F1 despite near-perfect action recognition.</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The most direct prior work on the present task is Yetisgen-Yildiz et al., who built a text-processing pipeline to extract follow-up recommendations from radiology reports, demonstrating that scheduled-follow-up extraction can be operationalized as a sentence-level recommendation-detection problem followed by structured-field extraction</w:t>
      </w:r>
      <w:r>
        <w:t xml:space="preserve"> </w:t>
      </w:r>
      <w:hyperlink w:anchor="ref-yetisgen2013">
        <w:r>
          <w:rPr>
            <w:rStyle w:val="Hyperlink"/>
          </w:rPr>
          <w:t xml:space="preserve">[24]</w:t>
        </w:r>
      </w:hyperlink>
      <w:r>
        <w:t xml:space="preserve">. Their work focuses on imaging reports rather than outpatient visit notes and on detecting whether a recommendation is present rather than recovering the linked time and normalized schedule; our task formulation extends this line to a structured entity-relation representation with deterministic temporal normalization.</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work in the scientific-text domain demonstrates that fine-tuned LLMs can extract structured records under controlled schemas</w:t>
      </w:r>
      <w:r>
        <w:t xml:space="preserve"> </w:t>
      </w:r>
      <w:hyperlink w:anchor="ref-dagdelen2024">
        <w:r>
          <w:rPr>
            <w:rStyle w:val="Hyperlink"/>
          </w:rPr>
          <w:t xml:space="preserve">[25]</w:t>
        </w:r>
      </w:hyperlink>
      <w:r>
        <w:t xml:space="preserve">; the clinical setting introduces additional constraints on auditability and on the reliability of arithmetic substitutions such as date normalization.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0"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intermediate structured representation contains two entity types and one relation.</w:t>
      </w:r>
      <w:r>
        <w:t xml:space="preserve"> </w:t>
      </w:r>
      <w:r>
        <w:rPr>
          <w:b/>
          <w:bCs/>
        </w:rPr>
        <w:t xml:space="preserve">TestSpecification</w:t>
      </w:r>
      <w:r>
        <w:t xml:space="preserve"> </w:t>
      </w:r>
      <w:r>
        <w:t xml:space="preserve">entities are spans corresponding to scheduled clinical actions (e.g., X-Ray, Blood Test, CT Scan, Cardiology Consult).</w:t>
      </w:r>
      <w:r>
        <w:t xml:space="preserve"> </w:t>
      </w:r>
      <w:r>
        <w:rPr>
          <w:b/>
          <w:bCs/>
        </w:rPr>
        <w:t xml:space="preserve">TimeSpecification</w:t>
      </w:r>
      <w:r>
        <w:t xml:space="preserve"> </w:t>
      </w:r>
      <w:r>
        <w:t xml:space="preserve">entities are spans corresponding to the timing of an intended follow-up (e.g., "in 2 weeks", "tomorrow", "in 6 months"). A</w:t>
      </w:r>
      <w:r>
        <w:t xml:space="preserve"> </w:t>
      </w:r>
      <w:r>
        <w:rPr>
          <w:b/>
          <w:bCs/>
        </w:rPr>
        <w:t xml:space="preserve">ScheduledFor(TestSpecification, TimeSpecification)</w:t>
      </w:r>
      <w:r>
        <w:t xml:space="preserve"> </w:t>
      </w:r>
      <w:r>
        <w:t xml:space="preserve">relation connects each scheduled clinical action to the timing phrase that specifies when it should occur. TestSpecification entities are mapped to canonical ontology labels and TimeSpecification entities are mapped to integer day offsets relative to</w:t>
      </w:r>
      <w:r>
        <w:t xml:space="preserve"> </w:t>
      </w:r>
      <m:oMath>
        <m:r>
          <m:t>v</m:t>
        </m:r>
      </m:oMath>
      <w:r>
        <w:t xml:space="preserve">. The final normalized output is the set:</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k</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 canonical TestSpecification label drawn from a closed ontology and</w:t>
      </w:r>
      <w:r>
        <w:t xml:space="preserve"> </w:t>
      </w:r>
      <m:oMath>
        <m:sSub>
          <m:e>
            <m:r>
              <m:t>k</m:t>
            </m:r>
          </m:e>
          <m:sub>
            <m:r>
              <m:t>i</m:t>
            </m:r>
          </m:sub>
        </m:sSub>
        <m:r>
          <m:rPr>
            <m:sty m:val="p"/>
          </m:rPr>
          <m:t>∈</m:t>
        </m:r>
        <m:r>
          <m:rPr>
            <m:scr m:val="double-struck"/>
            <m:sty m:val="p"/>
          </m:rPr>
          <m:t>Z</m:t>
        </m:r>
      </m:oMath>
      <w:r>
        <w:t xml:space="preserve"> </w:t>
      </w:r>
      <w:r>
        <w:t xml:space="preserve">is a normalized day offset. The model returns an empty set when no scheduled follow-up is present. The strict end-to-end correctness criterion is set-level: a prediction is correct only when its canonical label and its integer day offset both match the gold pair. The task decomposes into four subtasks: entity extraction (TestSpecification and TimeSpecification spans), ScheduledFor relation extraction, ontology canonicalization, and deterministic temporal normalization. Figure 1 shows the system pipeline.</w:t>
      </w:r>
    </w:p>
    <w:p>
      <w:pPr>
        <w:pStyle w:val="BodyText"/>
        <w:jc w:val="center"/>
        <w:keepNext/>
        <w:keepLines/>
        <w:widowControl w:val="1"/>
      </w:pPr>
      <w:r>
        <w:drawing>
          <wp:inline>
            <wp:extent cx="5943600" cy="2080260"/>
            <wp:effectExtent b="0" l="0" r="0" t="0"/>
            <wp:docPr descr="System pipeline overview" title="" id="26" name="Picture"/>
            <a:graphic>
              <a:graphicData uri="http://schemas.openxmlformats.org/drawingml/2006/picture">
                <pic:pic>
                  <pic:nvPicPr>
                    <pic:cNvPr descr="E:/Projects/MedFollow/MedFollow/Pape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a BIO tagging head predicts TestSpecification and TimeSpecification entity spans from the contextual states; a biaffine relation head links each predicted TestSpecification span to a TimeSpecification span (or to a none option), producing a ScheduledFor relation; ontology canonicalization maps surface action mentions to one of the 28 canonical labels; a deterministic temporal normalizer maps the linked time phrase to an integer day offset relative to the visit date. The blue dashed enclosure groups the learned components (fine-tuned BioBERT plus the two heads); the green dashed enclosure marks the deterministic components.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5" w:name="dataset-and-splits"/>
    <w:p>
      <w:pPr>
        <w:pStyle w:val="Heading3"/>
        <w:keepNext/>
        <w:keepLines/>
        <w:widowControl w:val="1"/>
      </w:pPr>
      <w:r>
        <w:t xml:space="preserve">3.2 Dataset and splits</w:t>
      </w:r>
    </w:p>
    <w:p>
      <w:pPr>
        <w:pStyle w:val="FirstParagraph"/>
        <w:jc w:val="both"/>
        <w:keepNext w:val="0"/>
        <w:keepLines w:val="0"/>
        <w:widowControl w:val="1"/>
      </w:pPr>
      <w:r>
        <w:t xml:space="preserve">We construct a 2,000-note synthetic outpatient corpus from controlled structured skeletons to avoid use of protected health information and to permit exact ground truth over entities, relations, and normalized timing. For each note, the generator first samples a clinical domain and scenario from one of five domains (orthopedics, cardiopulmonary medicine, gastroenterology, neurology, general medicine), a visit date in a two-year window (2024-01-21 to 2026-01-20), a target number of scheduled items (0, 1, or 2), TestSpecification labels from a closed set of 28 canonical action types, and TimeSpecification day offsets. Surface realization is varied separately from the structured skeleton: TimeSpecification expressions are rendered using multiple phrase families (numeric forms, written-number forms, abbreviations, fuzzy phrases, follow-up noun phrases), and notes vary in clinician voice, plan-header style, structural formatting, shorthand, abbreviations, and dictation-like artifacts. Non-target distractors are deliberately included (family history, prior procedures, symptom duration) to test discrimination between scheduled future instructions and historical context. Notes were generated with OpenAI</w:t>
      </w:r>
      <w:r>
        <w:t xml:space="preserve"> </w:t>
      </w:r>
      <w:r>
        <w:rPr>
          <w:rStyle w:val="VerbatimChar"/>
        </w:rPr>
        <w:t xml:space="preserve">gpt-4o-mini</w:t>
      </w:r>
      <w:r>
        <w:t xml:space="preserve"> </w:t>
      </w:r>
      <w:r>
        <w:t xml:space="preserve">(default version as of November 2025); generation prompts, seed records, and the closed ontology are documented in the supplementary materials.</w:t>
      </w:r>
    </w:p>
    <w:p>
      <w:pPr>
        <w:pStyle w:val="BodyText"/>
        <w:jc w:val="both"/>
        <w:keepNext w:val="0"/>
        <w:keepLines w:val="0"/>
        <w:widowControl w:val="1"/>
      </w:pPr>
      <w:r>
        <w:t xml:space="preserve">We use an</w:t>
      </w:r>
      <w:r>
        <w:t xml:space="preserve"> </w:t>
      </w:r>
      <w:r>
        <w:rPr>
          <w:b/>
          <w:bCs/>
        </w:rPr>
        <w:t xml:space="preserve">action-disjoint Seen/OOV split</w:t>
      </w:r>
      <w:r>
        <w:t xml:space="preserve"> </w:t>
      </w:r>
      <w:r>
        <w:t xml:space="preserve">to evaluate both in-distribution performance and generalization to action types not seen during training. The 28 canonical action types are partitioned by a numpy random shuffle (seed 123) into 18 training types, 4 OOV-validation types, and 6 OOV-test types. A note is assigned to a split if and only if all of its TestSpecification labels belong to that split's allowed action set. Train, OOV-validation, and OOV-test sets are therefore disjoint in both notes and in canonical action types. We additionally hold out a</w:t>
      </w:r>
      <w:r>
        <w:t xml:space="preserve"> </w:t>
      </w:r>
      <w:r>
        <w:rPr>
          <w:b/>
          <w:bCs/>
        </w:rPr>
        <w:t xml:space="preserve">seen-test</w:t>
      </w:r>
      <w:r>
        <w:t xml:space="preserve"> </w:t>
      </w:r>
      <w:r>
        <w:t xml:space="preserve">set drawn from notes whose action types are entirely within the training action set, to enable in-distribution comparison. After this partition the final splits contain 901 train notes, 100 seen-validation notes, 178 OOV-validation notes, 259 seen-test notes, and 259 OOV-test notes. We verified the leakage check at construction time: the train, seen-validation, and seen-test sets are disjoint by note, all 18 training action types are represented in training (minimum per-type count 22), and the OOV-test action types do not appear in any training note.</w:t>
      </w:r>
    </w:p>
    <w:p>
      <w:pPr>
        <w:pStyle w:val="TableCaption"/>
        <w:spacing w:before="160" w:after="60" w:line="240" w:lineRule="auto"/>
        <w:jc w:val="center"/>
        <w:keepNext/>
        <w:keepLines/>
        <w:widowControl w:val="1"/>
      </w:pPr>
      <w:r>
        <w:t xml:space="preserve">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w:t>
      </w:r>
    </w:p>
    <w:tbl>
      <w:tblPr>
        <w:tblStyle w:val="Table"/>
        <w:tblW w:type="pct" w:w="5000"/>
        <w:jc w:val="center"/>
        <w:tblLook w:firstRow="1" w:lastRow="0" w:firstColumn="0" w:lastColumn="0" w:noHBand="0" w:noVBand="0" w:val="0020"/>
        <w:tblCaption w:val="Table 1. Benchmark and experimental splits. The corpus contains 2,000 synthetic outpatient notes with controlled item-level and span-level annotations. Ground truth is stored as canonical TestSpecification labels and integer day offsets, with exact character spans for both entity types. The action-disjoint Seen/OOV partition assigns notes to splits based on their TestSpecification type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(Orthopedic, Cardiopulmonary, Gastroenterology, Neurology, General Medicine)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TestSpecification labels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Scheduled items per note (0 / 1 / 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notes (18 seen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901</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Seen-validation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OOV-validation notes (4 held-out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Seen-test notes</w:t>
            </w:r>
            <w:r>
              <w:rPr>
                <w:rFonts w:ascii="Times New Roman" w:hAnsi="Times New Roman"/>
                <w:sz w:val="20"/>
              </w:rPr>
              <w:t xml:space="preserve"> </w:t>
            </w:r>
            <w:r>
              <w:rPr>
                <w:rFonts w:ascii="Times New Roman" w:hAnsi="Times New Roman"/>
                <w:sz w:val="20"/>
              </w:rPr>
              <w:t xml:space="preserve">(in-distribution)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OOV-test notes</w:t>
            </w:r>
            <w:r>
              <w:rPr>
                <w:rFonts w:ascii="Times New Roman" w:hAnsi="Times New Roman"/>
                <w:sz w:val="20"/>
              </w:rPr>
              <w:t xml:space="preserve"> </w:t>
            </w:r>
            <w:r>
              <w:rPr>
                <w:rFonts w:ascii="Times New Roman" w:hAnsi="Times New Roman"/>
                <w:sz w:val="20"/>
              </w:rPr>
              <w:t xml:space="preserve">(6 held-out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259</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Split seed (numpy random shuffle)</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w:t>
            </w:r>
          </w:p>
        </w:tc>
      </w:tr>
    </w:tbl>
    <w:p>
      <w:pPr>
        <w:pStyle w:val="BodyText"/>
        <w:spacing w:before="160"/>
        <w:jc w:val="both"/>
        <w:keepNext w:val="0"/>
        <w:keepLines w:val="0"/>
        <w:widowControl w:val="1"/>
      </w:pPr>
      <w:r>
        <w:t xml:space="preserve">The 28 closed-set TestSpecification labels cover imaging (CT, MRI, MRI Brain, X-Ray, Echocardiogram, Cardiac MRI,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rehabilitation/wellness referrals (Physical Therapy, Annual Physical). Stress factors include multi-action notes, historical temporal distractors, shorthand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and section ambiguity. The 2,028 gold action mentions are paired with 549 distinct temporal-expression surface forms; the most frequent expression accounts for only twelve mentions. All gold spans, canonical labels, and normalized day offsets are known by construction.</w:t>
      </w:r>
    </w:p>
    <w:p>
      <w:pPr>
        <w:pStyle w:val="BodyText"/>
        <w:jc w:val="center"/>
        <w:keepNext/>
        <w:keepLines/>
        <w:widowControl w:val="1"/>
      </w:pPr>
      <w:r>
        <w:drawing>
          <wp:inline>
            <wp:extent cx="5943600" cy="2971800"/>
            <wp:effectExtent b="0" l="0" r="0" t="0"/>
            <wp:docPr descr="Dataset composition by specialty and action count" title="" id="30" name="Picture"/>
            <a:graphic>
              <a:graphicData uri="http://schemas.openxmlformats.org/drawingml/2006/picture">
                <pic:pic>
                  <pic:nvPicPr>
                    <pic:cNvPr descr="E:/Projects/MedFollow/MedFollow/Paper/figures/dataset_composition.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E:/Projects/MedFollow/MedFollow/Pape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both"/>
        <w:keepNext w:val="0"/>
        <w:keepLines w:val="0"/>
        <w:widowControl w:val="1"/>
      </w:pPr>
      <w:r>
        <w:t xml:space="preserve">Stress factors are present at non-trivial proportions across the corpus: multi-action notes constitute 26.3%, zero-action notes 24.9%, historical-time mentions appear in roughly half of all notes, and the six plan-section variants are all represented (full per-factor counts are in the supplementary materials).</w:t>
      </w:r>
    </w:p>
    <w:bookmarkEnd w:id="35"/>
    <w:bookmarkStart w:id="36"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entity tagging, biaffine ScheduledFor relation extraction) and delegates ontology canonicalization and temporal arithmetic to deterministic post-processors.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predictions from overlapping windows are merged at the character-span level.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Entity extraction.</w:t>
      </w:r>
      <w:r>
        <w:t xml:space="preserve"> </w:t>
      </w:r>
      <w:r>
        <w:t xml:space="preserve">The first head predicts BIO tags over tokens using the label set</w:t>
      </w:r>
      <w:r>
        <w:t xml:space="preserve"> </w:t>
      </w:r>
      <m:oMath>
        <m:r>
          <m:rPr>
            <m:sty m:val="p"/>
          </m:rPr>
          <m:t>{</m:t>
        </m:r>
        <m:r>
          <m:rPr>
            <m:sty m:val="p"/>
          </m:rPr>
          <m:t>O</m:t>
        </m:r>
        <m:r>
          <m:rPr>
            <m:sty m:val="p"/>
          </m:rPr>
          <m:t>,</m:t>
        </m:r>
        <m:r>
          <m:rPr>
            <m:sty m:val="p"/>
          </m:rPr>
          <m:t>B</m:t>
        </m:r>
        <m:r>
          <m:rPr>
            <m:nor/>
            <m:sty m:val="p"/>
          </m:rPr>
          <m:t>-</m:t>
        </m:r>
        <m:r>
          <m:rPr>
            <m:sty m:val="p"/>
          </m:rPr>
          <m:t>T</m:t>
        </m:r>
        <m:r>
          <m:rPr>
            <m:sty m:val="p"/>
          </m:rPr>
          <m:t>E</m:t>
        </m:r>
        <m:r>
          <m:rPr>
            <m:sty m:val="p"/>
          </m:rPr>
          <m:t>S</m:t>
        </m:r>
        <m:r>
          <m:rPr>
            <m:sty m:val="p"/>
          </m:rPr>
          <m:t>T</m:t>
        </m:r>
        <m:r>
          <m:rPr>
            <m:sty m:val="p"/>
          </m:rPr>
          <m:t>,</m:t>
        </m:r>
        <m:r>
          <m:rPr>
            <m:sty m:val="p"/>
          </m:rPr>
          <m:t>I</m:t>
        </m:r>
        <m:r>
          <m:rPr>
            <m:nor/>
            <m:sty m:val="p"/>
          </m:rPr>
          <m:t>-</m:t>
        </m:r>
        <m:r>
          <m:rPr>
            <m:sty m:val="p"/>
          </m:rPr>
          <m:t>T</m:t>
        </m:r>
        <m:r>
          <m:rPr>
            <m:sty m:val="p"/>
          </m:rPr>
          <m:t>E</m:t>
        </m:r>
        <m:r>
          <m:rPr>
            <m:sty m:val="p"/>
          </m:rPr>
          <m:t>S</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where TEST spans correspond to TestSpecification entities and TIME spans to TimeSpecification entities. The tagging loss is weighted cross-entropy with per-class weights downweighting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contiguous BIO sequences are decoded into character-offset spans using the offset-mapping returned by the BioBERT tokenizer.</w:t>
      </w:r>
    </w:p>
    <w:p>
      <w:pPr>
        <w:pStyle w:val="BodyText"/>
        <w:jc w:val="both"/>
        <w:keepNext w:val="0"/>
        <w:keepLines w:val="0"/>
        <w:widowControl w:val="1"/>
      </w:pPr>
      <w:r>
        <w:rPr>
          <w:i/>
          <w:iCs/>
        </w:rPr>
        <w:t xml:space="preserve">Span representation.</w:t>
      </w:r>
      <w:r>
        <w:t xml:space="preserve"> </w:t>
      </w:r>
      <w:r>
        <w:t xml:space="preserve">For each detected entity span</w:t>
      </w:r>
      <w:r>
        <w:t xml:space="preserve"> </w:t>
      </w:r>
      <m:oMath>
        <m:r>
          <m:t>s</m:t>
        </m:r>
        <m:r>
          <m:rPr>
            <m:sty m:val="p"/>
          </m:rPr>
          <m:t>=</m:t>
        </m:r>
        <m:r>
          <m:rPr>
            <m:sty m:val="p"/>
          </m:rPr>
          <m:t>(</m:t>
        </m:r>
        <m:r>
          <m:t>b</m:t>
        </m:r>
        <m:r>
          <m:rPr>
            <m:sty m:val="p"/>
          </m:rPr>
          <m:t>,</m:t>
        </m:r>
        <m:r>
          <m:t>e</m:t>
        </m:r>
        <m:r>
          <m:rPr>
            <m:sty m:val="p"/>
          </m:rPr>
          <m:t>)</m:t>
        </m:r>
      </m:oMath>
      <w:r>
        <w:t xml:space="preserve">, the model constructs a span representation by concatenating the start hidden state, the end hidden state, and a learned width embedding:</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w:t>
      </w:r>
      <w:r>
        <w:t xml:space="preserve"> </w:t>
      </w:r>
      <m:oMath>
        <m:r>
          <m:t>ϕ</m:t>
        </m:r>
      </m:oMath>
      <w:r>
        <w:t xml:space="preserve"> </w:t>
      </w:r>
      <w:r>
        <w:t xml:space="preserve">maps span length to one of nine learned vectors.</w:t>
      </w:r>
    </w:p>
    <w:p>
      <w:pPr>
        <w:pStyle w:val="BodyText"/>
        <w:jc w:val="both"/>
        <w:keepNext w:val="0"/>
        <w:keepLines w:val="0"/>
        <w:widowControl w:val="1"/>
      </w:pPr>
      <w:r>
        <w:rPr>
          <w:i/>
          <w:iCs/>
        </w:rPr>
        <w:t xml:space="preserve">ScheduledFor relation extraction.</w:t>
      </w:r>
      <w:r>
        <w:t xml:space="preserve"> </w:t>
      </w:r>
      <w:r>
        <w:t xml:space="preserve">For each candidate (TestSpecification, TimeSpecification) pair, the relation extractor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between the two spans, bucketized into learned 32-dimensional embeddings. For each TestSpecification span, the extractor applies a softmax over all candidate TimeSpecification spans plus a none option</w:t>
      </w:r>
      <w:r>
        <w:t xml:space="preserve"> </w:t>
      </w:r>
      <m:oMath>
        <m:r>
          <m:rPr>
            <m:sty m:val="p"/>
          </m:rPr>
          <m:t>⌀</m:t>
        </m:r>
      </m:oMath>
      <w:r>
        <w:t xml:space="preserve"> </w:t>
      </w:r>
      <w:r>
        <w:t xml:space="preserve">(a learned virtual span representing actions without an explicit time):</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t xml:space="preserve">The output ScheduledFor relation is written explicitly as</w:t>
      </w:r>
      <w:r>
        <w:t xml:space="preserve"> </w:t>
      </w:r>
      <w:r>
        <w:rPr>
          <w:rStyle w:val="VerbatimChar"/>
        </w:rPr>
        <w:t xml:space="preserve">ScheduledFor(test_entity_id, time_entity_id)</w:t>
      </w:r>
      <w:r>
        <w:t xml:space="preserve">; this explicit relation is the key difference between the structured pipeline and direct generative baselines, because it exposes which entity was linked to which time expression before any normalization.</w:t>
      </w:r>
    </w:p>
    <w:p>
      <w:pPr>
        <w:pStyle w:val="BodyText"/>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Training uses AdamW with batch size 16, learning rate 2×10</w:t>
      </w:r>
      <w:r>
        <w:rPr>
          <w:vertAlign w:val="superscript"/>
        </w:rPr>
        <w:t xml:space="preserve">-5</w:t>
      </w:r>
      <w:r>
        <w:t xml:space="preserve">, and early stopping on validation loss; full hyperparameters are in the supplementary materials. Relation labels are derived from gold span pairs during training; at inference, the relation extractor operates on entity spans predicted by the tagging head.</w:t>
      </w:r>
    </w:p>
    <w:p>
      <w:pPr>
        <w:pStyle w:val="BodyText"/>
        <w:jc w:val="both"/>
        <w:keepNext w:val="0"/>
        <w:keepLines w:val="0"/>
        <w:widowControl w:val="1"/>
      </w:pPr>
      <w:r>
        <w:rPr>
          <w:i/>
          <w:iCs/>
        </w:rPr>
        <w:t xml:space="preserve">Ontology canonicalization and temporal normalization.</w:t>
      </w:r>
      <w:r>
        <w:t xml:space="preserve"> </w:t>
      </w:r>
      <w:r>
        <w:t xml:space="preserve">After relation extraction, TestSpecification surface forms (e.g., "CT test", "CT lab", "computed tomography") are mapped to canonical labels (</w:t>
      </w:r>
      <w:r>
        <w:rPr>
          <w:rStyle w:val="VerbatimChar"/>
        </w:rPr>
        <w:t xml:space="preserve">CT Scan</w:t>
      </w:r>
      <w:r>
        <w:t xml:space="preserve">) through an editable ontology with an alias index; the ontology can be updated without retraining. Each linked TimeSpecification phrase is normalized to an integer day offset by a rule grammar over phrase families (</w:t>
      </w:r>
      <w:r>
        <w:rPr>
          <w:rStyle w:val="VerbatimChar"/>
        </w:rPr>
        <w:t xml:space="preserve">tomorrow</w:t>
      </w:r>
      <w:r>
        <w:t xml:space="preserve"> </w:t>
      </w:r>
      <w:r>
        <w:t xml:space="preserve">→ 1,</w:t>
      </w:r>
      <w:r>
        <w:t xml:space="preserve"> </w:t>
      </w:r>
      <w:r>
        <w:rPr>
          <w:rStyle w:val="VerbatimChar"/>
        </w:rPr>
        <w:t xml:space="preserve">today</w:t>
      </w:r>
      <w:r>
        <w:t xml:space="preserve"> </w:t>
      </w:r>
      <w:r>
        <w:t xml:space="preserve">→ 0,</w:t>
      </w:r>
      <w:r>
        <w:t xml:space="preserve"> </w:t>
      </w:r>
      <w:r>
        <w:rPr>
          <w:rStyle w:val="VerbatimChar"/>
        </w:rPr>
        <w:t xml:space="preserve">in N weeks</w:t>
      </w:r>
      <w:r>
        <w:t xml:space="preserve"> </w:t>
      </w:r>
      <w:r>
        <w:t xml:space="preserve">→</w:t>
      </w:r>
      <w:r>
        <w:t xml:space="preserve"> </w:t>
      </w:r>
      <m:oMath>
        <m:r>
          <m:t>7</m:t>
        </m:r>
        <m:r>
          <m:t>N</m:t>
        </m:r>
      </m:oMath>
      <w:r>
        <w:t xml:space="preserve">,</w:t>
      </w:r>
      <w:r>
        <w:t xml:space="preserve"> </w:t>
      </w:r>
      <w:r>
        <w:rPr>
          <w:rStyle w:val="VerbatimChar"/>
        </w:rPr>
        <w:t xml:space="preserve">in N months</w:t>
      </w:r>
      <w:r>
        <w:t xml:space="preserve"> </w:t>
      </w:r>
      <w:r>
        <w:t xml:space="preserve">→</w:t>
      </w:r>
      <w:r>
        <w:t xml:space="preserve"> </w:t>
      </w:r>
      <m:oMath>
        <m:r>
          <m:t>30</m:t>
        </m:r>
        <m:r>
          <m:t>N</m:t>
        </m:r>
      </m:oMath>
      <w:r>
        <w:t xml:space="preserve">,</w:t>
      </w:r>
      <w:r>
        <w:t xml:space="preserve"> </w:t>
      </w:r>
      <w:r>
        <w:rPr>
          <w:rStyle w:val="VerbatimChar"/>
        </w:rPr>
        <w:t xml:space="preserve">in N years</w:t>
      </w:r>
      <w:r>
        <w:t xml:space="preserve"> </w:t>
      </w:r>
      <w:r>
        <w:t xml:space="preserve">→</w:t>
      </w:r>
      <w:r>
        <w:t xml:space="preserve"> </w:t>
      </w:r>
      <m:oMath>
        <m:r>
          <m:t>365</m:t>
        </m:r>
        <m:r>
          <m:t>N</m:t>
        </m:r>
      </m:oMath>
      <w:r>
        <w:t xml:space="preserve">; written-number and shorthand variants resolved before lookup). Unmatched phrases fall back to</w:t>
      </w:r>
      <w:r>
        <w:t xml:space="preserve"> </w:t>
      </w:r>
      <w:r>
        <w:rPr>
          <w:rStyle w:val="VerbatimChar"/>
        </w:rPr>
        <w:t xml:space="preserve">dateparser</w:t>
      </w:r>
      <w:r>
        <w:t xml:space="preserve"> </w:t>
      </w:r>
      <w:r>
        <w:t xml:space="preserve">with</w:t>
      </w:r>
      <w:r>
        <w:t xml:space="preserve"> </w:t>
      </w:r>
      <w:r>
        <w:rPr>
          <w:rStyle w:val="VerbatimChar"/>
        </w:rPr>
        <w:t xml:space="preserve">RELATIVE_BASE = v</w:t>
      </w:r>
      <w:r>
        <w:t xml:space="preserve"> </w:t>
      </w:r>
      <w:r>
        <w:t xml:space="preserve">and</w:t>
      </w:r>
      <w:r>
        <w:t xml:space="preserve"> </w:t>
      </w:r>
      <w:r>
        <w:rPr>
          <w:rStyle w:val="VerbatimChar"/>
        </w:rPr>
        <w:t xml:space="preserve">PREFER_DATES_FROM = "future"</w:t>
      </w:r>
      <w:r>
        <w:t xml:space="preserve">. The neural model never performs calendar arithmetic; failures at the normalization stage are observable as parser-level errors and auditable against a fixed grammar.</w:t>
      </w:r>
    </w:p>
    <w:bookmarkEnd w:id="36"/>
    <w:bookmarkStart w:id="37"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splits.</w:t>
      </w:r>
      <w:r>
        <w:t xml:space="preserve"> </w:t>
      </w:r>
      <w:r>
        <w:rPr>
          <w:b/>
          <w:bCs/>
        </w:rPr>
        <w:t xml:space="preserve">GPT-4o-mini zero-shot</w:t>
      </w:r>
      <w:r>
        <w:t xml:space="preserve"> </w:t>
      </w:r>
      <w:r>
        <w:t xml:space="preserve">receives the visit date, the note text, and the closed list of 28 allowed TestSpecification labels in a single system + user prompt, and is instructed to return a JSON array of</w:t>
      </w:r>
      <w:r>
        <w:t xml:space="preserve"> </w:t>
      </w:r>
      <w:r>
        <w:rPr>
          <w:rStyle w:val="VerbatimChar"/>
        </w:rPr>
        <w:t xml:space="preserve">{action, period_date}</w:t>
      </w:r>
      <w:r>
        <w:t xml:space="preserve"> </w:t>
      </w:r>
      <w:r>
        <w:t xml:space="preserve">objects. Decoding uses temperature 0 and OpenAI structured-output mode (</w:t>
      </w:r>
      <w:r>
        <w:rPr>
          <w:rStyle w:val="VerbatimChar"/>
        </w:rPr>
        <w:t xml:space="preserve">response_format = {"type": "json_object"}</w:t>
      </w:r>
      <w:r>
        <w:t xml:space="preserve">); no in-context examples are provided. For evaluation, the returned</w:t>
      </w:r>
      <w:r>
        <w:t xml:space="preserve"> </w:t>
      </w:r>
      <w:r>
        <w:rPr>
          <w:rStyle w:val="VerbatimChar"/>
        </w:rPr>
        <w:t xml:space="preserve">period_date</w:t>
      </w:r>
      <w:r>
        <w:t xml:space="preserve"> </w:t>
      </w:r>
      <w:r>
        <w:t xml:space="preserve">is converted to a day offset relative to the visit date so that all systems are compared in the same normalized output space.</w:t>
      </w:r>
      <w:r>
        <w:t xml:space="preserve"> </w:t>
      </w:r>
      <w:r>
        <w:rPr>
          <w:b/>
          <w:bCs/>
        </w:rPr>
        <w:t xml:space="preserve">LLaMA-3 8B LoRA</w:t>
      </w:r>
      <w:r>
        <w:t xml:space="preserve"> </w:t>
      </w:r>
      <w:r>
        <w:t xml:space="preserve">uses</w:t>
      </w:r>
      <w:r>
        <w:t xml:space="preserve"> </w:t>
      </w:r>
      <w:r>
        <w:rPr>
          <w:rStyle w:val="VerbatimChar"/>
        </w:rPr>
        <w:t xml:space="preserve">meta-llama/Meta-Llama-3-8B</w:t>
      </w:r>
      <w:r>
        <w:t xml:space="preserve"> </w:t>
      </w:r>
      <w:r>
        <w:t xml:space="preserve">as the base, loaded in 4-bit quantized form and adapted with LoRA adapters (rank 16, alpha 16, dropout 0) applied to query, key, value, output, and MLP projections. The base weights are frozen while LoRA adapters are trained on the same training split for 4 epochs at learning rate 2×10</w:t>
      </w:r>
      <w:r>
        <w:rPr>
          <w:vertAlign w:val="superscript"/>
        </w:rPr>
        <w:t xml:space="preserve">-4</w:t>
      </w:r>
      <w:r>
        <w:t xml:space="preserve">, batch size 2 with gradient accumulation 8, and a maximum sequence length of 1024. At inference, the model is prompted with the same input format as the zero-shot baseline and decodes the JSON output, which is parsed and converted to day offsets for evaluation. Full prompts, ontology lists, and LoRA hyperparameters are documented in the supplementary materials.</w:t>
      </w:r>
    </w:p>
    <w:bookmarkEnd w:id="37"/>
    <w:bookmarkStart w:id="38" w:name="evaluation-metrics"/>
    <w:p>
      <w:pPr>
        <w:pStyle w:val="Heading3"/>
        <w:keepNext/>
        <w:keepLines/>
        <w:widowControl w:val="1"/>
      </w:pPr>
      <w:r>
        <w:t xml:space="preserve">3.5 Evaluation metrics</w:t>
      </w:r>
    </w:p>
    <w:p>
      <w:pPr>
        <w:pStyle w:val="FirstParagraph"/>
        <w:jc w:val="both"/>
        <w:keepNext w:val="0"/>
        <w:keepLines w:val="0"/>
        <w:widowControl w:val="1"/>
      </w:pPr>
      <w:r>
        <w:t xml:space="preserve">All systems are evaluated in a common normalized output space. Let the gold and predicted sets for a note be sets of canonical (TestSpecification, days_offset) pairs. We report three set-level F1 metrics and a calibration-style measure:</w:t>
      </w:r>
    </w:p>
    <w:p>
      <w:pPr>
        <w:pStyle w:val="Compact"/>
        <w:numPr>
          <w:ilvl w:val="0"/>
          <w:numId w:val="1002"/>
        </w:numPr>
        <w:jc w:val="both"/>
        <w:keepNext w:val="0"/>
        <w:keepLines w:val="0"/>
        <w:widowControl w:val="1"/>
      </w:pPr>
      <w:r>
        <w:rPr>
          <w:b/>
          <w:bCs/>
        </w:rPr>
        <w:t xml:space="preserve">TestSpecification F1.</w:t>
      </w:r>
      <w:r>
        <w:t xml:space="preserve"> </w:t>
      </w:r>
      <w:r>
        <w:t xml:space="preserve">Set-level F1 over canonical TestSpecification labels. A prediction is correct iff the predicted canonical label appears in the gold set.</w:t>
      </w:r>
    </w:p>
    <w:p>
      <w:pPr>
        <w:pStyle w:val="Compact"/>
        <w:numPr>
          <w:ilvl w:val="0"/>
          <w:numId w:val="1002"/>
        </w:numPr>
        <w:jc w:val="both"/>
        <w:keepNext w:val="0"/>
        <w:keepLines w:val="0"/>
        <w:widowControl w:val="1"/>
      </w:pPr>
      <w:r>
        <w:rPr>
          <w:b/>
          <w:bCs/>
        </w:rPr>
        <w:t xml:space="preserve">TimeSpecification Offset F1.</w:t>
      </w:r>
      <w:r>
        <w:t xml:space="preserve"> </w:t>
      </w:r>
      <w:r>
        <w:t xml:space="preserve">Set-level F1 over normalized integer day offsets. A prediction is correct iff the predicted offset appears in the gold set.</w:t>
      </w:r>
    </w:p>
    <w:p>
      <w:pPr>
        <w:pStyle w:val="Compact"/>
        <w:numPr>
          <w:ilvl w:val="0"/>
          <w:numId w:val="1002"/>
        </w:numPr>
        <w:jc w:val="both"/>
        <w:keepNext w:val="0"/>
        <w:keepLines w:val="0"/>
        <w:widowControl w:val="1"/>
      </w:pPr>
      <w:r>
        <w:rPr>
          <w:b/>
          <w:bCs/>
        </w:rPr>
        <w:t xml:space="preserve">Test-Time Pair F1 (end-to-end).</w:t>
      </w:r>
      <w:r>
        <w:t xml:space="preserve"> </w:t>
      </w:r>
      <w:r>
        <w:t xml:space="preserve">Set-level F1 over complete (TestSpecification, days_offset) pairs. A prediction is correct iff the entire pair matches a gold pair; this is the strict end-to-end metric. With</w:t>
      </w:r>
      <w:r>
        <w:t xml:space="preserve"> </w:t>
      </w:r>
      <m:oMath>
        <m:r>
          <m:t>P</m:t>
        </m:r>
      </m:oMath>
      <w:r>
        <w:t xml:space="preserve"> </w:t>
      </w:r>
      <w:r>
        <w:t xml:space="preserve">the predicted set of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p>
    <w:p>
      <w:pPr>
        <w:pStyle w:val="Compact"/>
        <w:numPr>
          <w:ilvl w:val="0"/>
          <w:numId w:val="1002"/>
        </w:numPr>
        <w:jc w:val="both"/>
        <w:keepNext w:val="0"/>
        <w:keepLines w:val="0"/>
        <w:widowControl w:val="1"/>
      </w:pPr>
      <w:r>
        <w:rPr>
          <w:b/>
          <w:bCs/>
        </w:rPr>
        <w:t xml:space="preserve">Time offset MAE on matched actions (days).</w:t>
      </w:r>
      <w:r>
        <w:t xml:space="preserve"> </w:t>
      </w:r>
      <w:r>
        <w:t xml:space="preserve">Among predictions whose canonical TestSpecification label matches a gold action, the mean of</w:t>
      </w:r>
      <w:r>
        <w:t xml:space="preserve"> </w:t>
      </w:r>
      <m:oMath>
        <m:r>
          <m:rPr>
            <m:sty m:val="p"/>
          </m:rPr>
          <m:t>|</m:t>
        </m:r>
        <m:sSub>
          <m:e>
            <m:r>
              <m:t>k</m:t>
            </m:r>
          </m:e>
          <m:sub>
            <m:r>
              <m:rPr>
                <m:sty m:val="p"/>
              </m:rPr>
              <m:t>p</m:t>
            </m:r>
            <m:r>
              <m:rPr>
                <m:sty m:val="p"/>
              </m:rPr>
              <m:t>r</m:t>
            </m:r>
            <m:r>
              <m:rPr>
                <m:sty m:val="p"/>
              </m:rPr>
              <m:t>e</m:t>
            </m:r>
            <m:r>
              <m:rPr>
                <m:sty m:val="p"/>
              </m:rPr>
              <m:t>d</m:t>
            </m:r>
          </m:sub>
        </m:sSub>
        <m:r>
          <m:rPr>
            <m:sty m:val="p"/>
          </m:rPr>
          <m:t>−</m:t>
        </m:r>
        <m:sSub>
          <m:e>
            <m:r>
              <m:t>k</m:t>
            </m:r>
          </m:e>
          <m:sub>
            <m:r>
              <m:rPr>
                <m:sty m:val="p"/>
              </m:rPr>
              <m:t>g</m:t>
            </m:r>
            <m:r>
              <m:rPr>
                <m:sty m:val="p"/>
              </m:rPr>
              <m:t>o</m:t>
            </m:r>
            <m:r>
              <m:rPr>
                <m:sty m:val="p"/>
              </m:rPr>
              <m:t>l</m:t>
            </m:r>
            <m:r>
              <m:rPr>
                <m:sty m:val="p"/>
              </m:rPr>
              <m:t>d</m:t>
            </m:r>
          </m:sub>
        </m:sSub>
        <m:r>
          <m:rPr>
            <m:sty m:val="p"/>
          </m:rPr>
          <m:t>|</m:t>
        </m:r>
      </m:oMath>
      <w:r>
        <w:t xml:space="preserve"> </w:t>
      </w:r>
      <w:r>
        <w:t xml:space="preserve">in days. The MAE is interpreted conditionally: if a model fails to extract the correct TestSpecification, that error is reflected in Pair F1 rather than in the MAE.</w:t>
      </w:r>
    </w:p>
    <w:bookmarkEnd w:id="38"/>
    <w:bookmarkStart w:id="39"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note-level bootstrap 95% confidence intervals for every metric in Table 2. For each metric we draw 1,000 bootstrap samples (random seed 123) from the held-out evaluation set, resampling notes with replacement and recomputing the metric on each sample; the 2.5th and 97.5th percentiles of the resulting distribution form the 95% confidence interval. All confidence-interval calculations are reproducible from the released per-system metric files using the analysis code distributed with the supplementary materials.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39"/>
    <w:bookmarkEnd w:id="40"/>
    <w:bookmarkStart w:id="48"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note-level bootstrap 95% confidence intervals for every metric on both the seen-test split (n=259 notes, action types in the training set) and the action-disjoint OOV-test split (n=259 notes, action types held out from training). Figure 4 visualizes the three F1 metrics; Figure 5 visualizes the time-offset MAE.</w:t>
      </w:r>
    </w:p>
    <w:p>
      <w:pPr>
        <w:pStyle w:val="TableCaption"/>
        <w:spacing w:before="160" w:after="60" w:line="240" w:lineRule="auto"/>
        <w:jc w:val="center"/>
        <w:keepNext/>
        <w:keepLines/>
        <w:widowControl w:val="1"/>
      </w:pPr>
      <w:r>
        <w:t xml:space="preserve">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w:t>
      </w:r>
    </w:p>
    <w:tbl>
      <w:tblPr>
        <w:tblStyle w:val="Table"/>
        <w:tblW w:type="pct" w:w="5000"/>
        <w:jc w:val="center"/>
        <w:tblLook w:firstRow="1" w:lastRow="0" w:firstColumn="0" w:lastColumn="0" w:noHBand="0" w:noVBand="0" w:val="0020"/>
        <w:tblCaption w:val="Table 2. Seen and OOV evaluation results with note-level bootstrap 95% confidence intervals. Both test sets contain 259 notes. The seen-test set uses notes whose TestSpecification types are entirely within the 18 training action types; the OOV-test set uses notes whose TestSpecification types are entirely within the 6 held-out action type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Split</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TestSpecification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TimeSpecification Offset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Test-Time Pair F1</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offset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0.997 [0.990,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structured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0.990 [0.979,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0.986 [0.972, 0.996]</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0.986 [0.972, 0.997]</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0.00 [0.00, 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0.992 [0.985,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0.511 [0.455, 0.563]</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0.510 [0.455, 0.562]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21.31 [12.75, 31.00]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LLaMA-3 8B LoRA</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0.991 [0.980, 0.998]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0.564 [0.509, 0.624]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0.567 [0.512, 0.625]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6.25 [2.56, 11.14]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[0.947, 0.977]</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0.530 [0.472, 0.582]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[0.471, 0.581]</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23.65 [14.06, 34.12]</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GPT-4o-mini zero-shot</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OOV</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0.932 [0.909, 0.952]</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0.533 [0.474, 0.592]</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0.532 [0.474, 0.590]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10.36 [4.38, 17.18]</w:t>
            </w:r>
          </w:p>
        </w:tc>
      </w:tr>
    </w:tbl>
    <w:p>
      <w:pPr>
        <w:pStyle w:val="BodyText"/>
        <w:jc w:val="center"/>
        <w:keepNext/>
        <w:keepLines/>
        <w:widowControl w:val="1"/>
      </w:pPr>
      <w:r>
        <w:drawing>
          <wp:inline>
            <wp:extent cx="5943600" cy="2290270"/>
            <wp:effectExtent b="0" l="0" r="0" t="0"/>
            <wp:docPr descr="Seen vs OOV F1 comparison by model and metric" title="" id="42" name="Picture"/>
            <a:graphic>
              <a:graphicData uri="http://schemas.openxmlformats.org/drawingml/2006/picture">
                <pic:pic>
                  <pic:nvPicPr>
                    <pic:cNvPr descr="E:/Projects/MedFollow/MedFollow/Paper/figures/seen_oov_f1_comparison.png" id="43" name="Picture"/>
                    <pic:cNvPicPr>
                      <a:picLocks noChangeArrowheads="1" noChangeAspect="1"/>
                    </pic:cNvPicPr>
                  </pic:nvPicPr>
                  <pic:blipFill>
                    <a:blip r:embed="rId41"/>
                    <a:stretch>
                      <a:fillRect/>
                    </a:stretch>
                  </pic:blipFill>
                  <pic:spPr bwMode="auto">
                    <a:xfrm>
                      <a:off x="0" y="0"/>
                      <a:ext cx="5943600" cy="22902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Held-out performance with note-level bootstrap 95% confidence intervals on the seen-test (in-distribution) and OOV-test (action-disjoint) splits. The structured pipeline reaches near-perfect F1 on all three metrics in both splits. Generative baselines achieve high TestSpecification F1 but their TimeSpecification Offset and Test-Time Pair F1 drop sharply, with CIs that do not overlap the BioBERT intervals on either split.</w:t>
      </w:r>
    </w:p>
    <w:p>
      <w:pPr>
        <w:pStyle w:val="BodyText"/>
        <w:jc w:val="center"/>
        <w:keepNext/>
        <w:keepLines/>
        <w:widowControl w:val="1"/>
      </w:pPr>
      <w:r>
        <w:drawing>
          <wp:inline>
            <wp:extent cx="5943600" cy="3295958"/>
            <wp:effectExtent b="0" l="0" r="0" t="0"/>
            <wp:docPr descr="Time-offset MAE by model and split" title="" id="45" name="Picture"/>
            <a:graphic>
              <a:graphicData uri="http://schemas.openxmlformats.org/drawingml/2006/picture">
                <pic:pic>
                  <pic:nvPicPr>
                    <pic:cNvPr descr="E:/Projects/MedFollow/MedFollow/Paper/figures/seen_oov_mae.png" id="46" name="Picture"/>
                    <pic:cNvPicPr>
                      <a:picLocks noChangeArrowheads="1" noChangeAspect="1"/>
                    </pic:cNvPicPr>
                  </pic:nvPicPr>
                  <pic:blipFill>
                    <a:blip r:embed="rId44"/>
                    <a:stretch>
                      <a:fillRect/>
                    </a:stretch>
                  </pic:blipFill>
                  <pic:spPr bwMode="auto">
                    <a:xfrm>
                      <a:off x="0" y="0"/>
                      <a:ext cx="5943600" cy="32959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Mean absolute time-offset error in days on matched TestSpecification entities, with note-level bootstrap 95% confidence intervals. Reference lines mark one day, one week, and one month. The structured pipeline achieves 0.00-day MAE in both splits because every linked time phrase is normalized by the deterministic rule grammar. Generative baselines produce day-scale to month-scale arithmetic errors.</w:t>
      </w:r>
    </w:p>
    <w:p>
      <w:pPr>
        <w:pStyle w:val="BodyText"/>
        <w:jc w:val="both"/>
        <w:keepNext w:val="0"/>
        <w:keepLines w:val="0"/>
        <w:widowControl w:val="1"/>
      </w:pPr>
      <w:r>
        <w:t xml:space="preserve">The structured pipeline achieves near-perfect performance on both splits: Test-Time Pair F1 is 0.997 [0.990, 1.000] on the seen split and 0.986 [0.972, 0.997] on the OOV split. The modest reduction on OOV is expected because the action types themselves are excluded from training, yet the model still generalizes by detecting unseen TestSpecification surface forms via the BIO tagger and routing them through the same relation extractor and deterministic normalizer. The TimeSpecification Offset F1 is 1.000 on the seen split and 0.986 on OOV, indicating that the temporal-extraction component is essentially split-invariant. The pipeline's time-offset MAE is 0.00 days in both splits.</w:t>
      </w:r>
    </w:p>
    <w:p>
      <w:pPr>
        <w:pStyle w:val="BodyText"/>
        <w:jc w:val="both"/>
        <w:keepNext w:val="0"/>
        <w:keepLines w:val="0"/>
        <w:widowControl w:val="1"/>
      </w:pPr>
      <w:r>
        <w:t xml:space="preserve">In contrast, both generative baselines achieve high TestSpecification F1 (LLaMA-3 0.992 / 0.991; GPT-4o-mini 0.963 / 0.932) but their Test-Time Pair F1 is approximately half: 0.510 / 0.567 for LLaMA-3 and 0.528 / 0.532 for GPT-4o-mini. The 95% confidence intervals for the structured pipeline's Pair F1 and Offset F1 do not overlap with the corresponding intervals of either generative baseline on either split, supporting a significant difference at</w:t>
      </w:r>
      <w:r>
        <w:t xml:space="preserve"> </w:t>
      </w:r>
      <m:oMath>
        <m:r>
          <m:t>p</m:t>
        </m:r>
        <m:r>
          <m:rPr>
            <m:sty m:val="p"/>
          </m:rPr>
          <m:t>&lt;</m:t>
        </m:r>
        <m:r>
          <m:t>0.05</m:t>
        </m:r>
      </m:oMath>
      <w:r>
        <w:t xml:space="preserve"> </w:t>
      </w:r>
      <w:r>
        <w:t xml:space="preserve">on these end-to-end metrics. The gap between near-perfect action recognition and ~0.51 Pair F1 reveals that the generative baselines correctly identify the clinical action label but fail to reconstruct the complete scheduled instruction.</w:t>
      </w:r>
    </w:p>
    <w:bookmarkStart w:id="47" w:name="error-analysis"/>
    <w:p>
      <w:pPr>
        <w:pStyle w:val="Heading3"/>
        <w:keepNext/>
        <w:keepLines/>
        <w:widowControl w:val="1"/>
      </w:pPr>
      <w:r>
        <w:t xml:space="preserve">4.1 Error analysis</w:t>
      </w:r>
    </w:p>
    <w:p>
      <w:pPr>
        <w:pStyle w:val="FirstParagraph"/>
        <w:jc w:val="both"/>
        <w:keepNext w:val="0"/>
        <w:keepLines w:val="0"/>
        <w:widowControl w:val="1"/>
      </w:pPr>
      <w:r>
        <w:t xml:space="preserve">The dominant error pattern across both generative baselines is a gap between TestSpecification identification and Test-Time pair reconstruction. This is most visible for LLaMA-3, where action recognition is near-perfect (F1 0.992 on seen) while pair reconstruction is ~0.51. Direct generation fails not because the model cannot name the action but because linking and temporal normalization are implicit in decoding and not exposed to inspection. Table 3 summarizes the qualitative error profile by model family.</w:t>
      </w:r>
    </w:p>
    <w:p>
      <w:pPr>
        <w:pStyle w:val="TableCaption"/>
        <w:spacing w:before="160" w:after="60" w:line="240" w:lineRule="auto"/>
        <w:jc w:val="center"/>
        <w:keepNext/>
        <w:keepLines/>
        <w:widowControl w:val="1"/>
      </w:pPr>
      <w:r>
        <w:t xml:space="preserve">Table 3. Qualitative error profile by model family on the seen and OOV test splits.</w:t>
      </w:r>
    </w:p>
    <w:tbl>
      <w:tblPr>
        <w:tblStyle w:val="Table"/>
        <w:tblW w:type="pct" w:w="5000"/>
        <w:jc w:val="center"/>
        <w:tblLook w:firstRow="1" w:lastRow="0" w:firstColumn="0" w:lastColumn="0" w:noHBand="0" w:noVBand="0" w:val="0020"/>
        <w:tblCaption w:val="Table 3. Qualitative error profile by model family on the seen and OOV test split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980"/>
        <w:gridCol w:w="1980"/>
        <w:gridCol w:w="1980"/>
        <w:gridCol w:w="198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Error category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BioBERT structured pipeline</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LLaMA-3 8B LoRA</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GPT-4o-mini zero-shot</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Missed TestSpecification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Moderate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Hallucinated / unsupported TestSpecification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Very rare (ontology canonicalization)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 (ontology-assisted prompt)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Possible in zero-shot generation</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Wrong TimeSpecification surface form</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 when linked span is correct</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Common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Common</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Wrong Test-Time relation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Rare; explicit relation extractor</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and not inspectable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and not inspectable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Temporal arithmetic error</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deterministic normalization</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High</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Auditability of failures</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High: spans, links, normalized fields all inspectable</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 direct JSON generation</w:t>
            </w:r>
          </w:p>
        </w:tc>
      </w:tr>
    </w:tbl>
    <w:p>
      <w:pPr>
        <w:pStyle w:val="BodyText"/>
        <w:spacing w:before="160"/>
        <w:jc w:val="both"/>
        <w:keepNext w:val="0"/>
        <w:keepLines w:val="0"/>
        <w:widowControl w:val="1"/>
      </w:pPr>
      <w:r>
        <w:t xml:space="preserve">Representative failures illustrate the temporal-arithmetic pattern: for "in approximately two months" (gold 60 days), GPT-4o-mini emitted a 304-day negative offset (year-boundary hallucination); for "ten mos" (gold 300 days), LLaMA-3 emitted 182 days (abbreviation misinterpretation); for "9-week follow-up" (gold 63 days), GPT-4o-mini emitted 60 days (small calendar mismatch). The structured pipeline routes these same phrases through the deterministic rule grammar, which maps them unambiguously to 60, 300, and 63 days. Additional worked examples are reported in the supplementary materials.</w:t>
      </w:r>
    </w:p>
    <w:bookmarkEnd w:id="47"/>
    <w:bookmarkEnd w:id="48"/>
    <w:bookmarkStart w:id="50"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The decisive gap is on full-pair reconstruction, not action recognition.</w:t>
      </w:r>
      <w:r>
        <w:t xml:space="preserve"> </w:t>
      </w:r>
      <w:r>
        <w:t xml:space="preserve">Both generative baselines achieve high TestSpecification F1 (LLaMA-3 0.992 / 0.991; GPT-4o-mini 0.963 / 0.932) but their Test-Time Pair F1 is approximately half (0.510 / 0.567 and 0.528 / 0.532). Models that correctly name the clinical action fail to assemble the full schedule, because linking and temporal normalization are implicit in decoding and not exposed to inspection. The structured pipeline closes this gap by representing the ScheduledFor relation explicitly and delegating temporal arithmetic to a deterministic post-processor.</w:t>
      </w:r>
    </w:p>
    <w:p>
      <w:pPr>
        <w:pStyle w:val="BodyText"/>
        <w:jc w:val="both"/>
        <w:keepNext w:val="0"/>
        <w:keepLines w:val="0"/>
        <w:widowControl w:val="1"/>
      </w:pPr>
      <w:r>
        <w:rPr>
          <w:b/>
          <w:bCs/>
        </w:rPr>
        <w:t xml:space="preserve">Auditability of the structured pipeline.</w:t>
      </w:r>
      <w:r>
        <w:t xml:space="preserve"> </w:t>
      </w:r>
      <w:r>
        <w:t xml:space="preserve">The neural and symbolic components address qualitatively different failure modes. The neural model handles ambiguous semantic interpretation, deciding which span is a TestSpecification, which is a TimeSpecification, and which time belongs to which action; the deterministic normalizer handles a narrow well-specified arithmetic problem, mapping a phrase such as "11 mos" together with the visit date to an integer day offset. Combining the two creates an auditable boundary: any wrong end-to-end pair can be attributed either to a wrong entity span (inspectable as a predicted character span), or to a wrong ScheduledFor link (inspectable as a predicted relation tuple), or to a wrong normalization (inspectable by re-running the rule grammar on the predicted phrase). An end-to-end generative model that emits "</w:t>
      </w:r>
      <w:r>
        <w:rPr>
          <w:rStyle w:val="VerbatimChar"/>
        </w:rPr>
        <w:t xml:space="preserve">2025-06-13</w:t>
      </w:r>
      <w:r>
        <w:t xml:space="preserve">" exposes none of these failure causes to inspection without reverse-engineering the decoder.</w:t>
      </w:r>
    </w:p>
    <w:p>
      <w:pPr>
        <w:pStyle w:val="BodyText"/>
        <w:jc w:val="both"/>
        <w:keepNext w:val="0"/>
        <w:keepLines w:val="0"/>
        <w:widowControl w:val="1"/>
      </w:pPr>
      <w:r>
        <w:rPr>
          <w:b/>
          <w:bCs/>
        </w:rPr>
        <w:t xml:space="preserve">Fine-tuning on in-distribution data does not close the gap.</w:t>
      </w:r>
      <w:r>
        <w:t xml:space="preserve"> </w:t>
      </w:r>
      <w:r>
        <w:t xml:space="preserve">The LLaMA-3 baseline is fine-tuned on the same training notes the structured pipeline uses and is given the closed ontology in its prompt, yet its Pair F1 remains at 0.510 on the seen-test split. The bottleneck is therefore not action-label recognition or ontology mismatch; it is the inability of unconstrained decoding to reliably reconstruct linked, normalized pairs. The TimeSpecification Offset F1 of 0.511 on seen-test and 0.564 on OOV-test for LLaMA-3 indicates the temporal-arithmetic component is the dominant failure mode. This is consistent with a generic argument: calendar arithmetic is a problem of computation, not of language, and is better delegated to a deterministic rule grammar than learned. The comparison reflects the specific LoRA configuration used here and would not necessarily hold for tool-using or constrained-decoding LLMs; nevertheless, it is informative that a fine-tuned 8B-parameter model with full access to the training distribution did not match a deterministic post-processor on the same time phrases.</w:t>
      </w:r>
    </w:p>
    <w:p>
      <w:pPr>
        <w:pStyle w:val="BodyText"/>
        <w:jc w:val="both"/>
        <w:keepNext w:val="0"/>
        <w:keepLines w:val="0"/>
        <w:widowControl w:val="1"/>
      </w:pPr>
      <w:r>
        <w:rPr>
          <w:b/>
          <w:bCs/>
        </w:rPr>
        <w:t xml:space="preserve">Generalization to held-out action types.</w:t>
      </w:r>
      <w:r>
        <w:t xml:space="preserve"> </w:t>
      </w:r>
      <w:r>
        <w:t xml:space="preserve">The structured pipeline retains near-perfect performance on the action-disjoint OOV-test split (Pair F1 0.986, MAE 0.00 days) despite never having seen the six OOV action types during training. The drop from seen to OOV is small (0.997 to 0.986 Pair F1) and is concentrated in TestSpecification F1 (0.997 to 0.990) rather than in Offset or arithmetic components. This indicates that the BIO tagger generalizes by surface-form features rather than by memorizing a closed action vocabulary, and that the ontology canonicalization stage can be updated to admit new action types without retraining the encoder. The generative baselines also generalize on action recognition (LLaMA-3 0.992 to 0.991, GPT-4o-mini 0.963 to 0.932) but their Pair F1 remains low on both splits, confirming that the OOV gap is not where the architecture difference matters.</w:t>
      </w:r>
    </w:p>
    <w:p>
      <w:pPr>
        <w:pStyle w:val="BodyText"/>
        <w:jc w:val="both"/>
        <w:keepNext w:val="0"/>
        <w:keepLines w:val="0"/>
        <w:widowControl w:val="1"/>
      </w:pPr>
      <w:r>
        <w:rPr>
          <w:b/>
          <w:bCs/>
        </w:rPr>
        <w:t xml:space="preserve">Scope of the LLM comparison.</w:t>
      </w:r>
      <w:r>
        <w:t xml:space="preserve"> </w:t>
      </w:r>
      <w:r>
        <w:t xml:space="preserve">The comparison with generative baselines is not a general indictment of LLMs for clinical extraction. LLMs may perform better with stronger prompts, tool use, constrained decoding, or retrieval; in particular, a tool-using LLM that delegates arithmetic to an external calculator would by construction recover most of the deterministic normalizer's advantage. The narrow conclusion is that, on this controlled benchmark, an architecture with explicit relation extraction and deterministic temporal normalization materially outperforms two reasonable end-to-end generative baselines on full-pair correctness and calendar arithmetic, with non-overlapping 95% CIs on the headline metrics in both in-distribution and OOV settings.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offset are known by construction; this enables exact-span metrics and the action-disjoint OOV evaluation that real-note evaluation cannot easily support. However, synthetic data can encode generator artifacts: consistent phrasing tics, a fixed closed ontology, predictable plan structure. The corpus partially mitigates this through ten style-feature axes, multiple plan-section variants, 549 distinct temporal-expression surface forms, and explicit stress factors. A model that overfits to the generator's surface lexicon would not be detectable from the present evaluation alone; transfer to real EHR documentation is the principal external-validity question.</w:t>
      </w:r>
    </w:p>
    <w:bookmarkStart w:id="49"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from controlled structured skeletons rather than drawn from real EHR documentation; generalization to real outpatient notes is the principal open question.</w:t>
      </w:r>
      <w:r>
        <w:t xml:space="preserve"> </w:t>
      </w:r>
      <w:r>
        <w:rPr>
          <w:i/>
          <w:iCs/>
        </w:rPr>
        <w:t xml:space="preserve">Limited action ontology:</w:t>
      </w:r>
      <w:r>
        <w:t xml:space="preserve"> </w:t>
      </w:r>
      <w:r>
        <w:t xml:space="preserve">the closed set covers imaging, laboratory and procedural tests, consults, and rehabilitation referrals, but does not include medication changes, conditional follow-up ("return if symptoms worsen"), patient self-care behavior, or instructions with ambiguous executor.</w:t>
      </w:r>
      <w:r>
        <w:t xml:space="preserve"> </w:t>
      </w:r>
      <w:r>
        <w:rPr>
          <w:i/>
          <w:iCs/>
        </w:rPr>
        <w:t xml:space="preserve">Single ontology and single normalization grammar:</w:t>
      </w:r>
      <w:r>
        <w:t xml:space="preserve"> </w:t>
      </w:r>
      <w:r>
        <w:t xml:space="preserve">we use one closed action ontology and one English-language temporal rule grammar; both are editable without retraining but neither has been validated outside the synthetic corpus.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rPr>
          <w:i/>
          <w:iCs/>
        </w:rPr>
        <w:t xml:space="preserve">Realism check on real transcribed notes.</w:t>
      </w:r>
      <w:r>
        <w:t xml:space="preserve"> </w:t>
      </w:r>
      <w:r>
        <w:t xml:space="preserve">A first-pass annotation of the twenty highest-scoring real transcribed outpatient notes from the public MTSamples corpus (Apache-2.0; approximately 5,000 clinician transcription samples) found that 40% (19 of 48 identified follow-up items) map cleanly to the closed-set ontology, with the remaining 60% falling into categories the synthetic corpus does not represent: medication titration (25% of items), generic specialist follow-up appointments without a specified procedure (17%), closed-set actions recommended without a scheduled time (13%), specialist referrals outside the consult set (8%), and conditional or self-care instructions. This is direct empirical evidence for the ontology-coverage limitation above and motivates extending the entity schema and ontology before any real-EHR deployment. The 20-note annotation and per-item coverage analysis are released as supplementary materials.</w:t>
      </w:r>
    </w:p>
    <w:p>
      <w:pPr>
        <w:pStyle w:val="BodyText"/>
        <w:jc w:val="both"/>
        <w:keepNext w:val="0"/>
        <w:keepLines w:val="0"/>
        <w:widowControl w:val="1"/>
      </w:pPr>
      <w:r>
        <w:t xml:space="preserve">Planned future work includes: (i) extending the TestSpecification ontology to medication management and conditional follow-up, with corresponding schema changes; (ii) encoder ablations across general BERT, ClinicalBERT, PubMedBERT, and GatorTron; (iii) per-stratum performance by specialty, note length, scheduled-item count, shorthand temporal forms, historical distractors, and proximity traps; (iv) a relation-extraction ablation against nearest-time, same-sentence, and action-order heuristics; (v) a temporal-normalization ablation against model-emitted day offsets with entity extraction held fixed; (vi) a clinician-annotated error taxonomy on a small de-identified real-note sample; and (vii) external evaluation on a de-identified institutional outpatient corpus or on a public clinical temporal-extraction benchmark adapted to ScheduledFor extraction.</w:t>
      </w:r>
    </w:p>
    <w:bookmarkEnd w:id="49"/>
    <w:bookmarkEnd w:id="50"/>
    <w:bookmarkStart w:id="51"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pipeline that formulates follow-up extraction as structured information extraction over TestSpecification and TimeSpecification entities linked by an explicit ScheduledFor relation, followed by ontology canonicalization and deterministic temporal normalization. On a 2,000-note synthetic outpatient benchmark with an action-disjoint Seen/OOV split design, the pipeline achieves Test-Time Pair F1 of 0.997 (seen-test) and 0.986 (OOV-test) with 0.00-day mean absolute time-offset error in both splits. Generative baselines (LoRA-fine-tuned LLaMA-3 8B and zero-shot GPT-4o-mini) achieve high TestSpecification F1 but only approximately 0.51 Pair F1, indicating that direct generation can name clinical actions but cannot reliably reconstruct the complete scheduled instruction. The architectural separation between learned semantic extraction and deterministic symbolic transformation exposes failure modes to inspection: any wrong pair can be attributed to a specific entity span, ScheduledFor link, or normalization step. The system is applicable to scheduling-auditor and care-coordination tools that operate downstream of structured EHR fields and require a trustworthy mapping from free-text plans to executable schedules. Transfer to real EHR notes, ontology extension to medication management and conditional follow-up, and a clinician-validated error taxonomy are the principal next steps before clinical deployment.</w:t>
      </w:r>
    </w:p>
    <w:bookmarkEnd w:id="51"/>
    <w:bookmarkStart w:id="52"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2"/>
    <w:bookmarkStart w:id="53"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4"/>
    <w:bookmarkStart w:id="55"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5"/>
    <w:bookmarkStart w:id="57"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described in Section 3.2, the training and inference code, the per-system metric files (point estimates and reconstructed success counts), the analysis code that produces the confidence intervals, and the source files for every manuscript figure are publicly available under permissive licences at</w:t>
      </w:r>
      <w:r>
        <w:t xml:space="preserve"> </w:t>
      </w:r>
      <w:hyperlink r:id="rId56">
        <w:r>
          <w:rPr>
            <w:rStyle w:val="Hyperlink"/>
          </w:rPr>
          <w:t xml:space="preserve">https://github.com/ApartsinProjects/MedFollow</w:t>
        </w:r>
      </w:hyperlink>
      <w:r>
        <w:t xml:space="preserve">. A persistent DOI release on Zenodo will be deposited at acceptance and cited in the final version. Trained model checkpoints (the fine-tuned BioBERT weights and the LLaMA-3 LoRA adapter) are not redistributed in the public release because of repository-size constraints and are available from the corresponding author on reasonable request.</w:t>
      </w:r>
    </w:p>
    <w:bookmarkEnd w:id="57"/>
    <w:bookmarkStart w:id="58"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random seeds are documented in the supplementary materials. No generative-AI tools were used to create or alter images.</w:t>
      </w:r>
    </w:p>
    <w:bookmarkEnd w:id="58"/>
    <w:bookmarkStart w:id="59"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59"/>
    <w:bookmarkStart w:id="106"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bookmarkStart w:id="61" w:name="ref-wang2018"/>
      <w:r>
        <w:t xml:space="preserve">[1] Y. Wang, L. Wang, M. Rastegar-Mojarad, S. Moon, F. Shen, N. Afzal, S. Liu, Y. Zeng, S. Mehrabi, S. Sohn, H. Liu, Clinical information extraction applications: a literature review, J. Biomed. Inform. 77 (2018) 34-49.</w:t>
      </w:r>
      <w:r>
        <w:t xml:space="preserve"> </w:t>
      </w:r>
      <w:hyperlink r:id="rId60">
        <w:r>
          <w:rPr>
            <w:rStyle w:val="Hyperlink"/>
          </w:rPr>
          <w:t xml:space="preserve">https://doi.org/10.1016/j.jbi.2017.11.011</w:t>
        </w:r>
      </w:hyperlink>
      <w:r>
        <w:t xml:space="preserve">.</w:t>
      </w:r>
      <w:bookmarkEnd w:id="61"/>
    </w:p>
    <w:p>
      <w:pPr>
        <w:pStyle w:val="ReferenceEntry"/>
        <w:numPr>
          <w:ilvl w:val="0"/>
          <w:numId w:val="1003"/>
        </w:numPr>
        <w:jc w:val="left"/>
        <w:keepNext w:val="0"/>
        <w:keepLines w:val="0"/>
        <w:widowControl w:val="1"/>
      </w:pPr>
      <w:bookmarkStart w:id="63"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2">
        <w:r>
          <w:rPr>
            <w:rStyle w:val="Hyperlink"/>
          </w:rPr>
          <w:t xml:space="preserve">https://doi.org/10.1136/jamia.2009.001560</w:t>
        </w:r>
      </w:hyperlink>
      <w:r>
        <w:t xml:space="preserve">.</w:t>
      </w:r>
      <w:bookmarkEnd w:id="63"/>
    </w:p>
    <w:p>
      <w:pPr>
        <w:pStyle w:val="ReferenceEntry"/>
        <w:numPr>
          <w:ilvl w:val="0"/>
          <w:numId w:val="1003"/>
        </w:numPr>
        <w:jc w:val="left"/>
        <w:keepNext w:val="0"/>
        <w:keepLines w:val="0"/>
        <w:widowControl w:val="1"/>
      </w:pPr>
      <w:bookmarkStart w:id="65" w:name="ref-sun2013"/>
      <w:r>
        <w:t xml:space="preserve">[3] W. Sun, A. Rumshisky, O. Uzuner, Evaluating temporal relations in clinical text: 2012 i2b2 Challenge, J. Am. Med. Inform. Assoc. 20 (2013) 806-813.</w:t>
      </w:r>
      <w:r>
        <w:t xml:space="preserve"> </w:t>
      </w:r>
      <w:hyperlink r:id="rId64">
        <w:r>
          <w:rPr>
            <w:rStyle w:val="Hyperlink"/>
          </w:rPr>
          <w:t xml:space="preserve">https://doi.org/10.1136/amiajnl-2013-001628</w:t>
        </w:r>
      </w:hyperlink>
      <w:r>
        <w:t xml:space="preserve">.</w:t>
      </w:r>
      <w:bookmarkEnd w:id="65"/>
    </w:p>
    <w:p>
      <w:pPr>
        <w:pStyle w:val="ReferenceEntry"/>
        <w:numPr>
          <w:ilvl w:val="0"/>
          <w:numId w:val="1003"/>
        </w:numPr>
        <w:jc w:val="left"/>
        <w:keepNext w:val="0"/>
        <w:keepLines w:val="0"/>
        <w:widowControl w:val="1"/>
      </w:pPr>
      <w:bookmarkStart w:id="67"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6">
        <w:r>
          <w:rPr>
            <w:rStyle w:val="Hyperlink"/>
          </w:rPr>
          <w:t xml:space="preserve">https://doi.org/10.1162/tacl_a_00172</w:t>
        </w:r>
      </w:hyperlink>
      <w:r>
        <w:t xml:space="preserve">.</w:t>
      </w:r>
      <w:bookmarkEnd w:id="67"/>
    </w:p>
    <w:p>
      <w:pPr>
        <w:pStyle w:val="ReferenceEntry"/>
        <w:numPr>
          <w:ilvl w:val="0"/>
          <w:numId w:val="1003"/>
        </w:numPr>
        <w:jc w:val="left"/>
        <w:keepNext w:val="0"/>
        <w:keepLines w:val="0"/>
        <w:widowControl w:val="1"/>
      </w:pPr>
      <w:bookmarkStart w:id="69"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68">
        <w:r>
          <w:rPr>
            <w:rStyle w:val="Hyperlink"/>
          </w:rPr>
          <w:t xml:space="preserve">https://doi.org/10.18653/v1/S15-2136</w:t>
        </w:r>
      </w:hyperlink>
      <w:r>
        <w:t xml:space="preserve">.</w:t>
      </w:r>
      <w:bookmarkEnd w:id="69"/>
    </w:p>
    <w:p>
      <w:pPr>
        <w:pStyle w:val="ReferenceEntry"/>
        <w:numPr>
          <w:ilvl w:val="0"/>
          <w:numId w:val="1003"/>
        </w:numPr>
        <w:jc w:val="left"/>
        <w:keepNext w:val="0"/>
        <w:keepLines w:val="0"/>
        <w:widowControl w:val="1"/>
      </w:pPr>
      <w:bookmarkStart w:id="71"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0">
        <w:r>
          <w:rPr>
            <w:rStyle w:val="Hyperlink"/>
          </w:rPr>
          <w:t xml:space="preserve">https://doi.org/10.18653/v1/S16-1165</w:t>
        </w:r>
      </w:hyperlink>
      <w:r>
        <w:t xml:space="preserve">.</w:t>
      </w:r>
      <w:bookmarkEnd w:id="71"/>
    </w:p>
    <w:p>
      <w:pPr>
        <w:pStyle w:val="ReferenceEntry"/>
        <w:numPr>
          <w:ilvl w:val="0"/>
          <w:numId w:val="1003"/>
        </w:numPr>
        <w:jc w:val="left"/>
        <w:keepNext w:val="0"/>
        <w:keepLines w:val="0"/>
        <w:widowControl w:val="1"/>
      </w:pPr>
      <w:bookmarkStart w:id="73"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2">
        <w:r>
          <w:rPr>
            <w:rStyle w:val="Hyperlink"/>
          </w:rPr>
          <w:t xml:space="preserve">https://doi.org/10.18653/v1/N19-1423</w:t>
        </w:r>
      </w:hyperlink>
      <w:r>
        <w:t xml:space="preserve">.</w:t>
      </w:r>
      <w:bookmarkEnd w:id="73"/>
    </w:p>
    <w:p>
      <w:pPr>
        <w:pStyle w:val="ReferenceEntry"/>
        <w:numPr>
          <w:ilvl w:val="0"/>
          <w:numId w:val="1003"/>
        </w:numPr>
        <w:jc w:val="left"/>
        <w:keepNext w:val="0"/>
        <w:keepLines w:val="0"/>
        <w:widowControl w:val="1"/>
      </w:pPr>
      <w:bookmarkStart w:id="75" w:name="ref-lee2020"/>
      <w:r>
        <w:t xml:space="preserve">[8] J. Lee, W. Yoon, S. Kim, D. Kim, S. Kim, C.H. So, J. Kang, BioBERT: a pre-trained biomedical language representation model for biomedical text mining, Bioinformatics 36 (2020) 1234-1240.</w:t>
      </w:r>
      <w:r>
        <w:t xml:space="preserve"> </w:t>
      </w:r>
      <w:hyperlink r:id="rId74">
        <w:r>
          <w:rPr>
            <w:rStyle w:val="Hyperlink"/>
          </w:rPr>
          <w:t xml:space="preserve">https://doi.org/10.1093/bioinformatics/btz682</w:t>
        </w:r>
      </w:hyperlink>
      <w:r>
        <w:t xml:space="preserve">.</w:t>
      </w:r>
      <w:bookmarkEnd w:id="75"/>
    </w:p>
    <w:p>
      <w:pPr>
        <w:pStyle w:val="ReferenceEntry"/>
        <w:numPr>
          <w:ilvl w:val="0"/>
          <w:numId w:val="1003"/>
        </w:numPr>
        <w:jc w:val="left"/>
        <w:keepNext w:val="0"/>
        <w:keepLines w:val="0"/>
        <w:widowControl w:val="1"/>
      </w:pPr>
      <w:bookmarkStart w:id="77"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6">
        <w:r>
          <w:rPr>
            <w:rStyle w:val="Hyperlink"/>
          </w:rPr>
          <w:t xml:space="preserve">https://doi.org/10.18653/v1/W19-1909</w:t>
        </w:r>
      </w:hyperlink>
      <w:r>
        <w:t xml:space="preserve">.</w:t>
      </w:r>
      <w:bookmarkEnd w:id="77"/>
    </w:p>
    <w:p>
      <w:pPr>
        <w:pStyle w:val="ReferenceEntry"/>
        <w:numPr>
          <w:ilvl w:val="0"/>
          <w:numId w:val="1003"/>
        </w:numPr>
        <w:jc w:val="left"/>
        <w:keepNext w:val="0"/>
        <w:keepLines w:val="0"/>
        <w:widowControl w:val="1"/>
      </w:pPr>
      <w:bookmarkStart w:id="79"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78">
        <w:r>
          <w:rPr>
            <w:rStyle w:val="Hyperlink"/>
          </w:rPr>
          <w:t xml:space="preserve">https://doi.org/10.1145/3458754</w:t>
        </w:r>
      </w:hyperlink>
      <w:r>
        <w:t xml:space="preserve">.</w:t>
      </w:r>
      <w:bookmarkEnd w:id="79"/>
    </w:p>
    <w:p>
      <w:pPr>
        <w:pStyle w:val="ReferenceEntry"/>
        <w:numPr>
          <w:ilvl w:val="0"/>
          <w:numId w:val="1003"/>
        </w:numPr>
        <w:jc w:val="left"/>
        <w:keepNext w:val="0"/>
        <w:keepLines w:val="0"/>
        <w:widowControl w:val="1"/>
      </w:pPr>
      <w:bookmarkStart w:id="81"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0">
        <w:r>
          <w:rPr>
            <w:rStyle w:val="Hyperlink"/>
          </w:rPr>
          <w:t xml:space="preserve">https://doi.org/10.1038/s41746-022-00742-2</w:t>
        </w:r>
      </w:hyperlink>
      <w:r>
        <w:t xml:space="preserve">.</w:t>
      </w:r>
      <w:bookmarkEnd w:id="81"/>
    </w:p>
    <w:p>
      <w:pPr>
        <w:pStyle w:val="ReferenceEntry"/>
        <w:numPr>
          <w:ilvl w:val="0"/>
          <w:numId w:val="1003"/>
        </w:numPr>
        <w:jc w:val="left"/>
        <w:keepNext w:val="0"/>
        <w:keepLines w:val="0"/>
        <w:widowControl w:val="1"/>
      </w:pPr>
      <w:bookmarkStart w:id="83"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2">
        <w:r>
          <w:rPr>
            <w:rStyle w:val="Hyperlink"/>
          </w:rPr>
          <w:t xml:space="preserve">https://doi.org/10.18653/v1/2022.emnlp-main.130</w:t>
        </w:r>
      </w:hyperlink>
      <w:r>
        <w:t xml:space="preserve">.</w:t>
      </w:r>
      <w:bookmarkEnd w:id="83"/>
    </w:p>
    <w:p>
      <w:pPr>
        <w:pStyle w:val="ReferenceEntry"/>
        <w:numPr>
          <w:ilvl w:val="0"/>
          <w:numId w:val="1003"/>
        </w:numPr>
        <w:jc w:val="left"/>
        <w:keepNext w:val="0"/>
        <w:keepLines w:val="0"/>
        <w:widowControl w:val="1"/>
      </w:pPr>
      <w:bookmarkStart w:id="85"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4">
        <w:r>
          <w:rPr>
            <w:rStyle w:val="Hyperlink"/>
          </w:rPr>
          <w:t xml:space="preserve">https://doi.org/10.1038/s41746-024-01079-8</w:t>
        </w:r>
      </w:hyperlink>
      <w:r>
        <w:t xml:space="preserve">.</w:t>
      </w:r>
      <w:bookmarkEnd w:id="85"/>
    </w:p>
    <w:p>
      <w:pPr>
        <w:pStyle w:val="ReferenceEntry"/>
        <w:numPr>
          <w:ilvl w:val="0"/>
          <w:numId w:val="1003"/>
        </w:numPr>
        <w:jc w:val="left"/>
        <w:keepNext w:val="0"/>
        <w:keepLines w:val="0"/>
        <w:widowControl w:val="1"/>
      </w:pPr>
      <w:bookmarkStart w:id="86"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6"/>
    </w:p>
    <w:p>
      <w:pPr>
        <w:pStyle w:val="ReferenceEntry"/>
        <w:numPr>
          <w:ilvl w:val="0"/>
          <w:numId w:val="1003"/>
        </w:numPr>
        <w:jc w:val="left"/>
        <w:keepNext w:val="0"/>
        <w:keepLines w:val="0"/>
        <w:widowControl w:val="1"/>
      </w:pPr>
      <w:bookmarkStart w:id="87" w:name="ref-chang2012"/>
      <w:r>
        <w:t xml:space="preserve">[15] A.X. Chang, C.D. Manning, SUTime: a library for recognizing and normalizing time expressions, in: Proc. 8th Int. Conf. Lang. Resour. Eval. (LREC 2012), European Language Resources Association, Istanbul, 2012, pp. 3735-3740.</w:t>
      </w:r>
      <w:bookmarkEnd w:id="87"/>
    </w:p>
    <w:p>
      <w:pPr>
        <w:pStyle w:val="ReferenceEntry"/>
        <w:numPr>
          <w:ilvl w:val="0"/>
          <w:numId w:val="1003"/>
        </w:numPr>
        <w:jc w:val="left"/>
        <w:keepNext w:val="0"/>
        <w:keepLines w:val="0"/>
        <w:widowControl w:val="1"/>
      </w:pPr>
      <w:bookmarkStart w:id="89"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88">
        <w:r>
          <w:rPr>
            <w:rStyle w:val="Hyperlink"/>
          </w:rPr>
          <w:t xml:space="preserve">https://doi.org/10.18653/v1/W19-1908</w:t>
        </w:r>
      </w:hyperlink>
      <w:r>
        <w:t xml:space="preserve">.</w:t>
      </w:r>
      <w:bookmarkEnd w:id="89"/>
    </w:p>
    <w:p>
      <w:pPr>
        <w:pStyle w:val="ReferenceEntry"/>
        <w:numPr>
          <w:ilvl w:val="0"/>
          <w:numId w:val="1003"/>
        </w:numPr>
        <w:jc w:val="left"/>
        <w:keepNext w:val="0"/>
        <w:keepLines w:val="0"/>
        <w:widowControl w:val="1"/>
      </w:pPr>
      <w:bookmarkStart w:id="91"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0">
        <w:r>
          <w:rPr>
            <w:rStyle w:val="Hyperlink"/>
          </w:rPr>
          <w:t xml:space="preserve">https://doi.org/10.3233/FAIA200321</w:t>
        </w:r>
      </w:hyperlink>
      <w:r>
        <w:t xml:space="preserve">.</w:t>
      </w:r>
      <w:bookmarkEnd w:id="91"/>
    </w:p>
    <w:p>
      <w:pPr>
        <w:pStyle w:val="ReferenceEntry"/>
        <w:numPr>
          <w:ilvl w:val="0"/>
          <w:numId w:val="1003"/>
        </w:numPr>
        <w:jc w:val="left"/>
        <w:keepNext w:val="0"/>
        <w:keepLines w:val="0"/>
        <w:widowControl w:val="1"/>
      </w:pPr>
      <w:bookmarkStart w:id="92" w:name="ref-dozat2017"/>
      <w:r>
        <w:t xml:space="preserve">[18] T. Dozat, C.D. Manning, Deep biaffine attention for neural dependency parsing, in: Proc. 5th Int. Conf. Learn. Represent. (ICLR 2017), Toulon, 2017.</w:t>
      </w:r>
      <w:bookmarkEnd w:id="92"/>
    </w:p>
    <w:p>
      <w:pPr>
        <w:pStyle w:val="ReferenceEntry"/>
        <w:numPr>
          <w:ilvl w:val="0"/>
          <w:numId w:val="1003"/>
        </w:numPr>
        <w:jc w:val="left"/>
        <w:keepNext w:val="0"/>
        <w:keepLines w:val="0"/>
        <w:widowControl w:val="1"/>
      </w:pPr>
      <w:bookmarkStart w:id="94"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3">
        <w:r>
          <w:rPr>
            <w:rStyle w:val="Hyperlink"/>
          </w:rPr>
          <w:t xml:space="preserve">https://doi.org/10.1038/s41746-023-00879-8</w:t>
        </w:r>
      </w:hyperlink>
      <w:r>
        <w:t xml:space="preserve">.</w:t>
      </w:r>
      <w:bookmarkEnd w:id="94"/>
    </w:p>
    <w:p>
      <w:pPr>
        <w:pStyle w:val="ReferenceEntry"/>
        <w:numPr>
          <w:ilvl w:val="0"/>
          <w:numId w:val="1003"/>
        </w:numPr>
        <w:jc w:val="left"/>
        <w:keepNext w:val="0"/>
        <w:keepLines w:val="0"/>
        <w:widowControl w:val="1"/>
      </w:pPr>
      <w:bookmarkStart w:id="96"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5">
        <w:r>
          <w:rPr>
            <w:rStyle w:val="Hyperlink"/>
          </w:rPr>
          <w:t xml:space="preserve">https://doi.org/10.1093/jamia/ocad259</w:t>
        </w:r>
      </w:hyperlink>
      <w:r>
        <w:t xml:space="preserve">.</w:t>
      </w:r>
      <w:bookmarkEnd w:id="96"/>
    </w:p>
    <w:p>
      <w:pPr>
        <w:pStyle w:val="ReferenceEntry"/>
        <w:numPr>
          <w:ilvl w:val="0"/>
          <w:numId w:val="1003"/>
        </w:numPr>
        <w:jc w:val="left"/>
        <w:keepNext w:val="0"/>
        <w:keepLines w:val="0"/>
        <w:widowControl w:val="1"/>
      </w:pPr>
      <w:bookmarkStart w:id="97"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7"/>
    </w:p>
    <w:p>
      <w:pPr>
        <w:pStyle w:val="ReferenceEntry"/>
        <w:numPr>
          <w:ilvl w:val="0"/>
          <w:numId w:val="1003"/>
        </w:numPr>
        <w:jc w:val="left"/>
        <w:keepNext w:val="0"/>
        <w:keepLines w:val="0"/>
        <w:widowControl w:val="1"/>
      </w:pPr>
      <w:bookmarkStart w:id="99" w:name="ref-loni2025"/>
      <w:r>
        <w:t xml:space="preserve">[22] M. Loni, F. Poursalim, M. Asadi, A. Gharehbaghi, A review on generative AI models for synthetic medical text, time series, and longitudinal data, NPJ Digit. Med. 8 (2025) 281.</w:t>
      </w:r>
      <w:r>
        <w:t xml:space="preserve"> </w:t>
      </w:r>
      <w:hyperlink r:id="rId98">
        <w:r>
          <w:rPr>
            <w:rStyle w:val="Hyperlink"/>
          </w:rPr>
          <w:t xml:space="preserve">https://doi.org/10.1038/s41746-024-01409-w</w:t>
        </w:r>
      </w:hyperlink>
      <w:r>
        <w:t xml:space="preserve">.</w:t>
      </w:r>
      <w:bookmarkEnd w:id="99"/>
    </w:p>
    <w:p>
      <w:pPr>
        <w:pStyle w:val="ReferenceEntry"/>
        <w:numPr>
          <w:ilvl w:val="0"/>
          <w:numId w:val="1003"/>
        </w:numPr>
        <w:jc w:val="left"/>
        <w:keepNext w:val="0"/>
        <w:keepLines w:val="0"/>
        <w:widowControl w:val="1"/>
      </w:pPr>
      <w:bookmarkStart w:id="101" w:name="ref-callen2012"/>
      <w:r>
        <w:t xml:space="preserve">[23] J.L. Callen, J.I. Westbrook, A. Georgiou, J. Li, Failure to follow-up test results for ambulatory patients: a systematic review, J. Gen. Intern. Med. 27 (2012) 1334-1348.</w:t>
      </w:r>
      <w:r>
        <w:t xml:space="preserve"> </w:t>
      </w:r>
      <w:hyperlink r:id="rId100">
        <w:r>
          <w:rPr>
            <w:rStyle w:val="Hyperlink"/>
          </w:rPr>
          <w:t xml:space="preserve">https://doi.org/10.1007/s11606-011-1949-5</w:t>
        </w:r>
      </w:hyperlink>
      <w:r>
        <w:t xml:space="preserve">.</w:t>
      </w:r>
      <w:bookmarkEnd w:id="101"/>
    </w:p>
    <w:p>
      <w:pPr>
        <w:pStyle w:val="ReferenceEntry"/>
        <w:numPr>
          <w:ilvl w:val="0"/>
          <w:numId w:val="1003"/>
        </w:numPr>
        <w:jc w:val="left"/>
        <w:keepNext w:val="0"/>
        <w:keepLines w:val="0"/>
        <w:widowControl w:val="1"/>
      </w:pPr>
      <w:bookmarkStart w:id="103" w:name="ref-yetisgen2013"/>
      <w:r>
        <w:t xml:space="preserve">[24] M. Yetisgen-Yildiz, M.L. Gunn, F. Xia, T.H. Payne, A text processing pipeline to extract recommendations from radiology reports, J. Biomed. Inform. 46 (2013) 354-362.</w:t>
      </w:r>
      <w:r>
        <w:t xml:space="preserve"> </w:t>
      </w:r>
      <w:hyperlink r:id="rId102">
        <w:r>
          <w:rPr>
            <w:rStyle w:val="Hyperlink"/>
          </w:rPr>
          <w:t xml:space="preserve">https://doi.org/10.1016/j.jbi.2012.12.005</w:t>
        </w:r>
      </w:hyperlink>
      <w:r>
        <w:t xml:space="preserve">.</w:t>
      </w:r>
      <w:bookmarkEnd w:id="103"/>
    </w:p>
    <w:p>
      <w:pPr>
        <w:pStyle w:val="ReferenceEntry"/>
        <w:numPr>
          <w:ilvl w:val="0"/>
          <w:numId w:val="1003"/>
        </w:numPr>
        <w:jc w:val="left"/>
        <w:keepNext w:val="0"/>
        <w:keepLines w:val="0"/>
        <w:widowControl w:val="1"/>
      </w:pPr>
      <w:bookmarkStart w:id="105" w:name="ref-dagdelen2024"/>
      <w:r>
        <w:t xml:space="preserve">[25] J. Dagdelen, A. Dunn, S. Lee, N. Walker, A.S. Rosen, G. Ceder, K.A. Persson, A. Jain, Structured information extraction from scientific text with large language models, Nat. Commun. 15 (2024) 1418.</w:t>
      </w:r>
      <w:r>
        <w:t xml:space="preserve"> </w:t>
      </w:r>
      <w:hyperlink r:id="rId104">
        <w:r>
          <w:rPr>
            <w:rStyle w:val="Hyperlink"/>
          </w:rPr>
          <w:t xml:space="preserve">https://doi.org/10.1038/s41467-024-45563-x</w:t>
        </w:r>
      </w:hyperlink>
      <w:r>
        <w:t xml:space="preserve">.</w:t>
      </w:r>
      <w:bookmarkEnd w:id="105"/>
    </w:p>
    <w:bookmarkEnd w:id="106"/>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25" Type="http://schemas.openxmlformats.org/officeDocument/2006/relationships/image" Target="media/rId25.svg"/><Relationship Id="rId41" Type="http://schemas.openxmlformats.org/officeDocument/2006/relationships/image" Target="media/rId41.png"/><Relationship Id="rId44" Type="http://schemas.openxmlformats.org/officeDocument/2006/relationships/image" Target="media/rId44.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100" Type="http://schemas.openxmlformats.org/officeDocument/2006/relationships/hyperlink" Target="https://doi.org/10.1007/s11606-011-1949-5" TargetMode="External"/><Relationship Id="rId102" Type="http://schemas.openxmlformats.org/officeDocument/2006/relationships/hyperlink" Target="https://doi.org/10.1016/j.jbi.2012.12.005" TargetMode="External"/><Relationship Id="rId60" Type="http://schemas.openxmlformats.org/officeDocument/2006/relationships/hyperlink" Target="https://doi.org/10.1016/j.jbi.2017.11.011" TargetMode="External"/><Relationship Id="rId104" Type="http://schemas.openxmlformats.org/officeDocument/2006/relationships/hyperlink" Target="https://doi.org/10.1038/s41467-024-45563-x"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100" Type="http://schemas.openxmlformats.org/officeDocument/2006/relationships/hyperlink" Target="https://doi.org/10.1007/s11606-011-1949-5" TargetMode="External"/><Relationship Id="rId102" Type="http://schemas.openxmlformats.org/officeDocument/2006/relationships/hyperlink" Target="https://doi.org/10.1016/j.jbi.2012.12.005" TargetMode="External"/><Relationship Id="rId60" Type="http://schemas.openxmlformats.org/officeDocument/2006/relationships/hyperlink" Target="https://doi.org/10.1016/j.jbi.2017.11.011" TargetMode="External"/><Relationship Id="rId104" Type="http://schemas.openxmlformats.org/officeDocument/2006/relationships/hyperlink" Target="https://doi.org/10.1038/s41467-024-45563-x" TargetMode="External"/><Relationship Id="rId80" Type="http://schemas.openxmlformats.org/officeDocument/2006/relationships/hyperlink" Target="https://doi.org/10.1038/s41746-022-00742-2" TargetMode="External"/><Relationship Id="rId93" Type="http://schemas.openxmlformats.org/officeDocument/2006/relationships/hyperlink" Target="https://doi.org/10.1038/s41746-023-00879-8" TargetMode="External"/><Relationship Id="rId84" Type="http://schemas.openxmlformats.org/officeDocument/2006/relationships/hyperlink" Target="https://doi.org/10.1038/s41746-024-01079-8" TargetMode="External"/><Relationship Id="rId98" Type="http://schemas.openxmlformats.org/officeDocument/2006/relationships/hyperlink" Target="https://doi.org/10.1038/s41746-024-01409-w" TargetMode="External"/><Relationship Id="rId74" Type="http://schemas.openxmlformats.org/officeDocument/2006/relationships/hyperlink" Target="https://doi.org/10.1093/bioinformatics/btz682" TargetMode="External"/><Relationship Id="rId95" Type="http://schemas.openxmlformats.org/officeDocument/2006/relationships/hyperlink" Target="https://doi.org/10.1093/jamia/ocad259" TargetMode="External"/><Relationship Id="rId64" Type="http://schemas.openxmlformats.org/officeDocument/2006/relationships/hyperlink" Target="https://doi.org/10.1136/amiajnl-2013-001628" TargetMode="External"/><Relationship Id="rId62" Type="http://schemas.openxmlformats.org/officeDocument/2006/relationships/hyperlink" Target="https://doi.org/10.1136/jamia.2009.001560" TargetMode="External"/><Relationship Id="rId78" Type="http://schemas.openxmlformats.org/officeDocument/2006/relationships/hyperlink" Target="https://doi.org/10.1145/3458754" TargetMode="External"/><Relationship Id="rId66" Type="http://schemas.openxmlformats.org/officeDocument/2006/relationships/hyperlink" Target="https://doi.org/10.1162/tacl_a_00172" TargetMode="External"/><Relationship Id="rId82" Type="http://schemas.openxmlformats.org/officeDocument/2006/relationships/hyperlink" Target="https://doi.org/10.18653/v1/2022.emnlp-main.130" TargetMode="External"/><Relationship Id="rId72" Type="http://schemas.openxmlformats.org/officeDocument/2006/relationships/hyperlink" Target="https://doi.org/10.18653/v1/N19-1423" TargetMode="External"/><Relationship Id="rId68" Type="http://schemas.openxmlformats.org/officeDocument/2006/relationships/hyperlink" Target="https://doi.org/10.18653/v1/S15-2136" TargetMode="External"/><Relationship Id="rId70" Type="http://schemas.openxmlformats.org/officeDocument/2006/relationships/hyperlink" Target="https://doi.org/10.18653/v1/S16-1165" TargetMode="External"/><Relationship Id="rId88" Type="http://schemas.openxmlformats.org/officeDocument/2006/relationships/hyperlink" Target="https://doi.org/10.18653/v1/W19-1908" TargetMode="External"/><Relationship Id="rId76" Type="http://schemas.openxmlformats.org/officeDocument/2006/relationships/hyperlink" Target="https://doi.org/10.18653/v1/W19-1909" TargetMode="External"/><Relationship Id="rId90" Type="http://schemas.openxmlformats.org/officeDocument/2006/relationships/hyperlink" Target="https://doi.org/10.3233/FAIA200321" TargetMode="External"/><Relationship Id="rId56"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2026-05-11T14:57:01Z</dcterms:created>
  <dcterms:modified xsi:type="dcterms:W3CDTF">2026-05-11T14:57:01Z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