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e6bb6eb8c5a0fb1960c6de1e3fb9161fae8c2c0"/>
    <w:p>
      <w:pPr>
        <w:pStyle w:val="Title"/>
        <w:spacing w:before="0" w:after="160"/>
        <w:jc w:val="center"/>
        <w:keepNext/>
        <w:keepLines/>
        <w:widowControl w:val="1"/>
      </w:pPr>
      <w:r>
        <w:t xml:space="preserve">Reliable Follow-Up Action and Date Extraction from Clinical Notes: A Hybrid Neural-Symbolic Approach</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routinely contain follow-up instructions that pair a clinical action with a future time ("MRI brain in two weeks", "RTC 3 mos"). Reliably extracting these as structured action-date pairs supports scheduling, care-coordination audit, and EHR-field validation, but end-to-end generative extractors are prone to date-arithmetic errors that are difficult to audit. We ask whether a hybrid neural-symbolic decomposition outperforms direct generative extraction on this task.</w:t>
      </w:r>
    </w:p>
    <w:p>
      <w:pPr>
        <w:pStyle w:val="BodyText"/>
        <w:jc w:val="both"/>
        <w:keepNext w:val="0"/>
        <w:keepLines w:val="0"/>
        <w:widowControl w:val="1"/>
      </w:pPr>
      <w:r>
        <w:rPr>
          <w:b/>
          <w:bCs/>
        </w:rPr>
        <w:t xml:space="preserve">Methods.</w:t>
      </w:r>
      <w:r>
        <w:t xml:space="preserve"> </w:t>
      </w:r>
      <w:r>
        <w:t xml:space="preserve">We propose a system in which a shared BioBERT encoder feeds a BIO tagging head for action and time spans and a biaffine span-pair head that links each action to a time span (or a none option), followed by deterministic date normalization anchored on the visit date. We construct a 2,000-note synthetic outpatient corpus covering five specialties, six plan-section variants, ten style-feature axes, and explicit stress factors (multi-action notes, shorthand temporal forms, historical distractors, proximity traps). We compare against a zero-shot ChatGPT (gpt-4o-mini) JSON extractor and a LoRA-fine-tuned LLaMA-3 8B baseline on the same held-out split, reporting span F1, linking F1, end-to-end action-date F1, exact date accuracy, and mean absolute date error, with Wilson and bootstrap 95% confidence intervals.</w:t>
      </w:r>
    </w:p>
    <w:p>
      <w:pPr>
        <w:pStyle w:val="BodyText"/>
        <w:jc w:val="both"/>
        <w:keepNext w:val="0"/>
        <w:keepLines w:val="0"/>
        <w:widowControl w:val="1"/>
      </w:pPr>
      <w:r>
        <w:rPr>
          <w:b/>
          <w:bCs/>
        </w:rPr>
        <w:t xml:space="preserve">Results.</w:t>
      </w:r>
      <w:r>
        <w:t xml:space="preserve"> </w:t>
      </w:r>
      <w:r>
        <w:t xml:space="preserve">On 198 held-out notes (196 gold actions), the hybrid pipeline achieves action-span F1 0.995 [0.987, 1.000], time-span F1 0.997 [0.992, 1.000], action-date F1 0.980 [0.964, 0.992], and mean absolute date error 0.53 days. ChatGPT zero-shot reaches action-date F1 0.827 [0.783, 0.864] (MAE 5.07 days); fine-tuned LLaMA-3 reaches 0.806 [0.762, 0.847] (MAE 10.88 days). Confidence intervals do not overlap on time F1, action-date F1, or exact date accuracy.</w:t>
      </w:r>
    </w:p>
    <w:p>
      <w:pPr>
        <w:pStyle w:val="BodyText"/>
        <w:jc w:val="both"/>
        <w:keepNext w:val="0"/>
        <w:keepLines w:val="0"/>
        <w:widowControl w:val="1"/>
      </w:pPr>
      <w:r>
        <w:rPr>
          <w:b/>
          <w:bCs/>
        </w:rPr>
        <w:t xml:space="preserve">Conclusion.</w:t>
      </w:r>
      <w:r>
        <w:t xml:space="preserve"> </w:t>
      </w:r>
      <w:r>
        <w:t xml:space="preserve">Separating learned semantic extraction from deterministic date arithmetic yields substantial reliability gains over direct generative extraction. The result supports a neural-symbolic design pattern for clinical scheduling-relevant information extraction; transfer to real EHR notes is the next required validation.</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formal task definition for follow-up extraction as set-level action-date pair recovery anchored on the visit date, with a strict end-to-end correctness criterion.</w:t>
      </w:r>
    </w:p>
    <w:p>
      <w:pPr>
        <w:pStyle w:val="Compact"/>
        <w:numPr>
          <w:ilvl w:val="0"/>
          <w:numId w:val="1001"/>
        </w:numPr>
        <w:jc w:val="both"/>
        <w:keepNext w:val="0"/>
        <w:keepLines w:val="0"/>
        <w:widowControl w:val="1"/>
      </w:pPr>
      <w:r>
        <w:t xml:space="preserve">A hybrid neural-symbolic architecture that combines a shared BioBERT encoder, BIO action/time tagging, biaffine action-time linking, and deterministic date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that spans five specialties, six plan-section variants, controlled stress factors (multi-action notes, shorthand temporal forms, historical distractors, proximity traps), and 0/1/2-action cases, with all gold spans and dates known by construction.</w:t>
      </w:r>
    </w:p>
    <w:p>
      <w:pPr>
        <w:pStyle w:val="Compact"/>
        <w:numPr>
          <w:ilvl w:val="0"/>
          <w:numId w:val="1001"/>
        </w:numPr>
        <w:jc w:val="both"/>
        <w:keepNext w:val="0"/>
        <w:keepLines w:val="0"/>
        <w:widowControl w:val="1"/>
      </w:pPr>
      <w:r>
        <w:t xml:space="preserve">A comparative evaluation against zero-shot ChatGPT and instruction-tuned LLaMA baselines on identical inputs, reporting span F1, linking F1, action-date F1, exact date accuracy, and mean absolute date error with Wilson 95% confidence intervals.</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notes encode follow-up instructions ("MRI in 2 weeks") in free text alongside multiple actions, distractors, and shorthand. End-to-end LLM extraction produces frequent calendar-arithmetic errors that are difficult to audit and propagate downstream.</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handle medical concept extraction. Rule-based temporal-expression normalizers (HeidelTime, SUTime) handle relative-date arithmetic. LLM-based structured extraction is feasible but error-prone on dates.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hybrid neural-symbolic system that separates semantic span and link extraction (learned) from calendar arithmetic (deterministic). On a 2,000-note synthetic corpus, action-date F1 reaches 0.980 with mean date error 0.53 days, against 0.806-0.827 and 5-11 days for ChatGPT and fine-tuned LLaMA-3 baselines, with non-overlapping 95% confidence intervals.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3"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output is a set of follow-up items:</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τ</m:t>
              </m:r>
            </m:e>
            <m:sub>
              <m:r>
                <m:t>i</m:t>
              </m:r>
            </m:sub>
          </m:sSub>
          <m:r>
            <m:rPr>
              <m:sty m:val="p"/>
            </m:rPr>
            <m:t>,</m:t>
          </m:r>
          <m:sSub>
            <m:e>
              <m:r>
                <m:t>d</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an action span,</w:t>
      </w:r>
      <w:r>
        <w:t xml:space="preserve"> </w:t>
      </w:r>
      <m:oMath>
        <m:sSub>
          <m:e>
            <m:r>
              <m:t>τ</m:t>
            </m:r>
          </m:e>
          <m:sub>
            <m:r>
              <m:t>i</m:t>
            </m:r>
          </m:sub>
        </m:sSub>
      </m:oMath>
      <w:r>
        <w:t xml:space="preserve"> </w:t>
      </w:r>
      <w:r>
        <w:t xml:space="preserve">is a time-expression span or null value, and</w:t>
      </w:r>
      <w:r>
        <w:t xml:space="preserve"> </w:t>
      </w:r>
      <m:oMath>
        <m:sSub>
          <m:e>
            <m:r>
              <m:t>d</m:t>
            </m:r>
          </m:e>
          <m:sub>
            <m:r>
              <m:t>i</m:t>
            </m:r>
          </m:sub>
        </m:sSub>
      </m:oMath>
      <w:r>
        <w:t xml:space="preserve"> </w:t>
      </w:r>
      <w:r>
        <w:t xml:space="preserve">is an ISO-formatted execution date normalized relative to</w:t>
      </w:r>
      <w:r>
        <w:t xml:space="preserve"> </w:t>
      </w:r>
      <m:oMath>
        <m:r>
          <m:t>v</m:t>
        </m:r>
      </m:oMath>
      <w:r>
        <w:t xml:space="preserve">. The model returns an empty set when no scheduled follow-up action is present. The strict end-to-end correctness criterion is set-level: a prediction is correct only when the action matches the gold action and the normalized date matches the gold date. The task decomposes into four subtasks: action span detection, time span detection, action-time linking, and date normalization. Figure 1 shows the system pipeline.</w:t>
      </w:r>
    </w:p>
    <w:p>
      <w:pPr>
        <w:pStyle w:val="BodyText"/>
        <w:jc w:val="center"/>
        <w:keepNext/>
        <w:keepLines/>
        <w:widowControl w:val="1"/>
      </w:pPr>
      <w:r>
        <w:drawing>
          <wp:inline>
            <wp:extent cx="5943600" cy="1981200"/>
            <wp:effectExtent b="0" l="0" r="0" t="0"/>
            <wp:docPr descr="System pipeline overview" title="" id="26" name="Picture"/>
            <a:graphic>
              <a:graphicData uri="http://schemas.openxmlformats.org/drawingml/2006/picture">
                <pic:pic>
                  <pic:nvPicPr>
                    <pic:cNvPr descr="E:/Projects/MedFollow/MedFollow/Pape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19812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Head A predicts BIO action and time tags from the contextual states; Head B is a biaffine linker that pairs each predicted action span with a time span (or with a none option); the linked time phrase is then normalized to an absolute ISO date by a deterministic</w:t>
      </w:r>
      <w:r>
        <w:t xml:space="preserve"> </w:t>
      </w:r>
      <w:r>
        <w:rPr>
          <w:rStyle w:val="VerbatimChar"/>
        </w:rPr>
        <w:t xml:space="preserve">dateparser</w:t>
      </w:r>
      <w:r>
        <w:t xml:space="preserve">-based stage. The blue dashed enclosure groups the learned components (fine-tuned BioBERT plus the two heads); the green dashed enclosure marks the deterministic component.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8" w:name="dataset"/>
    <w:p>
      <w:pPr>
        <w:pStyle w:val="Heading3"/>
        <w:keepNext/>
        <w:keepLines/>
        <w:widowControl w:val="1"/>
      </w:pPr>
      <w:r>
        <w:t xml:space="preserve">3.2 Dataset</w:t>
      </w:r>
    </w:p>
    <w:p>
      <w:pPr>
        <w:pStyle w:val="FirstParagraph"/>
        <w:jc w:val="both"/>
        <w:keepNext w:val="0"/>
        <w:keepLines w:val="0"/>
        <w:widowControl w:val="1"/>
      </w:pPr>
      <w:r>
        <w:t xml:space="preserve">We release</w:t>
      </w:r>
      <w:r>
        <w:t xml:space="preserve"> </w:t>
      </w:r>
      <w:r>
        <w:rPr>
          <w:rStyle w:val="VerbatimChar"/>
        </w:rPr>
        <w:t xml:space="preserve">Data/synthetic_clinical_notes_2000.csv</w:t>
      </w:r>
      <w:r>
        <w:t xml:space="preserve">, a 2,000-note synthetic outpatient corpus generated under a controlled schema to avoid use of protected health information. Each row contains the note text, the visit date (uniformly sampled across a two-year window, 2024-01-21 to 2026-01-20), specialty, clinical topic, plan-section variant, plan-header offsets, plan-section character offsets, action count, gold action/time character spans, normalized ISO follow-up dates, ten style-feature axes, and validation-flag fields. Notes were generated with the OpenAI</w:t>
      </w:r>
      <w:r>
        <w:t xml:space="preserve"> </w:t>
      </w:r>
      <w:r>
        <w:rPr>
          <w:rStyle w:val="VerbatimChar"/>
        </w:rPr>
        <w:t xml:space="preserve">gpt-4o-mini</w:t>
      </w:r>
      <w:r>
        <w:t xml:space="preserve"> </w:t>
      </w:r>
      <w:r>
        <w:t xml:space="preserve">model (default version as of November 2025) under a structured per-note prompt that fixes the specialty, clinical topic, plan-section variant, target action count, time-expression form, and a sampled style-feature vector; the decoding temperature was sampled per call from a small range to vary surface form. Generation prompts and seed records are archived in the project notebook.</w:t>
      </w:r>
    </w:p>
    <w:p>
      <w:pPr>
        <w:pStyle w:val="TableCaption"/>
        <w:spacing w:before="160" w:after="60" w:line="240" w:lineRule="auto"/>
        <w:jc w:val="center"/>
        <w:keepNext/>
        <w:keepLines/>
        <w:widowControl w:val="1"/>
      </w:pPr>
      <w:r>
        <w:t xml:space="preserve">Table 1. Corpus summary statistics.</w:t>
      </w:r>
    </w:p>
    <w:tbl>
      <w:tblPr>
        <w:tblStyle w:val="Table"/>
        <w:tblW w:type="pct" w:w="5000"/>
        <w:jc w:val="center"/>
        <w:tblLook w:firstRow="1" w:lastRow="0" w:firstColumn="0" w:lastColumn="0" w:noHBand="0" w:noVBand="0" w:val="0020"/>
        <w:tblCaption w:val="Table 1. Corpus summary statistic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(Cardiovascular/Pulmonary, Gastroenterology, General Medicine, Neurology, Orthopedic)</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Plan-section variants (A-F)</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action mentions (gold)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0 / 1 / 2 actions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actions per note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Style-feature axes (each multi-valued)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validation-flag annotations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 (1.3%)</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Recorded API errors during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p>
      <w:pPr>
        <w:pStyle w:val="BodyText"/>
        <w:spacing w:before="160"/>
        <w:jc w:val="both"/>
        <w:keepNext w:val="0"/>
        <w:keepLines w:val="0"/>
        <w:widowControl w:val="1"/>
      </w:pPr>
      <w:r>
        <w:t xml:space="preserve">The 28 closed-set action types span imaging (CT, MRI, X-Ray, Echocardiogram,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 referrals (Physical therapy, Annual physical). The ten style-feature axes are Certainty, Temporal Precision, Imperfections (perfect grammar, slight shorthand, heavy shorthand, dictation style, minor typos), Clinician Persona (action-oriented, educator, defensive medicine, burnout/hasty), Structure (standard SOAP headers, minimal headers, bullet points, run-on paragraph), Detail Level, Terminology, Narrative Voice, Tone, and Formality. Stress factors include multi-action notes, historical temporal distractors, shorthand temporal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in which two candidate times bracket a single action, and section ambiguity in which a future-tense phrase appears outside the formal plan section. The 2,028 gold action mentions are paired with 549 distinct temporal-expression surface forms; the most frequent expression accounts for only twelve mentions, indicating high lexical diversity rather than concentration on a small phrase set. All gold spans and normalized dates are known by construction. Of the 2,000 generated notes, 26 (1.3 percent) carry validation-flag annotations; these are retained in the released data with their flag codes for transparency. Two flagged notes fall in the test split and are excluded from the held-out evaluation, leaving 198 evaluation notes containing 196 gold actions. The corpus is partitioned into train, validation, and test splits at an 80/10/10 ratio (1,600 / 200 / 200 notes) by a numpy random shuffle with seed 42.</w:t>
      </w:r>
    </w:p>
    <w:p>
      <w:pPr>
        <w:pStyle w:val="BodyText"/>
        <w:jc w:val="center"/>
        <w:keepNext/>
        <w:keepLines/>
        <w:widowControl w:val="1"/>
      </w:pPr>
      <w:r>
        <w:drawing>
          <wp:inline>
            <wp:extent cx="5943600" cy="2971800"/>
            <wp:effectExtent b="0" l="0" r="0" t="0"/>
            <wp:docPr descr="Dataset composition by specialty and action count" title="" id="30" name="Picture"/>
            <a:graphic>
              <a:graphicData uri="http://schemas.openxmlformats.org/drawingml/2006/picture">
                <pic:pic>
                  <pic:nvPicPr>
                    <pic:cNvPr descr="E:/Projects/MedFollow/MedFollow/Paper/figures/dataset_composition.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E:/Projects/MedFollow/MedFollow/Pape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center"/>
        <w:keepNext/>
        <w:keepLines/>
        <w:widowControl w:val="1"/>
      </w:pPr>
      <w:r>
        <w:drawing>
          <wp:inline>
            <wp:extent cx="5943600" cy="3413442"/>
            <wp:effectExtent b="0" l="0" r="0" t="0"/>
            <wp:docPr descr="Stress-factor coverage" title="" id="36" name="Picture"/>
            <a:graphic>
              <a:graphicData uri="http://schemas.openxmlformats.org/drawingml/2006/picture">
                <pic:pic>
                  <pic:nvPicPr>
                    <pic:cNvPr descr="E:/Projects/MedFollow/MedFollow/Paper/figures/stress_factor_coverage.png" id="37" name="Picture"/>
                    <pic:cNvPicPr>
                      <a:picLocks noChangeArrowheads="1" noChangeAspect="1"/>
                    </pic:cNvPicPr>
                  </pic:nvPicPr>
                  <pic:blipFill>
                    <a:blip r:embed="rId35"/>
                    <a:stretch>
                      <a:fillRect/>
                    </a:stretch>
                  </pic:blipFill>
                  <pic:spPr bwMode="auto">
                    <a:xfrm>
                      <a:off x="0" y="0"/>
                      <a:ext cx="5943600" cy="3413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Distribution of stress factors across the corpus. Multi-action notes (26.3%), zero-action notes (24.9%), historical-time mentions, shorthand temporal forms, and the six plan variants are all represented at non-trivial proportions, ensuring that the held-out evaluation exercises the conditions the system is intended to handle.</w:t>
      </w:r>
    </w:p>
    <w:bookmarkEnd w:id="38"/>
    <w:bookmarkStart w:id="39"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tagging, biaffine action-time linking) and delegates date arithmetic to a deterministic post-processor.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Span tagging.</w:t>
      </w:r>
      <w:r>
        <w:t xml:space="preserve"> </w:t>
      </w:r>
      <w:r>
        <w:t xml:space="preserve">The first head predicts BIO tags over tokens,</w:t>
      </w:r>
      <w:r>
        <w:t xml:space="preserve"> </w:t>
      </w:r>
      <m:oMath>
        <m:sSub>
          <m:e>
            <m:r>
              <m:t>z</m:t>
            </m:r>
          </m:e>
          <m:sub>
            <m:r>
              <m:t>t</m:t>
            </m:r>
          </m:sub>
        </m:sSub>
        <m:r>
          <m:rPr>
            <m:sty m:val="p"/>
          </m:rPr>
          <m:t>∈</m:t>
        </m:r>
        <m:r>
          <m:rPr>
            <m:sty m:val="p"/>
          </m:rPr>
          <m:t>{</m:t>
        </m:r>
        <m:r>
          <m:rPr>
            <m:sty m:val="p"/>
          </m:rPr>
          <m:t>O</m:t>
        </m:r>
        <m:r>
          <m:rPr>
            <m:sty m:val="p"/>
          </m:rPr>
          <m:t>,</m:t>
        </m:r>
        <m:r>
          <m:rPr>
            <m:sty m:val="p"/>
          </m:rPr>
          <m:t>B</m:t>
        </m:r>
        <m:r>
          <m:rPr>
            <m:nor/>
            <m:sty m:val="p"/>
          </m:rPr>
          <m:t>-</m:t>
        </m:r>
        <m:r>
          <m:rPr>
            <m:sty m:val="p"/>
          </m:rPr>
          <m:t>A</m:t>
        </m:r>
        <m:r>
          <m:rPr>
            <m:sty m:val="p"/>
          </m:rPr>
          <m:t>C</m:t>
        </m:r>
        <m:r>
          <m:rPr>
            <m:sty m:val="p"/>
          </m:rPr>
          <m:t>T</m:t>
        </m:r>
        <m:r>
          <m:rPr>
            <m:sty m:val="p"/>
          </m:rPr>
          <m:t>,</m:t>
        </m:r>
        <m:r>
          <m:rPr>
            <m:sty m:val="p"/>
          </m:rPr>
          <m:t>I</m:t>
        </m:r>
        <m:r>
          <m:rPr>
            <m:nor/>
            <m:sty m:val="p"/>
          </m:rPr>
          <m:t>-</m:t>
        </m:r>
        <m:r>
          <m:rPr>
            <m:sty m:val="p"/>
          </m:rPr>
          <m:t>A</m:t>
        </m:r>
        <m:r>
          <m:rPr>
            <m:sty m:val="p"/>
          </m:rPr>
          <m:t>C</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The NER loss is weighted cross-entropy with per-class weights</w:t>
      </w:r>
      <w:r>
        <w:t xml:space="preserve"> </w:t>
      </w:r>
      <m:oMath>
        <m:r>
          <m:t>w</m:t>
        </m:r>
        <m:r>
          <m:rPr>
            <m:sty m:val="p"/>
          </m:rPr>
          <m:t>=</m:t>
        </m:r>
        <m:r>
          <m:rPr>
            <m:sty m:val="p"/>
          </m:rPr>
          <m:t>(</m:t>
        </m:r>
        <m:r>
          <m:t>0.1</m:t>
        </m:r>
        <m:r>
          <m:rPr>
            <m:sty m:val="p"/>
          </m:rPr>
          <m:t>,</m:t>
        </m:r>
        <m:r>
          <m:t>1.0</m:t>
        </m:r>
        <m:r>
          <m:rPr>
            <m:sty m:val="p"/>
          </m:rPr>
          <m:t>,</m:t>
        </m:r>
        <m:r>
          <m:t>1.0</m:t>
        </m:r>
        <m:r>
          <m:rPr>
            <m:sty m:val="p"/>
          </m:rPr>
          <m:t>,</m:t>
        </m:r>
        <m:r>
          <m:t>1.0</m:t>
        </m:r>
        <m:r>
          <m:rPr>
            <m:sty m:val="p"/>
          </m:rPr>
          <m:t>,</m:t>
        </m:r>
        <m:r>
          <m:t>1.0</m:t>
        </m:r>
        <m:r>
          <m:rPr>
            <m:sty m:val="p"/>
          </m:rPr>
          <m:t>)</m:t>
        </m:r>
      </m:oMath>
      <w:r>
        <w:t xml:space="preserve"> </w:t>
      </w:r>
      <w:r>
        <w:t xml:space="preserve">corresponding to (O, B-ACT, I-ACT, B-TIME, I-TIME) to reduce bias toward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we decode contiguous BIO sequences into character-offset spans using the offset-mapping returned by the BioBERT tokenizer; sub-token spans are merged across windows when they overlap.</w:t>
      </w:r>
    </w:p>
    <w:p>
      <w:pPr>
        <w:pStyle w:val="BodyText"/>
        <w:jc w:val="both"/>
        <w:keepNext w:val="0"/>
        <w:keepLines w:val="0"/>
        <w:widowControl w:val="1"/>
      </w:pPr>
      <w:r>
        <w:rPr>
          <w:i/>
          <w:iCs/>
        </w:rPr>
        <w:t xml:space="preserve">Span representation.</w:t>
      </w:r>
      <w:r>
        <w:t xml:space="preserve"> </w:t>
      </w:r>
      <w:r>
        <w:t xml:space="preserve">For each detected span</w:t>
      </w:r>
      <w:r>
        <w:t xml:space="preserve"> </w:t>
      </w:r>
      <m:oMath>
        <m:r>
          <m:t>s</m:t>
        </m:r>
        <m:r>
          <m:rPr>
            <m:sty m:val="p"/>
          </m:rPr>
          <m:t>=</m:t>
        </m:r>
        <m:r>
          <m:rPr>
            <m:sty m:val="p"/>
          </m:rPr>
          <m:t>(</m:t>
        </m:r>
        <m:r>
          <m:t>b</m:t>
        </m:r>
        <m:r>
          <m:rPr>
            <m:sty m:val="p"/>
          </m:rPr>
          <m:t>,</m:t>
        </m:r>
        <m:r>
          <m:t>e</m:t>
        </m:r>
        <m:r>
          <m:rPr>
            <m:sty m:val="p"/>
          </m:rPr>
          <m:t>)</m:t>
        </m:r>
      </m:oMath>
      <w:r>
        <w:t xml:space="preserve">, we concatenate the start hidden state, the end hidden state, and a learned width embedding to obtain</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 maps span length to one of nine learned vectors using buckets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oMath>
      <w:r>
        <w:t xml:space="preserve">.</w:t>
      </w:r>
    </w:p>
    <w:p>
      <w:pPr>
        <w:pStyle w:val="BodyText"/>
        <w:jc w:val="both"/>
        <w:keepNext w:val="0"/>
        <w:keepLines w:val="0"/>
        <w:widowControl w:val="1"/>
      </w:pPr>
      <w:r>
        <w:rPr>
          <w:i/>
          <w:iCs/>
        </w:rPr>
        <w:t xml:space="preserve">Action-time linking.</w:t>
      </w:r>
      <w:r>
        <w:t xml:space="preserve"> </w:t>
      </w:r>
      <w:r>
        <w:t xml:space="preserve">For each action span</w:t>
      </w:r>
      <w:r>
        <w:t xml:space="preserve"> </w:t>
      </w:r>
      <m:oMath>
        <m:r>
          <m:t>a</m:t>
        </m:r>
      </m:oMath>
      <w:r>
        <w:t xml:space="preserve"> </w:t>
      </w:r>
      <w:r>
        <w:t xml:space="preserve">and candidate time span</w:t>
      </w:r>
      <w:r>
        <w:t xml:space="preserve"> </w:t>
      </w:r>
      <m:oMath>
        <m:r>
          <m:t>t</m:t>
        </m:r>
      </m:oMath>
      <w:r>
        <w:t xml:space="preserve">, the linker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bucketized into thirteen learned 32-dimensional embeddings using cut-points</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r>
          <m:t>80</m:t>
        </m:r>
        <m:r>
          <m:rPr>
            <m:sty m:val="p"/>
          </m:rPr>
          <m:t>,</m:t>
        </m:r>
        <m:r>
          <m:t>160</m:t>
        </m:r>
        <m:r>
          <m:rPr>
            <m:sty m:val="p"/>
          </m:rPr>
          <m:t>,</m:t>
        </m:r>
        <m:r>
          <m:t>320</m:t>
        </m:r>
        <m:r>
          <m:rPr>
            <m:sty m:val="p"/>
          </m:rPr>
          <m:t>}</m:t>
        </m:r>
      </m:oMath>
      <w:r>
        <w:t xml:space="preserve">. For each action, the model applies a softmax over all candidate time spans plus a none option</w:t>
      </w:r>
      <w:r>
        <w:t xml:space="preserve"> </w:t>
      </w:r>
      <m:oMath>
        <m:r>
          <m:rPr>
            <m:sty m:val="p"/>
          </m:rPr>
          <m:t>⌀</m:t>
        </m:r>
      </m:oMath>
      <w:r>
        <w:t xml:space="preserve"> </w:t>
      </w:r>
      <w:r>
        <w:t xml:space="preserve">(a learned virtual time-span representation):</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We train end-to-end with the HuggingFace</w:t>
      </w:r>
      <w:r>
        <w:t xml:space="preserve"> </w:t>
      </w:r>
      <w:r>
        <w:rPr>
          <w:rStyle w:val="VerbatimChar"/>
        </w:rPr>
        <w:t xml:space="preserve">Trainer</w:t>
      </w:r>
      <w:r>
        <w:t xml:space="preserve"> </w:t>
      </w:r>
      <w:r>
        <w:t xml:space="preserve">defaults (AdamW, linear weight decay), batch size 16, learning rate 2×10</w:t>
      </w:r>
      <w:r>
        <w:rPr>
          <w:vertAlign w:val="superscript"/>
        </w:rPr>
        <w:t xml:space="preserve">-5</w:t>
      </w:r>
      <w:r>
        <w:t xml:space="preserve">, mixed precision (FP16) on a single CUDA GPU when available, gradient accumulation of 2 steps, 50 warmup steps, and early stopping on validation loss with patience 4. Linker labels for training are derived from gold spans; at inference, the linker operates on the spans predicted by the tagging head. Random seed 42 is used throughout.</w:t>
      </w:r>
    </w:p>
    <w:p>
      <w:pPr>
        <w:pStyle w:val="BodyText"/>
        <w:jc w:val="both"/>
        <w:keepNext w:val="0"/>
        <w:keepLines w:val="0"/>
        <w:widowControl w:val="1"/>
      </w:pPr>
      <w:r>
        <w:rPr>
          <w:i/>
          <w:iCs/>
        </w:rPr>
        <w:t xml:space="preserve">Date normalization.</w:t>
      </w:r>
      <w:r>
        <w:t xml:space="preserve"> </w:t>
      </w:r>
      <w:r>
        <w:t xml:space="preserve">After action-time linking, each linked time phrase</w:t>
      </w:r>
      <w:r>
        <w:t xml:space="preserve"> </w:t>
      </w:r>
      <m:oMath>
        <m:r>
          <m:t>τ</m:t>
        </m:r>
      </m:oMath>
      <w:r>
        <w:t xml:space="preserve"> </w:t>
      </w:r>
      <w:r>
        <w:t xml:space="preserve">is normalized to an absolute date</w:t>
      </w:r>
      <w:r>
        <w:t xml:space="preserve"> </w:t>
      </w:r>
      <m:oMath>
        <m:r>
          <m:t>d</m:t>
        </m:r>
      </m:oMath>
      <w:r>
        <w:t xml:space="preserve"> </w:t>
      </w:r>
      <w:r>
        <w:t xml:space="preserve">by deterministic parsing against the visit date</w:t>
      </w:r>
      <w:r>
        <w:t xml:space="preserve"> </w:t>
      </w:r>
      <m:oMath>
        <m:r>
          <m:t>v</m:t>
        </m:r>
      </m:oMath>
      <w:r>
        <w:t xml:space="preserve">:</w:t>
      </w:r>
      <w:r>
        <w:t xml:space="preserve"> </w:t>
      </w:r>
      <m:oMath>
        <m:r>
          <m:t>d</m:t>
        </m:r>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a</m:t>
        </m:r>
        <m:r>
          <m:rPr>
            <m:sty m:val="p"/>
          </m:rPr>
          <m:t>t</m:t>
        </m:r>
        <m:r>
          <m:rPr>
            <m:sty m:val="p"/>
          </m:rPr>
          <m:t>e</m:t>
        </m:r>
        <m:r>
          <m:rPr>
            <m:sty m:val="p"/>
          </m:rPr>
          <m:t>(</m:t>
        </m:r>
        <m:r>
          <m:t>τ</m:t>
        </m:r>
        <m:r>
          <m:rPr>
            <m:sty m:val="p"/>
          </m:rPr>
          <m:t>;</m:t>
        </m:r>
        <m:r>
          <m:t>v</m:t>
        </m:r>
        <m:r>
          <m:rPr>
            <m:sty m:val="p"/>
          </m:rPr>
          <m:t>)</m:t>
        </m:r>
      </m:oMath>
      <w:r>
        <w:t xml:space="preserve">. Implementation uses the Python</w:t>
      </w:r>
      <w:r>
        <w:t xml:space="preserve"> </w:t>
      </w:r>
      <w:r>
        <w:rPr>
          <w:rStyle w:val="VerbatimChar"/>
        </w:rPr>
        <w:t xml:space="preserve">dateparser</w:t>
      </w:r>
      <w:r>
        <w:t xml:space="preserve"> </w:t>
      </w:r>
      <w:r>
        <w:t xml:space="preserve">library with settings</w:t>
      </w:r>
      <w:r>
        <w:t xml:space="preserve"> </w:t>
      </w:r>
      <w:r>
        <w:rPr>
          <w:rStyle w:val="VerbatimChar"/>
        </w:rPr>
        <w:t xml:space="preserve">RELATIVE_BASE = v</w:t>
      </w:r>
      <w:r>
        <w:t xml:space="preserve">,</w:t>
      </w:r>
      <w:r>
        <w:t xml:space="preserve"> </w:t>
      </w:r>
      <w:r>
        <w:rPr>
          <w:rStyle w:val="VerbatimChar"/>
        </w:rPr>
        <w:t xml:space="preserve">PREFER_DATES_FROM = "future"</w:t>
      </w:r>
      <w:r>
        <w:t xml:space="preserve">, and</w:t>
      </w:r>
      <w:r>
        <w:t xml:space="preserve"> </w:t>
      </w:r>
      <w:r>
        <w:rPr>
          <w:rStyle w:val="VerbatimChar"/>
        </w:rPr>
        <w:t xml:space="preserve">DATE_ORDER = "DMY"</w:t>
      </w:r>
      <w:r>
        <w:t xml:space="preserve">. Phrases such as "in 2 weeks", "within five weeks", "11 mos", and "q6mo" are mapped to ISO dates by the library's relative-time grammar. The neural model is never asked to perform calendar arithmetic; failures at this stage are observable as parser-level errors and auditable against a fixed grammar rather than buried inside model logits.</w:t>
      </w:r>
    </w:p>
    <w:bookmarkEnd w:id="39"/>
    <w:bookmarkStart w:id="40"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w:t>
      </w:r>
      <w:r>
        <w:t xml:space="preserve"> </w:t>
      </w:r>
      <w:r>
        <w:rPr>
          <w:b/>
          <w:bCs/>
        </w:rPr>
        <w:t xml:space="preserve">ChatGPT zero-shot</w:t>
      </w:r>
      <w:r>
        <w:t xml:space="preserve"> </w:t>
      </w:r>
      <w:r>
        <w:t xml:space="preserve">uses the OpenAI</w:t>
      </w:r>
      <w:r>
        <w:t xml:space="preserve"> </w:t>
      </w:r>
      <w:r>
        <w:rPr>
          <w:rStyle w:val="VerbatimChar"/>
        </w:rPr>
        <w:t xml:space="preserve">gpt-4o-mini</w:t>
      </w:r>
      <w:r>
        <w:t xml:space="preserve"> </w:t>
      </w:r>
      <w:r>
        <w:t xml:space="preserve">model with a system prompt that instructs it to extract scheduled follow-up items as a JSON list of</w:t>
      </w:r>
      <w:r>
        <w:t xml:space="preserve"> </w:t>
      </w:r>
      <w:r>
        <w:rPr>
          <w:rStyle w:val="VerbatimChar"/>
        </w:rPr>
        <w:t xml:space="preserve">{action, period_text, period_date}</w:t>
      </w:r>
      <w:r>
        <w:t xml:space="preserve"> </w:t>
      </w:r>
      <w:r>
        <w:t xml:space="preserve">objects given the note text and visit date. Decoding uses temperature 0 and OpenAI structured-output mode (</w:t>
      </w:r>
      <w:r>
        <w:rPr>
          <w:rStyle w:val="VerbatimChar"/>
        </w:rPr>
        <w:t xml:space="preserve">response_format = {"type": "json_object"}</w:t>
      </w:r>
      <w:r>
        <w:t xml:space="preserve">); no in-context examples are provided. The closed-set action vocabulary is included in the prompt as a permitted-actions list.</w:t>
      </w:r>
      <w:r>
        <w:t xml:space="preserve"> </w:t>
      </w:r>
      <w:r>
        <w:rPr>
          <w:b/>
          <w:bCs/>
        </w:rPr>
        <w:t xml:space="preserve">LLaMA-3 8B fine-tuned</w:t>
      </w:r>
      <w:r>
        <w:t xml:space="preserve"> </w:t>
      </w:r>
      <w:r>
        <w:t xml:space="preserve">uses</w:t>
      </w:r>
      <w:r>
        <w:t xml:space="preserve"> </w:t>
      </w:r>
      <w:r>
        <w:rPr>
          <w:rStyle w:val="VerbatimChar"/>
        </w:rPr>
        <w:t xml:space="preserve">meta-llama/Meta-Llama-3-8B</w:t>
      </w:r>
      <w:r>
        <w:t xml:space="preserve"> </w:t>
      </w:r>
      <w:r>
        <w:t xml:space="preserve">as the base, fine-tuned on the 1,600-note training split with LoRA adapters (rank 16), 8-bit AdamW, cosine learning-rate schedule, and the same JSON output schema. Inference uses up to 256 new tokens. We report results under unconstrained decoding (STRICT) and under decoding restricted to the closed-set action vocabulary (CONSTRAINED).</w:t>
      </w:r>
    </w:p>
    <w:bookmarkEnd w:id="40"/>
    <w:bookmarkStart w:id="41" w:name="evaluation-metrics"/>
    <w:p>
      <w:pPr>
        <w:pStyle w:val="Heading3"/>
        <w:keepNext/>
        <w:keepLines/>
        <w:widowControl w:val="1"/>
      </w:pPr>
      <w:r>
        <w:t xml:space="preserve">3.5 Evaluation metrics</w:t>
      </w:r>
    </w:p>
    <w:p>
      <w:pPr>
        <w:pStyle w:val="FirstParagraph"/>
        <w:jc w:val="both"/>
        <w:keepNext w:val="0"/>
        <w:keepLines w:val="0"/>
        <w:widowControl w:val="1"/>
      </w:pPr>
      <w:r>
        <w:t xml:space="preserve">We report five metrics, all computed at the corpus level (micro-averaging) over the held-out split.</w:t>
      </w:r>
      <w:r>
        <w:t xml:space="preserve"> </w:t>
      </w:r>
      <w:r>
        <w:rPr>
          <w:i/>
          <w:iCs/>
        </w:rPr>
        <w:t xml:space="preserve">Span F1 (action; time):</w:t>
      </w:r>
      <w:r>
        <w:t xml:space="preserve"> </w:t>
      </w:r>
      <w:r>
        <w:t xml:space="preserve">a predicted span is correct iff its character-offset boundaries match the gold span exactly.</w:t>
      </w:r>
      <w:r>
        <w:t xml:space="preserve"> </w:t>
      </w:r>
      <w:r>
        <w:rPr>
          <w:i/>
          <w:iCs/>
        </w:rPr>
        <w:t xml:space="preserve">Linked-pair F1:</w:t>
      </w:r>
      <w:r>
        <w:t xml:space="preserve"> </w:t>
      </w:r>
      <w:r>
        <w:t xml:space="preserve">a predicted (action, time) pair is correct iff both spans match the gold spans exactly and the linking is correct; the none-link case is included on both sides.</w:t>
      </w:r>
      <w:r>
        <w:t xml:space="preserve"> </w:t>
      </w:r>
      <w:r>
        <w:rPr>
          <w:i/>
          <w:iCs/>
        </w:rPr>
        <w:t xml:space="preserve">Action-date F1:</w:t>
      </w:r>
      <w:r>
        <w:t xml:space="preserve"> </w:t>
      </w:r>
      <w:r>
        <w:t xml:space="preserve">the end-to-end metric. A prediction is correct iff the action span matches the gold span exactly and the normalized date</w:t>
      </w:r>
      <w:r>
        <w:t xml:space="preserve"> </w:t>
      </w:r>
      <m:oMath>
        <m:r>
          <m:t>d</m:t>
        </m:r>
      </m:oMath>
      <w:r>
        <w:t xml:space="preserve"> </w:t>
      </w:r>
      <w:r>
        <w:t xml:space="preserve">equals the gold date. With</w:t>
      </w:r>
      <w:r>
        <w:t xml:space="preserve"> </w:t>
      </w:r>
      <m:oMath>
        <m:r>
          <m:t>P</m:t>
        </m:r>
      </m:oMath>
      <w:r>
        <w:t xml:space="preserve"> </w:t>
      </w:r>
      <w:r>
        <w:t xml:space="preserve">the predicted set of (action, date)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r>
        <w:t xml:space="preserve"> </w:t>
      </w:r>
      <w:r>
        <w:rPr>
          <w:i/>
          <w:iCs/>
        </w:rPr>
        <w:t xml:space="preserve">Exact date accuracy on matched actions:</w:t>
      </w:r>
      <w:r>
        <w:t xml:space="preserve"> </w:t>
      </w:r>
      <w:r>
        <w:t xml:space="preserve">among predictions whose action span matches a gold action, the fraction whose normalized date equals the gold date.</w:t>
      </w:r>
      <w:r>
        <w:t xml:space="preserve"> </w:t>
      </w:r>
      <w:r>
        <w:rPr>
          <w:i/>
          <w:iCs/>
        </w:rPr>
        <w:t xml:space="preserve">Mean absolute date error (days):</w:t>
      </w:r>
      <w:r>
        <w:t xml:space="preserve"> </w:t>
      </w:r>
      <w:r>
        <w:t xml:space="preserve">among matched actions with a parseable predicted date, the mean of</w:t>
      </w:r>
      <w:r>
        <w:t xml:space="preserve"> </w:t>
      </w:r>
      <m:oMath>
        <m:r>
          <m:rPr>
            <m:sty m:val="p"/>
          </m:rPr>
          <m:t>|</m:t>
        </m:r>
        <m:sSub>
          <m:e>
            <m:r>
              <m:t>d</m:t>
            </m:r>
          </m:e>
          <m:sub>
            <m:r>
              <m:rPr>
                <m:sty m:val="p"/>
              </m:rPr>
              <m:t>p</m:t>
            </m:r>
            <m:r>
              <m:rPr>
                <m:sty m:val="p"/>
              </m:rPr>
              <m:t>r</m:t>
            </m:r>
            <m:r>
              <m:rPr>
                <m:sty m:val="p"/>
              </m:rPr>
              <m:t>e</m:t>
            </m:r>
            <m:r>
              <m:rPr>
                <m:sty m:val="p"/>
              </m:rPr>
              <m:t>d</m:t>
            </m:r>
          </m:sub>
        </m:sSub>
        <m:r>
          <m:rPr>
            <m:sty m:val="p"/>
          </m:rPr>
          <m:t>−</m:t>
        </m:r>
        <m:sSub>
          <m:e>
            <m:r>
              <m:t>d</m:t>
            </m:r>
          </m:e>
          <m:sub>
            <m:r>
              <m:rPr>
                <m:sty m:val="p"/>
              </m:rPr>
              <m:t>g</m:t>
            </m:r>
            <m:r>
              <m:rPr>
                <m:sty m:val="p"/>
              </m:rPr>
              <m:t>o</m:t>
            </m:r>
            <m:r>
              <m:rPr>
                <m:sty m:val="p"/>
              </m:rPr>
              <m:t>l</m:t>
            </m:r>
            <m:r>
              <m:rPr>
                <m:sty m:val="p"/>
              </m:rPr>
              <m:t>d</m:t>
            </m:r>
          </m:sub>
        </m:sSub>
        <m:r>
          <m:rPr>
            <m:sty m:val="p"/>
          </m:rPr>
          <m:t>|</m:t>
        </m:r>
      </m:oMath>
      <w:r>
        <w:t xml:space="preserve"> </w:t>
      </w:r>
      <w:r>
        <w:t xml:space="preserve">in calendar days.</w:t>
      </w:r>
    </w:p>
    <w:bookmarkEnd w:id="41"/>
    <w:bookmarkStart w:id="42"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Wilson 95% confidence intervals on all proportion-based metrics computed on the underlying success counts. For F1 metrics we report 10,000-replicate instance-level bootstrap intervals computed by resampling with replacement the reconstructed array of (TP, FP, FN) outcomes (random seed 42). The script that derives all confidence intervals from the released metrics files is committed as</w:t>
      </w:r>
      <w:r>
        <w:t xml:space="preserve"> </w:t>
      </w:r>
      <w:r>
        <w:rPr>
          <w:rStyle w:val="VerbatimChar"/>
        </w:rPr>
        <w:t xml:space="preserve">Paper/scripts/compute_confidence_intervals.py</w:t>
      </w:r>
      <w:r>
        <w:t xml:space="preserve">.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42"/>
    <w:bookmarkEnd w:id="43"/>
    <w:bookmarkStart w:id="50"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95% confidence intervals for all five metrics on the 198-note held-out set. Figure 5 visualizes span and end-to-end performance with confidence intervals; Figure 6 visualizes the date error.</w:t>
      </w:r>
    </w:p>
    <w:p>
      <w:pPr>
        <w:pStyle w:val="TableCaption"/>
        <w:spacing w:before="160" w:after="60" w:line="240" w:lineRule="auto"/>
        <w:jc w:val="center"/>
        <w:keepNext/>
        <w:keepLines/>
        <w:widowControl w:val="1"/>
      </w:pPr>
      <w:r>
        <w:t xml:space="preserve">Table 2. Held-out performance with 95% confidence intervals (n=198 notes; 196 gold actions; 192-196 matched actions for date metrics, depending on system).</w:t>
      </w:r>
    </w:p>
    <w:tbl>
      <w:tblPr>
        <w:tblStyle w:val="Table"/>
        <w:tblW w:type="pct" w:w="5000"/>
        <w:jc w:val="center"/>
        <w:tblLook w:firstRow="1" w:lastRow="0" w:firstColumn="0" w:lastColumn="0" w:noHBand="0" w:noVBand="0" w:val="0020"/>
        <w:tblCaption w:val="Table 2. Held-out performance with 95% confidence intervals (n=198 notes; 196 gold actions; 192-196 matched actions for date metrics, depending on system)."/>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Action-Date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Exact Acc.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hybrid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0.995 [0.987,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[0.992,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0.985 [0.956, 0.995]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0.53</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ChatGPT zero-shot (gpt-4o-mini)</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0.831 [0.790, 0.868]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[0.783, 0.864]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0.844 [0.786, 0.888]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5.07</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 8B fine-tuned (LoRA)</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0.816 [0.772, 0.854]</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[0.762, 0.847]</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[0.745, 0.855]</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10.88</w:t>
            </w:r>
          </w:p>
        </w:tc>
      </w:tr>
    </w:tbl>
    <w:p>
      <w:pPr>
        <w:pStyle w:val="BodyText"/>
        <w:jc w:val="center"/>
        <w:keepNext/>
        <w:keepLines/>
        <w:widowControl w:val="1"/>
      </w:pPr>
      <w:r>
        <w:drawing>
          <wp:inline>
            <wp:extent cx="5943600" cy="3113314"/>
            <wp:effectExtent b="0" l="0" r="0" t="0"/>
            <wp:docPr descr="Held-out performance with 95% confidence intervals" title="" id="45" name="Picture"/>
            <a:graphic>
              <a:graphicData uri="http://schemas.openxmlformats.org/drawingml/2006/picture">
                <pic:pic>
                  <pic:nvPicPr>
                    <pic:cNvPr descr="E:/Projects/MedFollow/MedFollow/Paper/figures/model_comparison_with_ci.png" id="46" name="Picture"/>
                    <pic:cNvPicPr>
                      <a:picLocks noChangeArrowheads="1" noChangeAspect="1"/>
                    </pic:cNvPicPr>
                  </pic:nvPicPr>
                  <pic:blipFill>
                    <a:blip r:embed="rId44"/>
                    <a:stretch>
                      <a:fillRect/>
                    </a:stretch>
                  </pic:blipFill>
                  <pic:spPr bwMode="auto">
                    <a:xfrm>
                      <a:off x="0" y="0"/>
                      <a:ext cx="5943600" cy="31133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Held-out span and end-to-end performance with 95% confidence intervals (Wilson for proportion metrics, 10,000-replicate bootstrap for F1). The hybrid pipeline's confidence intervals for time-span F1, action-date F1, and exact date accuracy do not overlap with either generative baseline.</w:t>
      </w:r>
    </w:p>
    <w:p>
      <w:pPr>
        <w:pStyle w:val="BodyText"/>
        <w:jc w:val="center"/>
        <w:keepNext/>
        <w:keepLines/>
        <w:widowControl w:val="1"/>
      </w:pPr>
      <w:r>
        <w:drawing>
          <wp:inline>
            <wp:extent cx="5852160" cy="3474720"/>
            <wp:effectExtent b="0" l="0" r="0" t="0"/>
            <wp:docPr descr="Mean absolute date error" title="" id="48" name="Picture"/>
            <a:graphic>
              <a:graphicData uri="http://schemas.openxmlformats.org/drawingml/2006/picture">
                <pic:pic>
                  <pic:nvPicPr>
                    <pic:cNvPr descr="E:/Projects/MedFollow/MedFollow/Paper/figures/date_error_with_dispersion.png" id="49" name="Picture"/>
                    <pic:cNvPicPr>
                      <a:picLocks noChangeArrowheads="1" noChangeAspect="1"/>
                    </pic:cNvPicPr>
                  </pic:nvPicPr>
                  <pic:blipFill>
                    <a:blip r:embed="rId4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Mean absolute date error in days on matched actions. Reference lines mark one day and one week. The hybrid pipeline achieves 0.53 days, compared with 5.07 (ChatGPT) and 10.88 (LLaMA-3), an order-of-magnitude reduction attributable to the deterministic normalization stage.</w:t>
      </w:r>
    </w:p>
    <w:p>
      <w:pPr>
        <w:pStyle w:val="BodyText"/>
        <w:jc w:val="both"/>
        <w:keepNext w:val="0"/>
        <w:keepLines w:val="0"/>
        <w:widowControl w:val="1"/>
      </w:pPr>
      <w:r>
        <w:t xml:space="preserve">The hybrid pipeline matches or exceeds the generative baselines on action span detection (0.995 F1 vs 0.980 for ChatGPT and 1.000 for LLaMA-3) and substantially exceeds them on time span detection (0.997 vs 0.831 and 0.816), action-time linking, and exact date accuracy. The 95% confidence intervals for the hybrid pipeline's time-span F1 ([0.992, 1.000]), action-date F1 ([0.964, 0.992]), and exact date accuracy ([0.956, 0.995]) do not overlap with the corresponding intervals for either ChatGPT ([0.790, 0.868], [0.783, 0.864], [0.786, 0.888]) or LLaMA-3 ([0.772, 0.854], [0.762, 0.847], [0.745, 0.855]), supporting a significant difference at</w:t>
      </w:r>
      <w:r>
        <w:t xml:space="preserve"> </w:t>
      </w:r>
      <m:oMath>
        <m:r>
          <m:t>p</m:t>
        </m:r>
        <m:r>
          <m:rPr>
            <m:sty m:val="p"/>
          </m:rPr>
          <m:t>&lt;</m:t>
        </m:r>
        <m:r>
          <m:t>0.05</m:t>
        </m:r>
      </m:oMath>
      <w:r>
        <w:t xml:space="preserve"> </w:t>
      </w:r>
      <w:r>
        <w:t xml:space="preserve">on these end-to-end metrics. The largest gap is in calendar arithmetic: the hybrid pipeline's mean absolute date error is below one day, while ChatGPT and LLaMA-3 produce errors of approximately five and eleven days respectively. This pattern is consistent with a generation failure mode in which a model can describe an action correctly but mishandles the relative-date calculation, and supports the central hypothesis that semantic extraction and date arithmetic should be separated. Action-span F1 is high for all three systems (the LLaMA-3 baseline reaches 1.000 [0.981, 1.000]) and CI overlap with the hybrid pipeline is substantial, so the decisive advantage of the hybrid design is on the temporal side of the task, not on lexical action recognition.</w:t>
      </w:r>
    </w:p>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Why decomposition wins.</w:t>
      </w:r>
      <w:r>
        <w:t xml:space="preserve"> </w:t>
      </w:r>
      <w:r>
        <w:t xml:space="preserve">The neural and symbolic components address qualitatively different failure modes. The neural model handles ambiguous semantic interpretation, deciding which span is an action, which is a time, and which time goes with which action, where labeled examples and contextual evidence are essential. The deterministic normalizer handles a narrow well-specified arithmetic problem, mapping a phrase such as "11 mos" together with a base date to an ISO date, where the right answer is uniquely defined by a fixed grammar and a calendar. Combining the two creates an auditable boundary: any wrong end-to-end date can be attributed either to a wrong linked phrase, inspectable as the predicted span, or to a wrong normalization, inspectable by re-running the parser on the predicted phrase. An end-to-end generative model that emits "</w:t>
      </w:r>
      <w:r>
        <w:rPr>
          <w:rStyle w:val="VerbatimChar"/>
        </w:rPr>
        <w:t xml:space="preserve">2025-06-13</w:t>
      </w:r>
      <w:r>
        <w:t xml:space="preserve">" exposes neither failure cause to inspection without reverse-engineering the model's reasoning.</w:t>
      </w:r>
    </w:p>
    <w:p>
      <w:pPr>
        <w:pStyle w:val="BodyText"/>
        <w:jc w:val="both"/>
        <w:keepNext w:val="0"/>
        <w:keepLines w:val="0"/>
        <w:widowControl w:val="1"/>
      </w:pPr>
      <w:r>
        <w:rPr>
          <w:b/>
          <w:bCs/>
        </w:rPr>
        <w:t xml:space="preserve">Fine-tuning did not close the temporal gap.</w:t>
      </w:r>
      <w:r>
        <w:t xml:space="preserve"> </w:t>
      </w:r>
      <w:r>
        <w:t xml:space="preserve">The LLaMA-3 baseline, fine-tuned on the same training data the hybrid pipeline used, achieves perfect action-span F1 (1.000 [1.000, 1.000]) but does not improve over zero-shot ChatGPT on time-span F1 (0.816 vs 0.831), action-date F1 (0.806 vs 0.827), or exact date accuracy (0.806 vs 0.844). Within-CI overlap on these temporal metrics indicates that fine-tuning a 8B-parameter model on 1,600 in-domain examples did not narrow the gap to a deterministic library. This is consistent with a generic argument: calendar arithmetic is a problem of computation, not of language, and is better delegated to a calculator than learned. The comparison reflects only the specific LoRA configuration used here and does not generalize across all fine-tuning recipes; nevertheless, it is informative that a model with full access to the training distribution underperformed a deterministic library on the same dates.</w:t>
      </w:r>
    </w:p>
    <w:p>
      <w:pPr>
        <w:pStyle w:val="BodyText"/>
        <w:jc w:val="both"/>
        <w:keepNext w:val="0"/>
        <w:keepLines w:val="0"/>
        <w:widowControl w:val="1"/>
      </w:pPr>
      <w:r>
        <w:rPr>
          <w:b/>
          <w:bCs/>
        </w:rPr>
        <w:t xml:space="preserve">Scope of the LLM comparison.</w:t>
      </w:r>
      <w:r>
        <w:t xml:space="preserve"> </w:t>
      </w:r>
      <w:r>
        <w:t xml:space="preserve">The comparison with generative baselines should not be read as a general indictment of LLMs for clinical extraction. LLMs are flexible and may perform substantially better with stronger prompts, multi-shot examples, tool use, constrained decoding, retrieval augmentation, or larger fine-tuning corpora; they may remain superior on tasks involving open-ended interpretation. The narrow conclusion supported here is that, on this synthetic benchmark, a task-specific decomposed pipeline materially outperforms two reasonable generative baselines on strict action-date correctness and date arithmetic, with non-overlapping 95% confidence intervals on the headline metrics.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date are known by construction; this enables exact-offset metrics and ablation studies that real-note evaluation cannot easily support. However, synthetic data can encode generator artifacts: consistent phrasing tics, restricted action ontology, predictable plan structure. The corpus partially mitigates this through ten style-feature axes, six plan-section variants, 549 distinct temporal-expression surface forms, and explicit stress factors. The residual risk is real: a model that overfits to the generator's lexicon would not be detectable from the present evaluation alone. The principal external-validity question, transfer to real EHR documentation, is not addressed by these experiments and is the subject of planned external evaluation.</w:t>
      </w:r>
    </w:p>
    <w:bookmarkStart w:id="51"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under a controlled schema rather than drawn from real EHR documentation; generalization to real notes is the principal open question.</w:t>
      </w:r>
      <w:r>
        <w:t xml:space="preserve"> </w:t>
      </w:r>
      <w:r>
        <w:rPr>
          <w:i/>
          <w:iCs/>
        </w:rPr>
        <w:t xml:space="preserve">Single split:</w:t>
      </w:r>
      <w:r>
        <w:t xml:space="preserve"> </w:t>
      </w:r>
      <w:r>
        <w:t xml:space="preserve">reported metrics are computed on one held-out split with sampling-uncertainty characterized by Wilson and bootstrap confidence intervals, but multi-seed training and repeated-split evaluation remain to be performed.</w:t>
      </w:r>
      <w:r>
        <w:t xml:space="preserve"> </w:t>
      </w:r>
      <w:r>
        <w:rPr>
          <w:i/>
          <w:iCs/>
        </w:rPr>
        <w:t xml:space="preserve">Limited action ontology:</w:t>
      </w:r>
      <w:r>
        <w:t xml:space="preserve"> </w:t>
      </w:r>
      <w:r>
        <w:t xml:space="preserve">the action set covers procedures, imaging, laboratory tests, consults, and rehabilitation referrals; medication changes, conditional follow-up ("return if symptoms worsen"), patient self-care behavior, and instructions with ambiguous executor are not yet represented.</w:t>
      </w:r>
      <w:r>
        <w:t xml:space="preserve"> </w:t>
      </w:r>
      <w:r>
        <w:rPr>
          <w:i/>
          <w:iCs/>
        </w:rPr>
        <w:t xml:space="preserve">Date normalization coverage:</w:t>
      </w:r>
      <w:r>
        <w:t xml:space="preserve"> </w:t>
      </w:r>
      <w:r>
        <w:t xml:space="preserve">deterministic normalization depends on the coverage of</w:t>
      </w:r>
      <w:r>
        <w:t xml:space="preserve"> </w:t>
      </w:r>
      <w:r>
        <w:rPr>
          <w:rStyle w:val="VerbatimChar"/>
        </w:rPr>
        <w:t xml:space="preserve">dateparser</w:t>
      </w:r>
      <w:r>
        <w:t xml:space="preserve"> </w:t>
      </w:r>
      <w:r>
        <w:t xml:space="preserve">for English-language relative phrases; ambiguous calendar phrases (e.g., "next Tuesday" near a weekend) may produce wrong dates.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t xml:space="preserve">Planned next-version experiments include: (i) linker ablation against nearest-time, same-sentence, and action-order heuristics; (ii) a date-normalization ablation against model-emitted dates with extraction held fixed; (iii) encoder ablation across general BERT, ClinicalBERT, PubMedBERT, and GatorTron; (iv) per-stratum performance by specialty, note length, action count, shorthand temporal forms, historical distractors, and proximity traps; (v) note-level bootstrap confidence intervals from raw predictions; (vi) a clinician-annotated error taxonomy; (vii) external evaluation on a de-identified institutional sample or a public clinical temporal-extraction benchmark adapted to action-date pairs.</w:t>
      </w:r>
    </w:p>
    <w:bookmarkEnd w:id="51"/>
    <w:bookmarkEnd w:id="52"/>
    <w:bookmarkStart w:id="53"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system for extracting structured follow-up action-date pairs from clinical notes. A shared BioBERT encoder feeds joint BIO tagging and biaffine action-time linking heads, and a deterministic normalizer converts relative temporal phrases into absolute dates anchored on the visit date. On a 2,000-note synthetic outpatient corpus, the system achieves 0.980 end-to-end action-date F1 (95% CI [0.964, 0.992]) and 0.53-day mean absolute date error, substantially and significantly exceeding zero-shot ChatGPT and instruction-tuned LLaMA-3 baselines on the same split. The result supports a reliability-first design principle for safety-relevant clinical extraction: when the output combines semantic interpretation with exact symbolic transformation, separating the two improves auditable correctness on the symbolic part. The system is applicable today to scheduling-auditor and care-coordination tools that operate downstream of structured EHR fields and need a trustworthy mapping from free-text plans to executable dates; clinical deployment requires the external validation, ablations, and clinician-validated error taxonomy enumerated as next steps.</w:t>
      </w:r>
    </w:p>
    <w:bookmarkEnd w:id="53"/>
    <w:bookmarkStart w:id="5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4"/>
    <w:bookmarkStart w:id="5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6"/>
    <w:bookmarkStart w:id="57"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7"/>
    <w:bookmarkStart w:id="59"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w:t>
      </w:r>
      <w:r>
        <w:rPr>
          <w:rStyle w:val="VerbatimChar"/>
        </w:rPr>
        <w:t xml:space="preserve">Data/synthetic_clinical_notes_2000.csv</w:t>
      </w:r>
      <w:r>
        <w:t xml:space="preserve">), training and inference code, per-system metric files (</w:t>
      </w:r>
      <w:r>
        <w:rPr>
          <w:rStyle w:val="VerbatimChar"/>
        </w:rPr>
        <w:t xml:space="preserve">Results/{biobert,chatgpt,llama}_metrics.json</w:t>
      </w:r>
      <w:r>
        <w:t xml:space="preserve">), the consolidated</w:t>
      </w:r>
      <w:r>
        <w:t xml:space="preserve"> </w:t>
      </w:r>
      <w:r>
        <w:rPr>
          <w:rStyle w:val="VerbatimChar"/>
        </w:rPr>
        <w:t xml:space="preserve">Results/results_with_ci.json</w:t>
      </w:r>
      <w:r>
        <w:t xml:space="preserve"> </w:t>
      </w:r>
      <w:r>
        <w:t xml:space="preserve">with point estimates and confidence intervals, all manuscript figures and the scripts that produced them (</w:t>
      </w:r>
      <w:r>
        <w:rPr>
          <w:rStyle w:val="VerbatimChar"/>
        </w:rPr>
        <w:t xml:space="preserve">Paper/scripts/</w:t>
      </w:r>
      <w:r>
        <w:t xml:space="preserve">), and the rendered manuscript are publicly available at</w:t>
      </w:r>
      <w:r>
        <w:t xml:space="preserve"> </w:t>
      </w:r>
      <w:hyperlink r:id="rId58">
        <w:r>
          <w:rPr>
            <w:rStyle w:val="Hyperlink"/>
          </w:rPr>
          <w:t xml:space="preserve">https://github.com/ApartsinProjects/MedFollow</w:t>
        </w:r>
      </w:hyperlink>
      <w:r>
        <w:t xml:space="preserve">. A persistent DOI release on Zenodo will be created at acceptance. Trained model checkpoints (BioBERT fine-tuned weights, LLaMA-3 LoRA adapter) are not included in the public repository at the time of submission and are available from the corresponding author on reasonable request.</w:t>
      </w:r>
    </w:p>
    <w:bookmarkEnd w:id="59"/>
    <w:bookmarkStart w:id="60"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seed records are archived in the project notebook released with the code repository. No generative-AI tools were used to create or alter images.</w:t>
      </w:r>
    </w:p>
    <w:bookmarkEnd w:id="60"/>
    <w:bookmarkStart w:id="61"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61"/>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63" w:name="ref-wang2018"/>
      <w:r>
        <w:t xml:space="preserve">[1] Y. Wang, L. Wang, M. Rastegar-Mojarad, S. Moon, F. Shen, N. Afzal, S. Liu, Y. Zeng, S. Mehrabi, S. Sohn, H. Liu, Clinical information extraction applications: a literature review, J. Biomed. Inform. 77 (2018) 34-49.</w:t>
      </w:r>
      <w:r>
        <w:t xml:space="preserve"> </w:t>
      </w:r>
      <w:hyperlink r:id="rId62">
        <w:r>
          <w:rPr>
            <w:rStyle w:val="Hyperlink"/>
          </w:rPr>
          <w:t xml:space="preserve">https://doi.org/10.1016/j.jbi.2017.11.011</w:t>
        </w:r>
      </w:hyperlink>
      <w:r>
        <w:t xml:space="preserve">.</w:t>
      </w:r>
      <w:bookmarkEnd w:id="63"/>
    </w:p>
    <w:p>
      <w:pPr>
        <w:pStyle w:val="ReferenceEntry"/>
        <w:numPr>
          <w:ilvl w:val="0"/>
          <w:numId w:val="1002"/>
        </w:numPr>
        <w:jc w:val="left"/>
        <w:keepNext w:val="0"/>
        <w:keepLines w:val="0"/>
        <w:widowControl w:val="1"/>
      </w:pPr>
      <w:bookmarkStart w:id="65"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4">
        <w:r>
          <w:rPr>
            <w:rStyle w:val="Hyperlink"/>
          </w:rPr>
          <w:t xml:space="preserve">https://doi.org/10.1136/jamia.2009.001560</w:t>
        </w:r>
      </w:hyperlink>
      <w:r>
        <w:t xml:space="preserve">.</w:t>
      </w:r>
      <w:bookmarkEnd w:id="65"/>
    </w:p>
    <w:p>
      <w:pPr>
        <w:pStyle w:val="ReferenceEntry"/>
        <w:numPr>
          <w:ilvl w:val="0"/>
          <w:numId w:val="1002"/>
        </w:numPr>
        <w:jc w:val="left"/>
        <w:keepNext w:val="0"/>
        <w:keepLines w:val="0"/>
        <w:widowControl w:val="1"/>
      </w:pPr>
      <w:bookmarkStart w:id="67" w:name="ref-sun2013"/>
      <w:r>
        <w:t xml:space="preserve">[3] W. Sun, A. Rumshisky, O. Uzuner, Evaluating temporal relations in clinical text: 2012 i2b2 Challenge, J. Am. Med. Inform. Assoc. 20 (2013) 806-813.</w:t>
      </w:r>
      <w:r>
        <w:t xml:space="preserve"> </w:t>
      </w:r>
      <w:hyperlink r:id="rId66">
        <w:r>
          <w:rPr>
            <w:rStyle w:val="Hyperlink"/>
          </w:rPr>
          <w:t xml:space="preserve">https://doi.org/10.1136/amiajnl-2013-001628</w:t>
        </w:r>
      </w:hyperlink>
      <w:r>
        <w:t xml:space="preserve">.</w:t>
      </w:r>
      <w:bookmarkEnd w:id="67"/>
    </w:p>
    <w:p>
      <w:pPr>
        <w:pStyle w:val="ReferenceEntry"/>
        <w:numPr>
          <w:ilvl w:val="0"/>
          <w:numId w:val="1002"/>
        </w:numPr>
        <w:jc w:val="left"/>
        <w:keepNext w:val="0"/>
        <w:keepLines w:val="0"/>
        <w:widowControl w:val="1"/>
      </w:pPr>
      <w:bookmarkStart w:id="69"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8">
        <w:r>
          <w:rPr>
            <w:rStyle w:val="Hyperlink"/>
          </w:rPr>
          <w:t xml:space="preserve">https://doi.org/10.1162/tacl_a_00172</w:t>
        </w:r>
      </w:hyperlink>
      <w:r>
        <w:t xml:space="preserve">.</w:t>
      </w:r>
      <w:bookmarkEnd w:id="69"/>
    </w:p>
    <w:p>
      <w:pPr>
        <w:pStyle w:val="ReferenceEntry"/>
        <w:numPr>
          <w:ilvl w:val="0"/>
          <w:numId w:val="1002"/>
        </w:numPr>
        <w:jc w:val="left"/>
        <w:keepNext w:val="0"/>
        <w:keepLines w:val="0"/>
        <w:widowControl w:val="1"/>
      </w:pPr>
      <w:bookmarkStart w:id="71"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70">
        <w:r>
          <w:rPr>
            <w:rStyle w:val="Hyperlink"/>
          </w:rPr>
          <w:t xml:space="preserve">https://doi.org/10.18653/v1/S15-2136</w:t>
        </w:r>
      </w:hyperlink>
      <w:r>
        <w:t xml:space="preserve">.</w:t>
      </w:r>
      <w:bookmarkEnd w:id="71"/>
    </w:p>
    <w:p>
      <w:pPr>
        <w:pStyle w:val="ReferenceEntry"/>
        <w:numPr>
          <w:ilvl w:val="0"/>
          <w:numId w:val="1002"/>
        </w:numPr>
        <w:jc w:val="left"/>
        <w:keepNext w:val="0"/>
        <w:keepLines w:val="0"/>
        <w:widowControl w:val="1"/>
      </w:pPr>
      <w:bookmarkStart w:id="73"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2">
        <w:r>
          <w:rPr>
            <w:rStyle w:val="Hyperlink"/>
          </w:rPr>
          <w:t xml:space="preserve">https://doi.org/10.18653/v1/S16-1165</w:t>
        </w:r>
      </w:hyperlink>
      <w:r>
        <w:t xml:space="preserve">.</w:t>
      </w:r>
      <w:bookmarkEnd w:id="73"/>
    </w:p>
    <w:p>
      <w:pPr>
        <w:pStyle w:val="ReferenceEntry"/>
        <w:numPr>
          <w:ilvl w:val="0"/>
          <w:numId w:val="1002"/>
        </w:numPr>
        <w:jc w:val="left"/>
        <w:keepNext w:val="0"/>
        <w:keepLines w:val="0"/>
        <w:widowControl w:val="1"/>
      </w:pPr>
      <w:bookmarkStart w:id="75"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4">
        <w:r>
          <w:rPr>
            <w:rStyle w:val="Hyperlink"/>
          </w:rPr>
          <w:t xml:space="preserve">https://doi.org/10.18653/v1/N19-1423</w:t>
        </w:r>
      </w:hyperlink>
      <w:r>
        <w:t xml:space="preserve">.</w:t>
      </w:r>
      <w:bookmarkEnd w:id="75"/>
    </w:p>
    <w:p>
      <w:pPr>
        <w:pStyle w:val="ReferenceEntry"/>
        <w:numPr>
          <w:ilvl w:val="0"/>
          <w:numId w:val="1002"/>
        </w:numPr>
        <w:jc w:val="left"/>
        <w:keepNext w:val="0"/>
        <w:keepLines w:val="0"/>
        <w:widowControl w:val="1"/>
      </w:pPr>
      <w:bookmarkStart w:id="77" w:name="ref-lee2020"/>
      <w:r>
        <w:t xml:space="preserve">[8] J. Lee, W. Yoon, S. Kim, D. Kim, S. Kim, C.H. So, J. Kang, BioBERT: a pre-trained biomedical language representation model for biomedical text mining, Bioinformatics 36 (2020) 1234-1240.</w:t>
      </w:r>
      <w:r>
        <w:t xml:space="preserve"> </w:t>
      </w:r>
      <w:hyperlink r:id="rId76">
        <w:r>
          <w:rPr>
            <w:rStyle w:val="Hyperlink"/>
          </w:rPr>
          <w:t xml:space="preserve">https://doi.org/10.1093/bioinformatics/btz682</w:t>
        </w:r>
      </w:hyperlink>
      <w:r>
        <w:t xml:space="preserve">.</w:t>
      </w:r>
      <w:bookmarkEnd w:id="77"/>
    </w:p>
    <w:p>
      <w:pPr>
        <w:pStyle w:val="ReferenceEntry"/>
        <w:numPr>
          <w:ilvl w:val="0"/>
          <w:numId w:val="1002"/>
        </w:numPr>
        <w:jc w:val="left"/>
        <w:keepNext w:val="0"/>
        <w:keepLines w:val="0"/>
        <w:widowControl w:val="1"/>
      </w:pPr>
      <w:bookmarkStart w:id="79"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8">
        <w:r>
          <w:rPr>
            <w:rStyle w:val="Hyperlink"/>
          </w:rPr>
          <w:t xml:space="preserve">https://doi.org/10.18653/v1/W19-1909</w:t>
        </w:r>
      </w:hyperlink>
      <w:r>
        <w:t xml:space="preserve">.</w:t>
      </w:r>
      <w:bookmarkEnd w:id="79"/>
    </w:p>
    <w:p>
      <w:pPr>
        <w:pStyle w:val="ReferenceEntry"/>
        <w:numPr>
          <w:ilvl w:val="0"/>
          <w:numId w:val="1002"/>
        </w:numPr>
        <w:jc w:val="left"/>
        <w:keepNext w:val="0"/>
        <w:keepLines w:val="0"/>
        <w:widowControl w:val="1"/>
      </w:pPr>
      <w:bookmarkStart w:id="81"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80">
        <w:r>
          <w:rPr>
            <w:rStyle w:val="Hyperlink"/>
          </w:rPr>
          <w:t xml:space="preserve">https://doi.org/10.1145/3458754</w:t>
        </w:r>
      </w:hyperlink>
      <w:r>
        <w:t xml:space="preserve">.</w:t>
      </w:r>
      <w:bookmarkEnd w:id="81"/>
    </w:p>
    <w:p>
      <w:pPr>
        <w:pStyle w:val="ReferenceEntry"/>
        <w:numPr>
          <w:ilvl w:val="0"/>
          <w:numId w:val="1002"/>
        </w:numPr>
        <w:jc w:val="left"/>
        <w:keepNext w:val="0"/>
        <w:keepLines w:val="0"/>
        <w:widowControl w:val="1"/>
      </w:pPr>
      <w:bookmarkStart w:id="83"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2">
        <w:r>
          <w:rPr>
            <w:rStyle w:val="Hyperlink"/>
          </w:rPr>
          <w:t xml:space="preserve">https://doi.org/10.1038/s41746-022-00742-2</w:t>
        </w:r>
      </w:hyperlink>
      <w:r>
        <w:t xml:space="preserve">.</w:t>
      </w:r>
      <w:bookmarkEnd w:id="83"/>
    </w:p>
    <w:p>
      <w:pPr>
        <w:pStyle w:val="ReferenceEntry"/>
        <w:numPr>
          <w:ilvl w:val="0"/>
          <w:numId w:val="1002"/>
        </w:numPr>
        <w:jc w:val="left"/>
        <w:keepNext w:val="0"/>
        <w:keepLines w:val="0"/>
        <w:widowControl w:val="1"/>
      </w:pPr>
      <w:bookmarkStart w:id="85"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4">
        <w:r>
          <w:rPr>
            <w:rStyle w:val="Hyperlink"/>
          </w:rPr>
          <w:t xml:space="preserve">https://doi.org/10.18653/v1/2022.emnlp-main.130</w:t>
        </w:r>
      </w:hyperlink>
      <w:r>
        <w:t xml:space="preserve">.</w:t>
      </w:r>
      <w:bookmarkEnd w:id="85"/>
    </w:p>
    <w:p>
      <w:pPr>
        <w:pStyle w:val="ReferenceEntry"/>
        <w:numPr>
          <w:ilvl w:val="0"/>
          <w:numId w:val="1002"/>
        </w:numPr>
        <w:jc w:val="left"/>
        <w:keepNext w:val="0"/>
        <w:keepLines w:val="0"/>
        <w:widowControl w:val="1"/>
      </w:pPr>
      <w:bookmarkStart w:id="87"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6">
        <w:r>
          <w:rPr>
            <w:rStyle w:val="Hyperlink"/>
          </w:rPr>
          <w:t xml:space="preserve">https://doi.org/10.1038/s41746-024-01079-8</w:t>
        </w:r>
      </w:hyperlink>
      <w:r>
        <w:t xml:space="preserve">.</w:t>
      </w:r>
      <w:bookmarkEnd w:id="87"/>
    </w:p>
    <w:p>
      <w:pPr>
        <w:pStyle w:val="ReferenceEntry"/>
        <w:numPr>
          <w:ilvl w:val="0"/>
          <w:numId w:val="1002"/>
        </w:numPr>
        <w:jc w:val="left"/>
        <w:keepNext w:val="0"/>
        <w:keepLines w:val="0"/>
        <w:widowControl w:val="1"/>
      </w:pPr>
      <w:bookmarkStart w:id="88"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8"/>
    </w:p>
    <w:p>
      <w:pPr>
        <w:pStyle w:val="ReferenceEntry"/>
        <w:numPr>
          <w:ilvl w:val="0"/>
          <w:numId w:val="1002"/>
        </w:numPr>
        <w:jc w:val="left"/>
        <w:keepNext w:val="0"/>
        <w:keepLines w:val="0"/>
        <w:widowControl w:val="1"/>
      </w:pPr>
      <w:bookmarkStart w:id="89" w:name="ref-chang2012"/>
      <w:r>
        <w:t xml:space="preserve">[15] A.X. Chang, C.D. Manning, SUTime: a library for recognizing and normalizing time expressions, in: Proc. 8th Int. Conf. Lang. Resour. Eval. (LREC 2012), European Language Resources Association, Istanbul, 2012, pp. 3735-3740.</w:t>
      </w:r>
      <w:bookmarkEnd w:id="89"/>
    </w:p>
    <w:p>
      <w:pPr>
        <w:pStyle w:val="ReferenceEntry"/>
        <w:numPr>
          <w:ilvl w:val="0"/>
          <w:numId w:val="1002"/>
        </w:numPr>
        <w:jc w:val="left"/>
        <w:keepNext w:val="0"/>
        <w:keepLines w:val="0"/>
        <w:widowControl w:val="1"/>
      </w:pPr>
      <w:bookmarkStart w:id="91"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90">
        <w:r>
          <w:rPr>
            <w:rStyle w:val="Hyperlink"/>
          </w:rPr>
          <w:t xml:space="preserve">https://doi.org/10.18653/v1/W19-1908</w:t>
        </w:r>
      </w:hyperlink>
      <w:r>
        <w:t xml:space="preserve">.</w:t>
      </w:r>
      <w:bookmarkEnd w:id="91"/>
    </w:p>
    <w:p>
      <w:pPr>
        <w:pStyle w:val="ReferenceEntry"/>
        <w:numPr>
          <w:ilvl w:val="0"/>
          <w:numId w:val="1002"/>
        </w:numPr>
        <w:jc w:val="left"/>
        <w:keepNext w:val="0"/>
        <w:keepLines w:val="0"/>
        <w:widowControl w:val="1"/>
      </w:pPr>
      <w:bookmarkStart w:id="93"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2">
        <w:r>
          <w:rPr>
            <w:rStyle w:val="Hyperlink"/>
          </w:rPr>
          <w:t xml:space="preserve">https://doi.org/10.3233/FAIA200321</w:t>
        </w:r>
      </w:hyperlink>
      <w:r>
        <w:t xml:space="preserve">.</w:t>
      </w:r>
      <w:bookmarkEnd w:id="93"/>
    </w:p>
    <w:p>
      <w:pPr>
        <w:pStyle w:val="ReferenceEntry"/>
        <w:numPr>
          <w:ilvl w:val="0"/>
          <w:numId w:val="1002"/>
        </w:numPr>
        <w:jc w:val="left"/>
        <w:keepNext w:val="0"/>
        <w:keepLines w:val="0"/>
        <w:widowControl w:val="1"/>
      </w:pPr>
      <w:bookmarkStart w:id="94" w:name="ref-dozat2017"/>
      <w:r>
        <w:t xml:space="preserve">[18] T. Dozat, C.D. Manning, Deep biaffine attention for neural dependency parsing, in: Proc. 5th Int. Conf. Learn. Represent. (ICLR 2017), Toulon, 2017.</w:t>
      </w:r>
      <w:bookmarkEnd w:id="94"/>
    </w:p>
    <w:p>
      <w:pPr>
        <w:pStyle w:val="ReferenceEntry"/>
        <w:numPr>
          <w:ilvl w:val="0"/>
          <w:numId w:val="1002"/>
        </w:numPr>
        <w:jc w:val="left"/>
        <w:keepNext w:val="0"/>
        <w:keepLines w:val="0"/>
        <w:widowControl w:val="1"/>
      </w:pPr>
      <w:bookmarkStart w:id="96"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5">
        <w:r>
          <w:rPr>
            <w:rStyle w:val="Hyperlink"/>
          </w:rPr>
          <w:t xml:space="preserve">https://doi.org/10.1038/s41746-023-00879-8</w:t>
        </w:r>
      </w:hyperlink>
      <w:r>
        <w:t xml:space="preserve">.</w:t>
      </w:r>
      <w:bookmarkEnd w:id="96"/>
    </w:p>
    <w:p>
      <w:pPr>
        <w:pStyle w:val="ReferenceEntry"/>
        <w:numPr>
          <w:ilvl w:val="0"/>
          <w:numId w:val="1002"/>
        </w:numPr>
        <w:jc w:val="left"/>
        <w:keepNext w:val="0"/>
        <w:keepLines w:val="0"/>
        <w:widowControl w:val="1"/>
      </w:pPr>
      <w:bookmarkStart w:id="98"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7">
        <w:r>
          <w:rPr>
            <w:rStyle w:val="Hyperlink"/>
          </w:rPr>
          <w:t xml:space="preserve">https://doi.org/10.1093/jamia/ocad259</w:t>
        </w:r>
      </w:hyperlink>
      <w:r>
        <w:t xml:space="preserve">.</w:t>
      </w:r>
      <w:bookmarkEnd w:id="98"/>
    </w:p>
    <w:p>
      <w:pPr>
        <w:pStyle w:val="ReferenceEntry"/>
        <w:numPr>
          <w:ilvl w:val="0"/>
          <w:numId w:val="1002"/>
        </w:numPr>
        <w:jc w:val="left"/>
        <w:keepNext w:val="0"/>
        <w:keepLines w:val="0"/>
        <w:widowControl w:val="1"/>
      </w:pPr>
      <w:bookmarkStart w:id="99"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9"/>
    </w:p>
    <w:p>
      <w:pPr>
        <w:pStyle w:val="ReferenceEntry"/>
        <w:numPr>
          <w:ilvl w:val="0"/>
          <w:numId w:val="1002"/>
        </w:numPr>
        <w:jc w:val="left"/>
        <w:keepNext w:val="0"/>
        <w:keepLines w:val="0"/>
        <w:widowControl w:val="1"/>
      </w:pPr>
      <w:bookmarkStart w:id="101" w:name="ref-loni2025"/>
      <w:r>
        <w:t xml:space="preserve">[22] M. Loni, F. Poursalim, M. Asadi, A. Gharehbaghi, A review on generative AI models for synthetic medical text, time series, and longitudinal data, NPJ Digit. Med. 8 (2025) 281.</w:t>
      </w:r>
      <w:r>
        <w:t xml:space="preserve"> </w:t>
      </w:r>
      <w:hyperlink r:id="rId100">
        <w:r>
          <w:rPr>
            <w:rStyle w:val="Hyperlink"/>
          </w:rPr>
          <w:t xml:space="preserve">https://doi.org/10.1038/s41746-024-01409-w</w:t>
        </w:r>
      </w:hyperlink>
      <w:r>
        <w:t xml:space="preserve">.</w:t>
      </w:r>
      <w:bookmarkEnd w:id="101"/>
    </w:p>
    <w:bookmarkEnd w:id="102"/>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47" Type="http://schemas.openxmlformats.org/officeDocument/2006/relationships/image" Target="media/rId47.png"/><Relationship Id="rId44" Type="http://schemas.openxmlformats.org/officeDocument/2006/relationships/image" Target="media/rId44.png"/><Relationship Id="rId25" Type="http://schemas.openxmlformats.org/officeDocument/2006/relationships/image" Target="media/rId25.svg"/><Relationship Id="rId35" Type="http://schemas.openxmlformats.org/officeDocument/2006/relationships/image" Target="media/rId35.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2026-05-10T13:59:17Z</dcterms:created>
  <dcterms:modified xsi:type="dcterms:W3CDTF">2026-05-10T13:59:17Z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