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esponse-to-the-editor-and-reviewers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Response to the Editor and</w:t>
      </w:r>
      <w:r>
        <w:t xml:space="preserve"> </w:t>
      </w:r>
      <w:r>
        <w:t xml:space="preserve">Reviewers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Georgia" w:hAnsi="Georgia"/>
          <w:b/>
          <w:bCs/>
          <w:i w:val="0"/>
          <w:sz w:val="24"/>
        </w:rPr>
        <w:t xml:space="preserve">Manuscript:</w:t>
      </w:r>
      <w:r>
        <w:rPr>
          <w:rFonts w:ascii="Georgia" w:hAnsi="Georgia"/>
          <w:b/>
          <w:i w:val="0"/>
          <w:sz w:val="24"/>
        </w:rPr>
        <w:t xml:space="preserve"> </w:t>
      </w:r>
      <w:r>
        <w:rPr>
          <w:rFonts w:ascii="Georgia" w:hAnsi="Georgia"/>
          <w:b/>
          <w:i w:val="0"/>
          <w:iCs/>
          <w:sz w:val="24"/>
        </w:rPr>
        <w:t xml:space="preserve">LLM-guided headline rewriting for</w:t>
      </w:r>
      <w:r>
        <w:rPr>
          <w:rFonts w:ascii="Georgia" w:hAnsi="Georgia"/>
          <w:b/>
          <w:i w:val="0"/>
          <w:iCs/>
          <w:sz w:val="24"/>
        </w:rPr>
        <w:t xml:space="preserve"> </w:t>
      </w:r>
      <w:r>
        <w:rPr>
          <w:rFonts w:ascii="Georgia" w:hAnsi="Georgia"/>
          <w:b/>
          <w:i w:val="0"/>
          <w:iCs/>
          <w:sz w:val="24"/>
        </w:rPr>
        <w:t xml:space="preserve">clickability enhancement without clickbait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We thank the editor and both reviewers for their careful and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constructive reports. We have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significantly improved and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expanded the experimental program</w:t>
      </w:r>
      <w:r>
        <w:rPr>
          <w:rFonts w:ascii="Georgia" w:hAnsi="Georgia"/>
          <w:b w:val="0"/>
          <w:i/>
          <w:sz w:val="20"/>
        </w:rPr>
        <w:t xml:space="preserve">, converting a manuscript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whose central claims rested on qualitative examples into one in which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every claim is backed by quantitative evidence with independent metrics,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item-matched significance testing, and confidence intervals. In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revised manuscript, every passage changed in this revision is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highlighted in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yellow</w:t>
      </w:r>
      <w:r>
        <w:rPr>
          <w:rFonts w:ascii="Georgia" w:hAnsi="Georgia"/>
          <w:b w:val="0"/>
          <w:i/>
          <w:sz w:val="20"/>
        </w:rPr>
        <w:t xml:space="preserve">; a white-background HTML mirror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and a public data/code/model deposit accompany the submission.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The revised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Section 4 (Experiments and Results)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now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reports, all on held-out data and with independent evaluators wherever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possible:</w:t>
      </w:r>
    </w:p>
    <w:p>
      <w:pPr>
        <w:pStyle w:val="Subtitle"/>
        <w:numPr>
          <w:ilvl w:val="0"/>
          <w:numId w:val="1001"/>
        </w:numPr>
        <w:spacing w:before="0" w:after="40"/>
        <w:ind w:left="360" w:hanging="259"/>
        <w:jc w:val="center"/>
        <w:keepNext/>
        <w:keepLines/>
        <w:widowControl w:val="1"/>
      </w:pPr>
      <w:r>
        <w:rPr>
          <w:rFonts w:ascii="Georgia" w:hAnsi="Georgia"/>
          <w:b/>
          <w:i w:val="0"/>
          <w:sz w:val="24"/>
        </w:rPr>
        <w:t xml:space="preserve">external validation of both guide models on entirely human-authored</w:t>
      </w:r>
      <w:r>
        <w:rPr>
          <w:rFonts w:ascii="Georgia" w:hAnsi="Georgia"/>
          <w:b/>
          <w:i w:val="0"/>
          <w:sz w:val="24"/>
        </w:rPr>
        <w:t xml:space="preserve"> </w:t>
      </w:r>
      <w:r>
        <w:rPr>
          <w:rFonts w:ascii="Georgia" w:hAnsi="Georgia"/>
          <w:b/>
          <w:i w:val="0"/>
          <w:sz w:val="24"/>
        </w:rPr>
        <w:t xml:space="preserve">corpora (4.5);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prefix-level validation of the guide on real headlines (4.6, Figure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5);</w:t>
      </w:r>
    </w:p>
    <w:p>
      <w:pPr>
        <w:pStyle w:val="Subtitle"/>
        <w:numPr>
          <w:ilvl w:val="0"/>
          <w:numId w:val="1001"/>
        </w:numPr>
        <w:spacing w:before="0" w:after="40"/>
        <w:ind w:left="360" w:hanging="259"/>
        <w:jc w:val="center"/>
        <w:keepNext/>
        <w:keepLines/>
        <w:widowControl w:val="1"/>
      </w:pPr>
      <w:r>
        <w:rPr>
          <w:rFonts w:ascii="Georgia" w:hAnsi="Georgia"/>
          <w:b/>
          <w:i w:val="0"/>
          <w:sz w:val="24"/>
        </w:rPr>
        <w:t xml:space="preserve">a quantified Reuters-neutrality check of the source pool (4.7);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a four-cell dual-guidance ablation on 300 held-out headlines (4.8,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Table 6, Figure 6);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a comparison against the DExperts and GeDi decoding-time baselines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showing that dual control decouples engagement from clickbait (4.9,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Table 7, Figure 7, Table 8);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a rater-based evaluation with three independent annotators (4.10,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Table 9);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a robustness and factuality analysis (4.11, Table 10);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cross-domain generalization to non-Reuters headlines (4.12, Table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11);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transfer to a second base-model family, Qwen2.5-7B (4.13, Table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12).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Each reviewer point is answered individually below, with the section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and numbers that now address it. Part 2 lists improvements we made that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were not explicitly requested.</w:t>
      </w:r>
    </w:p>
    <w:p>
      <w:r>
        <w:pict>
          <v:rect style="width:0;height:1.5pt" o:hralign="center" o:hrstd="t" o:hr="t"/>
        </w:pict>
      </w:r>
    </w:p>
    <w:bookmarkStart w:id="11" w:name="part-1--point-by-point-responses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Georgia" w:hAnsi="Georgia"/>
          <w:b/>
          <w:i w:val="0"/>
          <w:sz w:val="24"/>
        </w:rPr>
        <w:t xml:space="preserve">Part 1 — Point-by-point</w:t>
      </w:r>
      <w:r>
        <w:rPr>
          <w:rFonts w:ascii="Georgia" w:hAnsi="Georgia"/>
          <w:b/>
          <w:i w:val="0"/>
          <w:sz w:val="24"/>
        </w:rPr>
        <w:t xml:space="preserve"> </w:t>
      </w:r>
      <w:r>
        <w:rPr>
          <w:rFonts w:ascii="Georgia" w:hAnsi="Georgia"/>
          <w:b/>
          <w:i w:val="0"/>
          <w:sz w:val="24"/>
        </w:rPr>
        <w:t xml:space="preserve">responses</w:t>
      </w:r>
    </w:p>
    <w:bookmarkStart w:id="9" w:name="reviewer-1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Georgia" w:hAnsi="Georgia"/>
          <w:b/>
          <w:i w:val="0"/>
          <w:sz w:val="24"/>
        </w:rPr>
        <w:t xml:space="preserve">Reviewer 1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R1-1 — Generalization to naturally occurring clickbait /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validation on public real-world datasets.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</w:t>
      </w:r>
      <w:r>
        <w:rPr>
          <w:rFonts w:ascii="Georgia" w:hAnsi="Georgia"/>
          <w:b w:val="0"/>
          <w:i/>
          <w:iCs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(Sections 4.5–4.6).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Both guides are now evaluated on two entirely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human-authored, publicly available corpora never seen in training: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Chakraborty et al. 2016 (32,000 headlines) and the Webis Clickbait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Corpus 2017 (2,459 graded), each with 95% bootstrap CIs. The clickbait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guide reaches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AUROC 0.955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on Chakraborty and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0.740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on the noisier graded Webis; the ten attribute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dimensions all correlate significantly with human clickbait (Spearman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0.34–0.45, every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p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&lt; 1×10⁻⁶⁰). A new prefix-level test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(Section 4.6, Figure 5) shows the guide predicts the human label from an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early prefix, with AUROC rising monotonically from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0.891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at 30% of the headline to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0.954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at full length. Every clickbait number in the rewrite evaluation is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produced by a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separate DistilBERT detector trained only on the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human-authored Chakraborty data</w:t>
      </w:r>
      <w:r>
        <w:rPr>
          <w:rFonts w:ascii="Georgia" w:hAnsi="Georgia"/>
          <w:b w:val="0"/>
          <w:i/>
          <w:sz w:val="20"/>
        </w:rPr>
        <w:t xml:space="preserve">, never by our own guide.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R1-2 — Central claims supported only by qualitative examples;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add quantitative and human evaluation.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 (Sections</w:t>
      </w:r>
      <w:r>
        <w:rPr>
          <w:rFonts w:ascii="Georgia" w:hAnsi="Georgia"/>
          <w:b w:val="0"/>
          <w:i/>
          <w:iCs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4.8, 4.10).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Over 300 held-out headlines we now report BERTScore-F1,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DeBERTa-v3 NLI entailment, independent attribute realization (an LLM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judge), independent clickbait probability, and fluency (perplexity) for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each configuration, with item-matched significance. We additionally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conducted a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rater-based evaluation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(Section 4.10) with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three independent human annotators over 1,500 rewrites, obtaining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good-to-excellent reliability (ICC(2,k) 0.82–0.94); annotator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faithfulness correlates with automatic BERTScore (Spearman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ρ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=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0.61,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= 1500). With item-matched significance the human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ratings confirm the two designed effects: the brake lowers perceived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clickbait (dual 2.03 vs no-guidance 2.61 on a 1–5 scale,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p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=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1×10⁻⁷) and the dual guidance is rated more faithful than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no-guidance baseline (3.58 vs 2.89,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p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= 1×10⁻⁷) and than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DExperts and GeDi baselines (both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p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&lt; 1×10⁻¹³). The full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annotation workbooks and per-item ratings are released in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deposit.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R1-3 — Dual-guidance controllability insufficiently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validated; add ablations and baselines.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 (Sections</w:t>
      </w:r>
      <w:r>
        <w:rPr>
          <w:rFonts w:ascii="Georgia" w:hAnsi="Georgia"/>
          <w:b w:val="0"/>
          <w:i/>
          <w:iCs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4.8–4.9).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dual-guidance mechanism is dissected by a four-cell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(α, β) ablation, showing the two guides exert the designed, independent,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opposite effects (the engagement guide raises independent tactic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realization from 0.48 to 0.51; the brake lowers the independent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clickbait score from 0.079 to 0.057). We compare against the two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representative decoding-time methods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DExperts and GeDi</w:t>
      </w:r>
      <w:r>
        <w:rPr>
          <w:rFonts w:ascii="Georgia" w:hAnsi="Georgia"/>
          <w:b w:val="0"/>
          <w:i/>
          <w:sz w:val="20"/>
        </w:rPr>
        <w:t xml:space="preserve">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each with its own strength sweep. The dual guide adds an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independent clickbait brake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(Table 7, Figure 7): a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lever that lowers induced clickbait separately from the engagement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weight, which the single-axis methods lack. At low steering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baselines are competitive, but because their single control couples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engagement and clickbait, pushing it past the operating point drives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their induced clickbait up steeply (DExperts 0.06 to 0.73 across its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strength sweep; GeDi to 0.59) with fidelity falling in step. For a fair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comparison DExperts is decoded with a repetition penalty (1.3) and a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headline-length cap, since unconstrained greedy product-of-experts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decoding degenerates into repetition at high steering strength.</w:t>
      </w:r>
    </w:p>
    <w:bookmarkEnd w:id="9"/>
    <w:bookmarkStart w:id="10" w:name="reviewer-2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Georgia" w:hAnsi="Georgia"/>
          <w:b/>
          <w:i w:val="0"/>
          <w:sz w:val="24"/>
        </w:rPr>
        <w:t xml:space="preserve">Reviewer 2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R2-M1 — Unsupported intro claims; ungrounded, unvalidated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rubric.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opening paragraphs now carry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supporting citations, and the rubric is positioned as an extension of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attribute-attribution work of Nofar et al. 2025. The rubric is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validated empirically</w:t>
      </w:r>
      <w:r>
        <w:rPr>
          <w:rFonts w:ascii="Georgia" w:hAnsi="Georgia"/>
          <w:b w:val="0"/>
          <w:i/>
          <w:sz w:val="20"/>
        </w:rPr>
        <w:t xml:space="preserve">: a blinded re-labeling study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(Section 4.10, C1) over 150 headlines yields substantial inter-rater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agreement (mean Fleiss κ = 0.70).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R2-M2 — Central claims not supported by quantitative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evidence.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Conclusion no longer asserts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unmeasured gains. Every claim is backed by Section 4: the brake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measurably lowers both the independent detector score and human-rated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clickbait (dual 2.03 vs 2.61,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p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= 1×10⁻⁷), independent human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annotators rate the dual guidance more faithful than the no-guidance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baseline (3.58 vs 2.89,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p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= 1×10⁻⁷), and against the baselines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dual control holds induced clickbait low at matched tactic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realization while the single-axis methods' clickbait rises steeply with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steering.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R2-M3 — Circularity of the evaluation loop.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 (Section 4.5).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Both guides are re-evaluated on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entirely human-authored corpora, scoring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AUROC 0.955 /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0.740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there alongside the in-distribution synthetic score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(0.9998). Critically, every clickbait number in the rewrite evaluation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uses an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independent DistilBERT detector trained only on human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data</w:t>
      </w:r>
      <w:r>
        <w:rPr>
          <w:rFonts w:ascii="Georgia" w:hAnsi="Georgia"/>
          <w:b w:val="0"/>
          <w:i/>
          <w:sz w:val="20"/>
        </w:rPr>
        <w:t xml:space="preserve">, which breaks the loop the reviewer identified.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R2-M4 — No baselines or ablations.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</w:t>
      </w:r>
      <w:r>
        <w:rPr>
          <w:rFonts w:ascii="Georgia" w:hAnsi="Georgia"/>
          <w:b w:val="0"/>
          <w:i/>
          <w:iCs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(Sections 4.8–4.9, Tables 6, 7, 8; Figures 6, 7).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Both are now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present: the full four-cell ablation and the DExperts and GeDi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baselines, with a decoupling analysis (Table 7, Figure 7) and a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qualitative side-by-side (Table 8) showing that when the single-axis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baselines are pushed to high steering their induced clickbait rises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steeply, whereas the dual guide's independent brake keeps it low.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DExperts is decoded with a repetition penalty and a headline-length cap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for a fair comparison.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R2-M5 — Missing implementation details /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reproducibility.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 (Section 3.6).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base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model (Meta-Llama-3-8B-Instruct), top-k = 50, the log-domain objective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and its swept weights, the tuning grid, cloud hardware, guide-training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settings, the full synthetic-data generation procedure (batch size,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tactic sampling, JSON self-repair), and per-headline wall-clock are all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specified. All prompt templates, hyperparameters, data, code, and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trained guide checkpoints are released in a public deposit.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R2-M6 — Apparent Table 2 inconsistencies; validate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tactic-label fidelity.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 (Section 4.10, C1).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blinded rubric re-labeling yields κ = 0.70 and a mean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intended-vs-consensus tactic F1 of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0.44</w:t>
      </w:r>
      <w:r>
        <w:rPr>
          <w:rFonts w:ascii="Georgia" w:hAnsi="Georgia"/>
          <w:b w:val="0"/>
          <w:i/>
          <w:sz w:val="20"/>
        </w:rPr>
        <w:t xml:space="preserve">, matching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attribute model's own recoverability and reflecting the graded,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fine-grained nature of the tactics. The synthetic examples in Table 2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were also refreshed from the authoritative generation run.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R2-M7 — Attribute model may be too weak to guide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reliably.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 (Sections 4.8, 3.7).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(0,0)→(4,0) contrast isolates the positive guide's contribution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directly, and attribute realization is measured by an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independent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LLM judge rather than the guide itself, so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classifier-noise propagation is quantified rather than assumed.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judge's own reliability is cross-checked against the rater study's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recoverability (Section 3.7).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R2-M8 — Some controlled outputs contradict the framework's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goals.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 (Section 4.11, Table 10).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Each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boundary case is discussed explicitly, and the embellishment concern is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quantified</w:t>
      </w:r>
      <w:r>
        <w:rPr>
          <w:rFonts w:ascii="Georgia" w:hAnsi="Georgia"/>
          <w:b w:val="0"/>
          <w:i/>
          <w:sz w:val="20"/>
        </w:rPr>
        <w:t xml:space="preserve">: a stricter new-fact judge (validated on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faithful-paraphrase controls that score ≈ 0.02 and fact-injected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controls that score 1.0, AUROC ≈ 1.0) puts the genuine new-fact rate at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dual operating point at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0.20, statistically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indistinguishable from the 0.18 no-guidance baseline</w:t>
      </w:r>
      <w:r>
        <w:rPr>
          <w:rFonts w:ascii="Georgia" w:hAnsi="Georgia"/>
          <w:b w:val="0"/>
          <w:i/>
          <w:sz w:val="20"/>
        </w:rPr>
        <w:t xml:space="preserve">.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residual fidelity difference is attributable to the rhetorical question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form rather than to fabricated content.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R2 (review question) — "No statistical analysis (single runs,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no variance, no significance testing)."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</w:t>
      </w:r>
      <w:r>
        <w:rPr>
          <w:rFonts w:ascii="Georgia" w:hAnsi="Georgia"/>
          <w:b w:val="0"/>
          <w:i/>
          <w:iCs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throughout.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Every reported comparison now uses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item-matched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Wilcoxon signed-rank tests</w:t>
      </w:r>
      <w:r>
        <w:rPr>
          <w:rFonts w:ascii="Georgia" w:hAnsi="Georgia"/>
          <w:b w:val="0"/>
          <w:i/>
          <w:sz w:val="20"/>
        </w:rPr>
        <w:t xml:space="preserve">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95% percentile-bootstrap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confidence intervals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on all table estimates,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matched-pairs rank-biserial effect sizes</w:t>
      </w:r>
      <w:r>
        <w:rPr>
          <w:rFonts w:ascii="Georgia" w:hAnsi="Georgia"/>
          <w:b w:val="0"/>
          <w:i/>
          <w:sz w:val="20"/>
        </w:rPr>
        <w:t xml:space="preserve">, and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Holm correction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across each family of tests.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Georgia" w:hAnsi="Georgia"/>
          <w:b/>
          <w:bCs/>
          <w:i w:val="0"/>
          <w:sz w:val="24"/>
        </w:rPr>
        <w:t xml:space="preserve">R2-m1 — Cross-reference errors.</w:t>
      </w:r>
      <w:r>
        <w:rPr>
          <w:rFonts w:ascii="Georgia" w:hAnsi="Georgia"/>
          <w:b/>
          <w:i w:val="0"/>
          <w:sz w:val="24"/>
        </w:rPr>
        <w:t xml:space="preserve"> </w:t>
      </w:r>
      <w:r>
        <w:rPr>
          <w:rFonts w:ascii="Georgia" w:hAnsi="Georgia"/>
          <w:b/>
          <w:i w:val="0"/>
          <w:iCs/>
          <w:sz w:val="24"/>
        </w:rPr>
        <w:t xml:space="preserve">Fixed.</w:t>
      </w:r>
      <w:r>
        <w:rPr>
          <w:rFonts w:ascii="Georgia" w:hAnsi="Georgia"/>
          <w:b/>
          <w:i w:val="0"/>
          <w:sz w:val="24"/>
        </w:rPr>
        <w:t xml:space="preserve"> </w:t>
      </w:r>
      <w:r>
        <w:rPr>
          <w:rFonts w:ascii="Georgia" w:hAnsi="Georgia"/>
          <w:b/>
          <w:i w:val="0"/>
          <w:sz w:val="24"/>
        </w:rPr>
        <w:t xml:space="preserve">The</w:t>
      </w:r>
      <w:r>
        <w:rPr>
          <w:rFonts w:ascii="Georgia" w:hAnsi="Georgia"/>
          <w:b/>
          <w:i w:val="0"/>
          <w:sz w:val="24"/>
        </w:rPr>
        <w:t xml:space="preserve"> </w:t>
      </w:r>
      <w:r>
        <w:rPr>
          <w:rFonts w:ascii="Georgia" w:hAnsi="Georgia"/>
          <w:b/>
          <w:i w:val="0"/>
          <w:sz w:val="24"/>
        </w:rPr>
        <w:t xml:space="preserve">methodology subsections referenced in the introduction now exist and</w:t>
      </w:r>
      <w:r>
        <w:rPr>
          <w:rFonts w:ascii="Georgia" w:hAnsi="Georgia"/>
          <w:b/>
          <w:i w:val="0"/>
          <w:sz w:val="24"/>
        </w:rPr>
        <w:t xml:space="preserve"> </w:t>
      </w:r>
      <w:r>
        <w:rPr>
          <w:rFonts w:ascii="Georgia" w:hAnsi="Georgia"/>
          <w:b/>
          <w:i w:val="0"/>
          <w:sz w:val="24"/>
        </w:rPr>
        <w:t xml:space="preserve">resolve correctly.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R2-m2 — Reuters-neutrality assumption unverified.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Addressed (Section 4.7).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independent detector was run over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full 20,825-headline source pool: only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0.61%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exceed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clickbait threshold, confirming the neutral baseline rather than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assuming it. The domain scope is stated explicitly in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manuscript.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R2-m3 — Is the dataset split stratified?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iCs/>
          <w:sz w:val="20"/>
        </w:rPr>
        <w:t xml:space="preserve">Clarified (Sections 4.2–4.3).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split is performed uniformly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at random at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source-headline level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(not stratified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by tactic); because every source contributes both a neutral and a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clickbait sample, class balance is preserved by construction.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Georgia" w:hAnsi="Georgia"/>
          <w:b/>
          <w:bCs/>
          <w:i w:val="0"/>
          <w:sz w:val="24"/>
        </w:rPr>
        <w:t xml:space="preserve">R2-m4 — Figure y-axis / caption mismatch.</w:t>
      </w:r>
      <w:r>
        <w:rPr>
          <w:rFonts w:ascii="Georgia" w:hAnsi="Georgia"/>
          <w:b/>
          <w:i w:val="0"/>
          <w:sz w:val="24"/>
        </w:rPr>
        <w:t xml:space="preserve"> </w:t>
      </w:r>
      <w:r>
        <w:rPr>
          <w:rFonts w:ascii="Georgia" w:hAnsi="Georgia"/>
          <w:b/>
          <w:i w:val="0"/>
          <w:iCs/>
          <w:sz w:val="24"/>
        </w:rPr>
        <w:t xml:space="preserve">Fixed.</w:t>
      </w:r>
      <w:r>
        <w:rPr>
          <w:rFonts w:ascii="Georgia" w:hAnsi="Georgia"/>
          <w:b/>
          <w:i w:val="0"/>
          <w:sz w:val="24"/>
        </w:rPr>
        <w:t xml:space="preserve"> </w:t>
      </w:r>
      <w:r>
        <w:rPr>
          <w:rFonts w:ascii="Georgia" w:hAnsi="Georgia"/>
          <w:b/>
          <w:i w:val="0"/>
          <w:sz w:val="24"/>
        </w:rPr>
        <w:t xml:space="preserve">Figure 3 now labels the axis and caption consistently;</w:t>
      </w:r>
      <w:r>
        <w:rPr>
          <w:rFonts w:ascii="Georgia" w:hAnsi="Georgia"/>
          <w:b/>
          <w:i w:val="0"/>
          <w:sz w:val="24"/>
        </w:rPr>
        <w:t xml:space="preserve"> </w:t>
      </w:r>
      <w:r>
        <w:rPr>
          <w:rFonts w:ascii="Georgia" w:hAnsi="Georgia"/>
          <w:b/>
          <w:i w:val="0"/>
          <w:sz w:val="24"/>
        </w:rPr>
        <w:t xml:space="preserve">the per-tactic figure was regenerated from the current guide.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46f12e8d273ae584fc18f336537f5b647d407b3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Georgia" w:hAnsi="Georgia"/>
          <w:b/>
          <w:i w:val="0"/>
          <w:sz w:val="24"/>
        </w:rPr>
        <w:t xml:space="preserve">Part 2</w:t>
      </w:r>
      <w:r>
        <w:rPr>
          <w:rFonts w:ascii="Georgia" w:hAnsi="Georgia"/>
          <w:b/>
          <w:i w:val="0"/>
          <w:sz w:val="24"/>
        </w:rPr>
        <w:t xml:space="preserve"> </w:t>
      </w:r>
      <w:r>
        <w:rPr>
          <w:rFonts w:ascii="Georgia" w:hAnsi="Georgia"/>
          <w:b/>
          <w:i w:val="0"/>
          <w:sz w:val="24"/>
        </w:rPr>
        <w:t xml:space="preserve">— Additional improvements (not explicitly requested)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Beyond the reviewers' requests, we strengthened the manuscript as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follows; all are highlighted in the manuscript.</w:t>
      </w:r>
    </w:p>
    <w:p>
      <w:pPr>
        <w:pStyle w:val="Subtitle"/>
        <w:numPr>
          <w:ilvl w:val="0"/>
          <w:numId w:val="1002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Full statistical protocol.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Bootstrap CIs, effect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sizes, and multiple-comparison correction are applied uniformly across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Section 4, not only where variance was questioned.</w:t>
      </w:r>
    </w:p>
    <w:p>
      <w:pPr>
        <w:pStyle w:val="Subtitle"/>
        <w:numPr>
          <w:ilvl w:val="0"/>
          <w:numId w:val="1002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Cross-domain generalization (Section 4.12, Table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11).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same guides, at the same operating point, reproduce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their designed effects on 150 human-authored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non-Reuters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headlines (a different register): the brake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lowers independent clickbait (0.097 → 0.061) and fidelity is preserved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(BERTScore 0.22–0.28), extending the demonstrated scope to a second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register.</w:t>
      </w:r>
    </w:p>
    <w:p>
      <w:pPr>
        <w:pStyle w:val="Subtitle"/>
        <w:numPr>
          <w:ilvl w:val="0"/>
          <w:numId w:val="1002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Transfer to a second base generator (Section 4.13, Table</w:t>
      </w:r>
      <w:r>
        <w:rPr>
          <w:rFonts w:ascii="Georgia" w:hAnsi="Georgia"/>
          <w:b w:val="0"/>
          <w:bCs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12).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framework transfers to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bCs/>
          <w:i/>
          <w:sz w:val="20"/>
        </w:rPr>
        <w:t xml:space="preserve">Qwen2.5-7B-Instruct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(a different model family) with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same guides and operating point, maintaining high fidelity and fluency;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for multilingual base generators we add a language-consistency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constraint to the decoder (Section 3.6).</w:t>
      </w:r>
    </w:p>
    <w:p>
      <w:pPr>
        <w:pStyle w:val="Subtitle"/>
        <w:numPr>
          <w:ilvl w:val="0"/>
          <w:numId w:val="1002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Factuality calibration (Table 10).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new-fact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judge and NLI entailment are calibrated on labelled controls, giving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fidelity analysis a verified basis.</w:t>
      </w:r>
    </w:p>
    <w:p>
      <w:pPr>
        <w:pStyle w:val="Subtitle"/>
        <w:numPr>
          <w:ilvl w:val="0"/>
          <w:numId w:val="1002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Qualitative depth.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 worked "engagement continuum"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for one headline across the α sweep (Section 4.4), a full four-cell grid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on three headlines (Table 4), and a qualitative cross-method comparison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(Table 8) make the control behaviour concrete.</w:t>
      </w:r>
    </w:p>
    <w:p>
      <w:pPr>
        <w:pStyle w:val="Subtitle"/>
        <w:numPr>
          <w:ilvl w:val="0"/>
          <w:numId w:val="1002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Objective and evaluators.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The combined objective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uses the canonical log-domain FUDGE factorization; all evaluators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(independent DistilBERT detector, LLM tactic judge, DeBERTa-v3 NLI,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distilGPT-2 perplexity) are independent of the guides.</w:t>
      </w:r>
    </w:p>
    <w:p>
      <w:pPr>
        <w:pStyle w:val="Subtitle"/>
        <w:numPr>
          <w:ilvl w:val="0"/>
          <w:numId w:val="1002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Complete citation coverage.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All datasets, methods,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models, and evaluation metrics are now cited, including the base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generators (Llama-3, Qwen2.5, GPT-4o) and the evaluation models/metrics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(BERT, DistilBERT, DeBERTaV3, BERTScore, GPT-2).</w:t>
      </w:r>
    </w:p>
    <w:p>
      <w:pPr>
        <w:pStyle w:val="Subtitle"/>
        <w:numPr>
          <w:ilvl w:val="0"/>
          <w:numId w:val="1002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Reproducibility deposit.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Data, code, and the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trained guide checkpoints are released publicly, with per-item score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files behind every table.</w:t>
      </w:r>
    </w:p>
    <w:p>
      <w:pPr>
        <w:pStyle w:val="Subtitle"/>
        <w:numPr>
          <w:ilvl w:val="0"/>
          <w:numId w:val="1002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Georgia" w:hAnsi="Georgia"/>
          <w:b w:val="0"/>
          <w:bCs/>
          <w:i/>
          <w:sz w:val="20"/>
        </w:rPr>
        <w:t xml:space="preserve">Presentation.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Consistent Scientific Reports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reference style, a white-background HTML mirror, and full yellow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highlighting of all revisions.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We believe the manuscript now meets the standard of claims being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fully supported by the data, and we thank the reviewers again for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feedback that materially improved the work.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sz w:val="20"/>
        </w:rPr>
        <w:t xml:space="preserve">Sincerely, The authors</w:t>
      </w:r>
    </w:p>
    <w:bookmarkEnd w:id="12"/>
    <w:bookmarkEnd w:id="13"/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Georgia" w:hAnsi="Georgia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276" w:lineRule="auto"/>
    </w:pPr>
    <w:rPr>
      <w:rFonts w:ascii="Georgia" w:hAnsi="Georgia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Georgia" w:asciiTheme="majorHAnsi" w:cstheme="majorBidi" w:eastAsiaTheme="majorEastAsia" w:hAnsi="Georgia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Georgia" w:asciiTheme="majorHAnsi" w:cstheme="majorBidi" w:eastAsiaTheme="majorEastAsia" w:hAnsi="Georgia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276" w:lineRule="auto"/>
      <w:ind w:firstLine="360"/>
      <w:jc w:val="both"/>
    </w:pPr>
    <w:rPr>
      <w:rFonts w:ascii="Georgia" w:hAnsi="Georgia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276" w:lineRule="auto"/>
      <w:ind w:firstLine="0"/>
      <w:jc w:val="both"/>
    </w:pPr>
    <w:rPr>
      <w:rFonts w:ascii="Georgia" w:hAnsi="Georgia"/>
      <w:b w:val="0"/>
      <w:i w:val="0"/>
      <w:sz w:val="22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Georgia" w:hAnsi="Georgia"/>
      <w:b w:val="0"/>
      <w:i w:val="0"/>
      <w:sz w:val="22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Georgia" w:hAnsi="Georgia"/>
      <w:b/>
      <w:i w:val="0"/>
      <w:sz w:val="22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Georgia" w:hAnsi="Georgia"/>
      <w:b w:val="0"/>
      <w:i w:val="0"/>
      <w:sz w:val="22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Georgia" w:hAnsi="Georgia"/>
      <w:b w:val="0"/>
      <w:i/>
      <w:sz w:val="19"/>
    </w:rPr>
  </w:style>
  <w:style w:customStyle="1" w:styleId="TableCaption" w:type="paragraph">
    <w:name w:val="Table Caption"/>
    <w:basedOn w:val="BodyText"/>
    <w:pPr>
      <w:keepNext/>
      <w:spacing w:after="60" w:before="280" w:line="240" w:lineRule="auto"/>
      <w:jc w:val="center"/>
    </w:pPr>
    <w:rPr>
      <w:rFonts w:ascii="Georgia" w:hAnsi="Georgia"/>
      <w:b w:val="0"/>
      <w:i/>
      <w:sz w:val="19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Georgia" w:hAnsi="Georgia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Georgia" w:hAnsi="Georgia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/>
  <cp:keywords/>
  <dcterms:created xsi:type="dcterms:W3CDTF">2026-07-25T09:15:34Z</dcterms:created>
  <dcterms:modified xsi:type="dcterms:W3CDTF">2026-07-25T09:15:34Z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