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response-to-the-editor-and-reviewers"/>
    <w:p>
      <w:pPr>
        <w:pStyle w:val="Title"/>
        <w:spacing w:before="0" w:after="160"/>
        <w:jc w:val="center"/>
        <w:keepNext/>
        <w:keepLines/>
        <w:widowControl w:val="1"/>
      </w:pPr>
      <w:r>
        <w:t xml:space="preserve">Response to the Editor and</w:t>
      </w:r>
      <w:r>
        <w:t xml:space="preserve"> </w:t>
      </w:r>
      <w:r>
        <w:t xml:space="preserve">Reviewers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Manuscript: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LLM-guided headline rewriting for</w:t>
      </w:r>
      <w:r>
        <w:rPr>
          <w:rFonts w:ascii="Times New Roman" w:hAnsi="Times New Roman"/>
          <w:b/>
          <w:i w:val="0"/>
          <w:iCs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clickability enhancement without clickbait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We thank the editor and both reviewers for their careful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constructive reports. We have expanded the experimental program,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converting a manuscript whose central claims rested on qualitative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examples into one in which every claim is backed by quantitative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evidence with independent metrics, item-matched significance testing,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confidence intervals. In the revised manuscript, every passage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changed in this revision is highlighted in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yellow</w:t>
      </w:r>
      <w:r>
        <w:rPr>
          <w:rFonts w:ascii="Times New Roman" w:hAnsi="Times New Roman"/>
          <w:b w:val="0"/>
          <w:i/>
          <w:sz w:val="20"/>
        </w:rPr>
        <w:t xml:space="preserve">;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white-background HTML mirror and a public data/code/model deposit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accompany the submission.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The revised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Section 4 (Experiments and Results)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reports, all on held-out data and with independent evaluators wherever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possible:</w:t>
      </w:r>
    </w:p>
    <w:p>
      <w:pPr>
        <w:pStyle w:val="Subtitle"/>
        <w:numPr>
          <w:ilvl w:val="0"/>
          <w:numId w:val="1001"/>
        </w:numPr>
        <w:spacing w:before="0" w:after="40"/>
        <w:ind w:left="360" w:hanging="259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external validation of both guide models on entirely human-authored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corpora (4.5);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prefix-level validation of the guide on real headlines (4.6, Figure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5);</w:t>
      </w:r>
    </w:p>
    <w:p>
      <w:pPr>
        <w:pStyle w:val="Subtitle"/>
        <w:numPr>
          <w:ilvl w:val="0"/>
          <w:numId w:val="1001"/>
        </w:numPr>
        <w:spacing w:before="0" w:after="40"/>
        <w:ind w:left="360" w:hanging="259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a quantified Reuters-neutrality check of the source pool (4.7);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four-cell dual-guidance ablation on 300 held-out headlines (4.8,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 6, Figure 6);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comparison against the DExperts and GeDi decoding-time baselines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showing that dual control decouples engagement from clickbait (4.9,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 7, Figure 7, Table 8);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rater-based evaluation with three independent annotators (4.10,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Table 9);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a robustness and factuality analysis (4.11, Table 10);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cross-domain generalization to non-Reuters headlines (4.12, Table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11);</w:t>
      </w:r>
    </w:p>
    <w:p>
      <w:pPr>
        <w:pStyle w:val="Subtitle"/>
        <w:numPr>
          <w:ilvl w:val="0"/>
          <w:numId w:val="1001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transfer to a second base-model family, Qwen2.5-7B (4.13, Table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12).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Each reviewer point is answered individually below, with the section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numbers that now address it. Part 2 lists improvements we made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were not explicitly requested.</w:t>
      </w:r>
    </w:p>
    <w:p>
      <w:r>
        <w:pict>
          <v:rect style="width:0;height:1.5pt" o:hralign="center" o:hrstd="t" o:hr="t"/>
        </w:pict>
      </w:r>
    </w:p>
    <w:bookmarkStart w:id="11" w:name="part-1--point-by-point-responses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Part 1 — Point-by-point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responses</w:t>
      </w:r>
    </w:p>
    <w:bookmarkStart w:id="9" w:name="reviewer-1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Reviewer 1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R1-1 — Generalization to naturally occurring clickbait /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validation on public real-world datasets.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(Sections 4.5–4.6).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guides are now evaluated on two entirely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human-authored, publicly available corpora never seen in training: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Chakraborty et al. 2016 (32,000 headlines) and the Webis Clickbait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Corpus 2017 (2,459 graded), each with 95% bootstrap CIs. The clickbait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guide reaches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AUROC 0.955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 Chakraborty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0.740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 the noisier graded Webis; the ten attribute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dimensions all correlate significantly with human clickbait (Spearman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0.34–0.45, every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&lt; 1×10⁻⁶⁰). A new prefix-level test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4.6, Figure 5) shows the guide predicts the human label from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early prefix, with AUROC rising monotonically from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0.891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 30% of the headline 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0.954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 full length. Every clickbait number in the rewrite evaluation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produced by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separate DistilBERT detector trained only on the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human-authored Chakraborty data</w:t>
      </w:r>
      <w:r>
        <w:rPr>
          <w:rFonts w:ascii="Times New Roman" w:hAnsi="Times New Roman"/>
          <w:b w:val="0"/>
          <w:i/>
          <w:sz w:val="20"/>
        </w:rPr>
        <w:t xml:space="preserve">, never by our own guide.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R1-2 — Central claims supported only by qualitative examples;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add quantitative and human evaluation.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(Sections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4.8, 4.10).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Over 300 held-out headlines we now report BERTScore-F1,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DeBERTa-v3 NLI entailment, independent attribute realization (an LLM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judge), independent clickbait probability, and fluency (perplexity) for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configuration, with item-matched significance. We additionally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conducted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rater-based evaluation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4.10) with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three independent human annotators over 1,500 rewrites, obtaining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good-to-excellent reliability (ICC(2,k) 0.82–0.94); annotator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faithfulness correlates with automatic BERTScore (Spearman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ρ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0.61,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1500). With item-matched significance the human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ratings confirm the two designed effects: the brake lowers perceived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(dual 2.03 vs no-guidance 2.61 on a 1–5 scale,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1×10⁻⁷) and the dual guidance is rated more faithful than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no-guidance baseline (3.58 vs 2.89,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1×10⁻⁷) and than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DExperts and GeDi baselines (both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&lt; 1×10⁻¹³).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engagement we are explicit about a tradeoff: the human 1–5 rating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lower at the dual operating point than at no-guidance (2.90 vs 3.46),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because perceived click-appeal is entangled with clickbait cues.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Engagement is nonetheless controllable, not lost: the positive guide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raises perceived engagement on its own (engage-only 3.51 vs 3.46), and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 independent LLM engagement judge scored across the α–β grid (n = 840)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holds engagement at or above the no-guidance baseline at the operating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 (0.925 vs 0.900) while cutting clickbait, with a lower-brake point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(4, 1) higher still — so engagement is a controllable axis set by α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4.10). The full annotation workbooks and per-item ratings are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released in the deposit.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R1-3 — Dual-guidance controllability insufficiently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validated; add ablations and baselines.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(Sections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4.8–4.9).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dual-guidance mechanism is dissected by a four-cell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(α, β) ablation, showing the two guides exert the designed, independent,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opposite effects (the engagement guide raises independent tactic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realization from 0.48 to 0.51; the brake lowers the 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score from 0.079 to 0.057). We compare against the two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representative decoding-time methods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DExperts and GeDi</w:t>
      </w:r>
      <w:r>
        <w:rPr>
          <w:rFonts w:ascii="Times New Roman" w:hAnsi="Times New Roman"/>
          <w:b w:val="0"/>
          <w:i/>
          <w:sz w:val="20"/>
        </w:rPr>
        <w:t xml:space="preserve">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 with its own strength sweep. The dual guide adds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 clickbait brake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(Table 7, Figure 7) that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single-axis methods lack: a lever that lowers induced clickbait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separately from the engagement weight. Because their single control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couples engagement and clickbait, the baselines reach the tactic at low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only at low steering; any stronger steering drives their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induced clickbait up steeply (DExperts 0.06 to 0.73 across its sweep;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GeDi to 0.59) with fidelity falling in step, whereas the brake holds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induced clickbait low across the range. For a fair comparison DExperts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is decoded with a repetition penalty (1.3) and a headline-length cap,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since unconstrained greedy product-of-experts decoding degenerates into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repetition at high steering strength.</w:t>
      </w:r>
    </w:p>
    <w:bookmarkEnd w:id="9"/>
    <w:bookmarkStart w:id="10" w:name="reviewer-2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Reviewer 2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R2-M1 — Unsupported intro claims; ungrounded, unvalidated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rubric.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opening paragraphs now carry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supporting citations, and the rubric is positioned as an extension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attribute-attribution work of Nofar et al. 2025. The rubric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validated empirically</w:t>
      </w:r>
      <w:r>
        <w:rPr>
          <w:rFonts w:ascii="Times New Roman" w:hAnsi="Times New Roman"/>
          <w:b w:val="0"/>
          <w:i/>
          <w:sz w:val="20"/>
        </w:rPr>
        <w:t xml:space="preserve">: a blinded re-labeling study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4.10, C1) over 150 headlines yields substantial inter-rater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agreement (mean Fleiss κ = 0.70).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R2-M2 — Central claims not supported by quantitative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evidence.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claim in the Conclusion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now tied to a measured result in Section 4: the brake measurably lowers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the independent detector score and human-rated clickbait (dual 2.03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vs 2.61,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1×10⁻⁷), independent human annotators rate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dual guidance more faithful than the no-guidance baseline (3.58 vs 2.89,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= 1×10⁻⁷), and against the baselines the dual control holds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induced clickbait low at matched tactic realization while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single-axis methods' clickbait rises steeply with steering.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R2-M3 — Circularity of the evaluation loop.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4.5).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guides are re-evaluated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entirely human-authored corpora, scoring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AUROC 0.955 /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0.740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there alongside the in-distribution synthetic score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(0.9998). Every clickbait number in the rewrite evaluation uses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 DistilBERT detector trained only on human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data</w:t>
      </w:r>
      <w:r>
        <w:rPr>
          <w:rFonts w:ascii="Times New Roman" w:hAnsi="Times New Roman"/>
          <w:b w:val="0"/>
          <w:i/>
          <w:sz w:val="20"/>
        </w:rPr>
        <w:t xml:space="preserve">, which breaks the loop the reviewer identified.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R2-M4 — No baselines or ablations.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(Sections 4.8–4.9, Tables 6, 7, 8; Figures 6, 7).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Both are now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present: the full four-cell ablation and the DExperts and GeDi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baselines, with a decoupling analysis (Table 7, Figure 7) and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qualitative side-by-side (Table 8) showing that when the single-axis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baselines are pushed to high steering their induced clickbait rises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steeply, whereas the dual guide's independent brake keeps it low.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DExperts is decoded with a repetition penalty and a headline-length cap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a fair comparison.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R2-M5 — Missing implementation details /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reproducibility.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3.6).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base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model (Meta-Llama-3-8B-Instruct), top-k = 50, the log-domain objective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its swept weights, the tuning grid, cloud hardware, guide-training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settings, the full synthetic-data generation procedure (batch size,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tactic sampling, JSON self-repair), and per-headline wall-clock are all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specified. All prompt templates, hyperparameters, data, code,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trained guide checkpoints are released in a public deposit.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R2-M6 — Apparent Table 2 inconsistencies; validate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tactic-label fidelity.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4.10, C1).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blinded rubric re-labeling yields κ = 0.70 and a mean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intended-vs-consensus tactic F1 of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0.44</w:t>
      </w:r>
      <w:r>
        <w:rPr>
          <w:rFonts w:ascii="Times New Roman" w:hAnsi="Times New Roman"/>
          <w:b w:val="0"/>
          <w:i/>
          <w:sz w:val="20"/>
        </w:rPr>
        <w:t xml:space="preserve">, matching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attribute model's own recoverability and reflecting the graded,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fine-grained nature of the tactics. The synthetic examples in Table 2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were also refreshed from the authoritative generation run.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R2-M7 — Attribute model may be too weak to guide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reliably.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(Sections 4.8, 3.7).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(0,0)→(4,0) contrast isolates the positive guide's contribution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directly, and attribute realization is measured by 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LLM judge rather than the guide itself, so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classifier-noise propagation is quantified rather than assumed.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judge's own reliability is cross-checked against the rater study's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recoverability (Section 3.7).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R2-M8 — Some controlled outputs contradict the framework's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goals.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4.11, Table 10).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Each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boundary case is discussed explicitly, and the embellishment concern is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quantified</w:t>
      </w:r>
      <w:r>
        <w:rPr>
          <w:rFonts w:ascii="Times New Roman" w:hAnsi="Times New Roman"/>
          <w:b w:val="0"/>
          <w:i/>
          <w:sz w:val="20"/>
        </w:rPr>
        <w:t xml:space="preserve">: a stricter new-fact judge (validated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faithful-paraphrase controls that score ≈ 0.02 and fact-injected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controls that score 1.0, AUROC ≈ 1.0) shows the dual operating point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introduces no more genuine new facts than an unguided rewrite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</w:t>
      </w:r>
      <w:r>
        <w:rPr>
          <w:rFonts w:ascii="Times New Roman" w:hAnsi="Times New Roman"/>
          <w:b w:val="0"/>
          <w:bCs/>
          <w:i/>
          <w:sz w:val="20"/>
        </w:rPr>
        <w:t xml:space="preserve">0.20 vs 0.18 for the no-guidance baseline, not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significant</w:t>
      </w:r>
      <w:r>
        <w:rPr>
          <w:rFonts w:ascii="Times New Roman" w:hAnsi="Times New Roman"/>
          <w:b w:val="0"/>
          <w:i/>
          <w:sz w:val="20"/>
        </w:rPr>
        <w:t xml:space="preserve">), so the guidance does not trade faithfulness for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engagement. The apparent embellishment is the rhetorical-question form,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not fabricated content.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 (review question) — "No statistical analysis (single runs,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no variance, no significance testing)."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</w:t>
      </w:r>
      <w:r>
        <w:rPr>
          <w:rFonts w:ascii="Times New Roman" w:hAnsi="Times New Roman"/>
          <w:b w:val="0"/>
          <w:i/>
          <w:iCs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throughout.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Every reported comparison uses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item-matched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Wilcoxon signed-rank tests</w:t>
      </w:r>
      <w:r>
        <w:rPr>
          <w:rFonts w:ascii="Times New Roman" w:hAnsi="Times New Roman"/>
          <w:b w:val="0"/>
          <w:i/>
          <w:sz w:val="20"/>
        </w:rPr>
        <w:t xml:space="preserve">;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all table estimates carry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95% percentile-bootstrap confidence intervals</w:t>
      </w:r>
      <w:r>
        <w:rPr>
          <w:rFonts w:ascii="Times New Roman" w:hAnsi="Times New Roman"/>
          <w:b w:val="0"/>
          <w:i/>
          <w:sz w:val="20"/>
        </w:rPr>
        <w:t xml:space="preserve">, now including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single-axis tactic values in Table 7.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Matched-pairs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rank-biserial effect sizes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are reported for the key contrasts —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ablation Paired-win column of Table 6 (r = 0.19–0.22) and the rater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faithfulness contrasts (dual vs no-guidance / DExperts / GeDi, r = 0.67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/ 0.82 / 0.91), collected in Section 3.7.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Holm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correction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is applied within two explicit families (the four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ablation contrasts against the (0,0) cell; the cross-method rater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faithfulness comparisons), and every reported significant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p</w:t>
      </w:r>
      <w:r>
        <w:rPr>
          <w:rFonts w:ascii="Times New Roman" w:hAnsi="Times New Roman"/>
          <w:b w:val="0"/>
          <w:i/>
          <w:sz w:val="20"/>
        </w:rPr>
        <w:t xml:space="preserve">-value remains significant after correction within its family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3.7).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R2-m1 — Cross-reference errors.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Fixed.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The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methodology subsections referenced in the introduction now exist and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resolve correctly.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R2-m2 — Reuters-neutrality assumption unverified.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Addressed (Section 4.7).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independent detector was run over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full 20,825-headline source pool: only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0.61%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exceed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clickbait threshold, confirming the neutral baseline rather than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assuming it. The domain scope is stated explicitly in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manuscript.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R2-m3 — Is the dataset split stratified?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iCs/>
          <w:sz w:val="20"/>
        </w:rPr>
        <w:t xml:space="preserve">Clarified (Sections 4.2–4.3).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split is performed uniformly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at random at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source-headline level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(not stratified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by tactic); because every source contributes both a neutral and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clickbait sample, class balance is preserved by construction.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bCs/>
          <w:i w:val="0"/>
          <w:sz w:val="24"/>
        </w:rPr>
        <w:t xml:space="preserve">R2-m4 — Figure y-axis / caption mismatch.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iCs/>
          <w:sz w:val="24"/>
        </w:rPr>
        <w:t xml:space="preserve">Fixed.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Figure 3 now labels the axis and caption consistently;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the per-tactic figure was regenerated from the current guide.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46f12e8d273ae584fc18f336537f5b647d407b3"/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Part 2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— Additional improvements (not explicitly requested)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Beyond the reviewers' requests, we strengthened the manuscript as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follows; all are highlighted in the manuscript.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Full statistical protocol.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Bootstrap CIs, effect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sizes, and multiple-comparison correction are applied uniformly across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Section 4, not only where variance was questioned.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Cross-domain generalization (Section 4.12, Table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11).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same guides, at the same operating point, reproduce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their designed effects on 150 human-authored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non-Reuters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headlines (a different register): the brake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lowers independent clickbait (0.097 → 0.061) and fidelity is preserved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(BERTScore 0.22–0.28), extending the demonstrated scope to a second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register.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Transfer to a second base generator (Section 4.13, Table</w:t>
      </w:r>
      <w:r>
        <w:rPr>
          <w:rFonts w:ascii="Times New Roman" w:hAnsi="Times New Roman"/>
          <w:b w:val="0"/>
          <w:bCs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12).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We frame this as a model-family transfer check rather than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second demonstration of the decoupling: the same guides and operating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point run 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Qwen2.5-7B-Instruct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with source fidelity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and fluency preserved (BERTScore and perplexity at or better than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Llama-3 configuration). The Table 12 tactic column now reports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bCs/>
          <w:i/>
          <w:sz w:val="20"/>
        </w:rPr>
        <w:t xml:space="preserve">independent LLM judge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(replacing the guide-based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circular score); on Qwen it is flat across cells (≈ 0.50), so the sharp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brake-induced drop seen under the circular score was an artifact, not a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real loss. Because Qwen's rewrites sit near the detector floor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throughout, the decoupling itself is established on the Llama results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(Table 7, Figure 7), not re-demonstrated here. For multilingual base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generators we add a language-consistency constraint to the decoder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(Section 3.6).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Factuality calibration (Table 10).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new-fact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judge and NLI entailment are calibrated on labelled controls, giving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fidelity analysis a verified basis.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Qualitative depth.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 worked "engagement continuum"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for one headline across the α sweep (Section 4.4), a full four-cell grid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on three headlines (Table 4), and a qualitative cross-method comparison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(Table 8) make the control behaviour concrete.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Objective and evaluators.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The combined objective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uses the canonical log-domain FUDGE factorization; all evaluators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(independent DistilBERT detector, LLM tactic judge, DeBERTa-v3 NLI,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distilGPT-2 perplexity) are independent of the guides.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Complete citation coverage.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All datasets, methods,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models, and evaluation metrics are now cited, including the base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generators (Llama-3, Qwen2.5, GPT-4o) and the evaluation models/metrics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(BERT, DistilBERT, DeBERTaV3, BERTScore, GPT-2).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Reproducibility deposit.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Data, code, and the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trained guide checkpoints are released publicly, with per-item score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files behind every table.</w:t>
      </w:r>
    </w:p>
    <w:p>
      <w:pPr>
        <w:pStyle w:val="Subtitle"/>
        <w:numPr>
          <w:ilvl w:val="0"/>
          <w:numId w:val="1002"/>
        </w:numPr>
        <w:spacing w:before="0" w:after="160"/>
        <w:ind w:left="360" w:hanging="259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bCs/>
          <w:i/>
          <w:sz w:val="20"/>
        </w:rPr>
        <w:t xml:space="preserve">Presentation.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Consistent Scientific Reports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reference style, a white-background HTML mirror, and full yellow</w:t>
      </w:r>
      <w:r>
        <w:rPr>
          <w:rFonts w:ascii="Times New Roman" w:hAnsi="Times New Roman"/>
          <w:b w:val="0"/>
          <w:i/>
          <w:sz w:val="20"/>
        </w:rPr>
        <w:t xml:space="preserve"> </w:t>
      </w:r>
      <w:r>
        <w:rPr>
          <w:rFonts w:ascii="Times New Roman" w:hAnsi="Times New Roman"/>
          <w:b w:val="0"/>
          <w:i/>
          <w:sz w:val="20"/>
        </w:rPr>
        <w:t xml:space="preserve">highlighting of all revisions.</w:t>
      </w:r>
    </w:p>
    <w:p>
      <w:pPr>
        <w:pStyle w:val="Subtitle"/>
        <w:spacing w:before="0" w:after="40"/>
        <w:jc w:val="center"/>
        <w:keepNext/>
        <w:keepLines/>
        <w:widowControl w:val="1"/>
      </w:pPr>
      <w:r>
        <w:rPr>
          <w:rFonts w:ascii="Times New Roman" w:hAnsi="Times New Roman"/>
          <w:b/>
          <w:i w:val="0"/>
          <w:sz w:val="24"/>
        </w:rPr>
        <w:t xml:space="preserve">Each central claim is now backed by the data and independent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evaluators described above. We thank the reviewers again for feedback</w:t>
      </w:r>
      <w:r>
        <w:rPr>
          <w:rFonts w:ascii="Times New Roman" w:hAnsi="Times New Roman"/>
          <w:b/>
          <w:i w:val="0"/>
          <w:sz w:val="24"/>
        </w:rPr>
        <w:t xml:space="preserve"> </w:t>
      </w:r>
      <w:r>
        <w:rPr>
          <w:rFonts w:ascii="Times New Roman" w:hAnsi="Times New Roman"/>
          <w:b/>
          <w:i w:val="0"/>
          <w:sz w:val="24"/>
        </w:rPr>
        <w:t xml:space="preserve">that strengthened the work.</w:t>
      </w:r>
    </w:p>
    <w:p>
      <w:pPr>
        <w:pStyle w:val="Subtitle"/>
        <w:spacing w:before="0" w:after="160"/>
        <w:jc w:val="center"/>
        <w:keepNext w:val="0"/>
        <w:keepLines/>
        <w:widowControl w:val="1"/>
      </w:pPr>
      <w:r>
        <w:rPr>
          <w:rFonts w:ascii="Times New Roman" w:hAnsi="Times New Roman"/>
          <w:b w:val="0"/>
          <w:i/>
          <w:sz w:val="20"/>
        </w:rPr>
        <w:t xml:space="preserve">Sincerely, The authors</w:t>
      </w:r>
    </w:p>
    <w:bookmarkEnd w:id="12"/>
    <w:bookmarkEnd w:id="13"/>
    <w:sectPr w:rsidR="00FC693F" w:rsidRPr="0006063C" w:rsidSect="00034616">
      <w:footerReference w:type="default" r:id="rId9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/>
      <w:jc w:val="center"/>
    </w:pPr>
    <w:r>
      <w:rPr>
        <w:rFonts w:ascii="Times New Roman" w:hAnsi="Times New Roman"/>
        <w:sz w:val="20"/>
      </w:rPr>
      <w:fldChar w:fldCharType="begin"/>
      <w:instrText xml:space="preserve">PAGE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01">
    <w:nsid w:val="00A994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  <w:autoHyphenation w:val="true"/>
  <w:doNotHyphenateCaps w:val="false"/>
  <w:consecutiveHyphenLimit w:val="2"/>
  <w:hyphenationZone w:val="288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spacing w:after="0" w:before="0" w:line="276" w:lineRule="auto"/>
    </w:pPr>
    <w:rPr>
      <w:rFonts w:ascii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themeColor="accent1" w:val="4F81BD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 w:val="0"/>
      <w:pBdr>
        <w:bottom w:color="4F81BD" w:space="4" w:sz="8" w:themeColor="accent1" w:val="single"/>
      </w:pBdr>
      <w:spacing w:after="160" w:before="0" w:line="240" w:lineRule="auto"/>
      <w:contextualSpacing/>
      <w:jc w:val="center"/>
    </w:pPr>
    <w:rPr>
      <w:rFonts w:ascii="Times New Roman" w:asciiTheme="majorHAnsi" w:cstheme="majorBidi" w:eastAsiaTheme="majorEastAsia" w:hAnsi="Times New Roman" w:hAnsiTheme="majorHAnsi"/>
      <w:b/>
      <w:i w:val="0"/>
      <w:color w:themeColor="text2" w:themeShade="BF" w:val="17365D"/>
      <w:spacing w:val="5"/>
      <w:kern w:val="28"/>
      <w:sz w:val="3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after="80" w:before="0"/>
      <w:jc w:val="center"/>
    </w:pPr>
    <w:rPr>
      <w:rFonts w:ascii="Times New Roman" w:asciiTheme="majorHAnsi" w:cstheme="majorBidi" w:eastAsiaTheme="majorEastAsia" w:hAnsi="Times New Roman" w:hAnsiTheme="majorHAnsi"/>
      <w:b w:val="0"/>
      <w:i w:val="0"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keepNext w:val="0"/>
      <w:spacing w:after="0" w:before="0" w:line="276" w:lineRule="auto"/>
      <w:ind w:firstLine="360"/>
      <w:jc w:val="both"/>
    </w:pPr>
    <w:rPr>
      <w:rFonts w:ascii="Times New Roman" w:hAnsi="Times New Roman"/>
      <w:b w:val="0"/>
      <w:i w:val="0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pPr>
      <w:keepNext w:val="0"/>
      <w:spacing w:after="0" w:before="0" w:line="276" w:lineRule="auto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Compact" w:type="paragraph">
    <w:name w:val="Compact"/>
    <w:basedOn w:val="BodyText"/>
    <w:pPr>
      <w:keepNext w:val="0"/>
      <w:spacing w:after="40" w:before="0" w:line="252" w:lineRule="auto"/>
      <w:ind w:left="317" w:hanging="259"/>
      <w:jc w:val="both"/>
    </w:pPr>
    <w:rPr>
      <w:rFonts w:ascii="Times New Roman" w:hAnsi="Times New Roman"/>
      <w:b w:val="0"/>
      <w:i w:val="0"/>
      <w:sz w:val="22"/>
    </w:rPr>
  </w:style>
  <w:style w:customStyle="1" w:styleId="AbstractLabel" w:type="paragraph">
    <w:name w:val="Abstract Label"/>
    <w:basedOn w:val="BodyText"/>
    <w:pPr>
      <w:keepNext/>
      <w:spacing w:after="80" w:before="80"/>
      <w:ind w:firstLine="0"/>
      <w:jc w:val="center"/>
    </w:pPr>
    <w:rPr>
      <w:rFonts w:ascii="Times New Roman" w:hAnsi="Times New Roman"/>
      <w:b/>
      <w:i w:val="0"/>
      <w:sz w:val="22"/>
    </w:rPr>
  </w:style>
  <w:style w:customStyle="1" w:styleId="Keywords" w:type="paragraph">
    <w:name w:val="Keywords"/>
    <w:basedOn w:val="BodyText"/>
    <w:pPr>
      <w:keepNext w:val="0"/>
      <w:spacing w:after="80" w:before="0"/>
      <w:ind w:firstLine="0"/>
      <w:jc w:val="both"/>
    </w:pPr>
    <w:rPr>
      <w:rFonts w:ascii="Times New Roman" w:hAnsi="Times New Roman"/>
      <w:b w:val="0"/>
      <w:i w:val="0"/>
      <w:sz w:val="22"/>
    </w:rPr>
  </w:style>
  <w:style w:customStyle="1" w:styleId="ImageCaption" w:type="paragraph">
    <w:name w:val="Image Caption"/>
    <w:basedOn w:val="BodyText"/>
    <w:pPr>
      <w:keepNext w:val="0"/>
      <w:spacing w:after="120" w:before="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TableCaption" w:type="paragraph">
    <w:name w:val="Table Caption"/>
    <w:basedOn w:val="BodyText"/>
    <w:pPr>
      <w:keepNext/>
      <w:spacing w:after="60" w:before="280" w:line="240" w:lineRule="auto"/>
      <w:jc w:val="center"/>
    </w:pPr>
    <w:rPr>
      <w:rFonts w:ascii="Times New Roman" w:hAnsi="Times New Roman"/>
      <w:b w:val="0"/>
      <w:i/>
      <w:sz w:val="19"/>
    </w:rPr>
  </w:style>
  <w:style w:customStyle="1" w:styleId="ReferencesHeading" w:type="paragraph">
    <w:name w:val="References Heading"/>
    <w:basedOn w:val="Heading1"/>
    <w:pPr>
      <w:keepNext/>
      <w:spacing w:after="120" w:before="240"/>
    </w:pPr>
    <w:rPr>
      <w:rFonts w:ascii="Times New Roman" w:hAnsi="Times New Roman"/>
      <w:b/>
      <w:i w:val="0"/>
      <w:sz w:val="28"/>
    </w:rPr>
  </w:style>
  <w:style w:customStyle="1" w:styleId="ReferenceEntry" w:type="paragraph">
    <w:name w:val="Reference Entry"/>
    <w:basedOn w:val="BodyText"/>
    <w:pPr>
      <w:keepNext w:val="0"/>
      <w:spacing w:after="100" w:before="0" w:line="259" w:lineRule="auto"/>
      <w:ind w:left="475" w:hanging="475"/>
      <w:jc w:val="left"/>
    </w:pPr>
    <w:rPr>
      <w:rFonts w:ascii="Times New Roman" w:hAnsi="Times New Roman"/>
      <w:b w:val="0"/>
      <w:i w:val="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2026-07-26T15:33:49Z</dcterms:created>
  <dcterms:modified xsi:type="dcterms:W3CDTF">2026-07-26T15:33:49Z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