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ponse-to-the-editor-and-reviewers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Editor and</w:t>
      </w:r>
      <w:r>
        <w:t xml:space="preserve"> </w:t>
      </w:r>
      <w:r>
        <w:t xml:space="preserve">Reviewers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Manuscript: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LLM-guided headline rewriting for</w:t>
      </w:r>
      <w:r>
        <w:rPr>
          <w:rFonts w:ascii="Times New Roman" w:hAnsi="Times New Roman"/>
          <w:b/>
          <w:i w:val="0"/>
          <w:iCs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clickability enhancement without clickbait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We thank the editor and both reviewers for their careful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constructive reports. We have expanded the experimental program,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converting a manuscript whose central claims rested on qualitative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examples into one in which every claim is backed by quantitative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evidence with independent metrics, item-matched significance testing,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confidence intervals. In the revised manuscript, every passage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changed in this revision is highlighted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yellow</w:t>
      </w:r>
      <w:r>
        <w:rPr>
          <w:rFonts w:ascii="Times New Roman" w:hAnsi="Times New Roman"/>
          <w:b w:val="0"/>
          <w:i/>
          <w:sz w:val="20"/>
        </w:rPr>
        <w:t xml:space="preserve">;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white-background HTML mirror and a public data/code/model deposit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accompany the submission.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Section 4 (Experiments and Results)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reports, all on held-out data and with independent evaluators wherever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possible: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external validation of both guide models on entirely human-authored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corpora (4.5);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prefix-level validation of the guide on real headlines (4.6,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5);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 quantified Reuters-neutrality check of the source pool (4.7);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four-cell dual-guidance ablation on 300 held-out headlines (4.8,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6, Figure 6);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comparison against the DExperts and GeDi decoding-time baselines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showing that dual control decouples engagement from clickbait (4.9,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7, Figure 7, Table 8);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rater-based evaluation with three independent annotators (4.10,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9);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robustness and factuality analysis (4.11, Table 10);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cross-domain generalization to non-Reuters headlines (4.12, Table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11);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transfer to a second base-model family, Qwen2.5-7B (4.13, Table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12).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Each reviewer point is answered individually below, with the 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numbers that now address it. Part 2 lists improvements we made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were not explicitly requested.</w:t>
      </w:r>
    </w:p>
    <w:p>
      <w:r>
        <w:pict>
          <v:rect style="width:0;height:1.5pt" o:hralign="center" o:hrstd="t" o:hr="t"/>
        </w:pict>
      </w:r>
    </w:p>
    <w:bookmarkStart w:id="11" w:name="part-1--point-by-point-respons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Part 1 — Point-by-point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responses</w:t>
      </w:r>
    </w:p>
    <w:bookmarkStart w:id="9" w:name="reviewer-1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R1-1 — Generalization to naturally occurring clickbait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validation on public real-world datasets.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(Sections 4.5–4.6).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guides are now evaluated on two entirely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human-authored, publicly available corpora never seen in training: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Chakraborty et al. 2016 (32,000 headlines) and the Webis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Corpus 2017 (2,459 graded), each with 95% bootstrap CIs. The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guide reaches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AUROC 0.955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Chakraborty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0.740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the noisier graded Webis; the ten attribute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dimensions all correlate significantly with human clickbait (Spearman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0.34–0.45, every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&lt; 1×10⁻⁶⁰). A new prefix-level test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4.6, Figure 5) shows the guide predicts the human label from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early prefix, with AUROC rising monotonically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0.891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30% of the headline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0.954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full length. Every clickbait number in the rewrite evaluation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produced by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separate DistilBERT detector trained only on the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human-authored Chakraborty data</w:t>
      </w:r>
      <w:r>
        <w:rPr>
          <w:rFonts w:ascii="Times New Roman" w:hAnsi="Times New Roman"/>
          <w:b w:val="0"/>
          <w:i/>
          <w:sz w:val="20"/>
        </w:rPr>
        <w:t xml:space="preserve">, never by our own guide.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R1-2 — Central claims supported only by qualitative examples;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add quantitative and human evaluation.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4.8, 4.10).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300 held-out headlines we now report BERTScore-F1,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DeBERTa-v3 NLI entailment, independent attribute realization (an LLM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judge), independent clickbait probability, and fluency (perplexity) for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configuration, with item-matched significance. We additionally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conducted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rater-based evaluation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4.10)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three independent human annotators over 1,500 rewrites, obtaining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good-to-excellent reliability (ICC(2,k) 0.82–0.94); annotator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correlates with automatic BERTScore (Spearman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ρ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0.61,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1500). With item-matched significance the human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ratings confirm the two designed effects: the brake lowers perceived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(dual 2.03 vs no-guidance 2.61 on a 1–5 scale,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1×10⁻⁷) and the dual guidance is rated more faithful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no-guidance baseline (3.58 vs 2.89,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 and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DExperts and GeDi baselines (both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&lt; 1×10⁻¹³).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 we are explicit about a tradeoff: the human 1–5 rating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lower at the dual operating point than at no-guidance (2.90 vs 3.46),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because perceived click-appeal is entangled with clickbait cues.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 is nonetheless controllable, not lost: the positive guide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raises perceived engagement on its own (engage-only 3.51 vs 3.46),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 independent LLM engagement judge scored across the α–β grid (n = 840)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holds engagement at or above the no-guidance baseline at the operating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 (0.925 vs 0.900) while cutting clickbait, with a lower-brake point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(4, 1) higher still — so engagement is a controllable axis set by α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4.10). The full annotation workbooks and per-item ratings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released in the 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R1-3 — Dual-guidance controllability insufficiently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validated; add ablations and baselines.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4.8–4.9).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dual-guidance mechanism is dissected by a four-cell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(α, β) ablation, showing the two guides exert the designed, independent,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opposite effects (the engagement guide raises independent tactic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realization from 0.48 to 0.51; the brake lowers the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score from 0.079 to 0.057). We compare against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representative decoding-time methods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DExperts and GeDi</w:t>
      </w:r>
      <w:r>
        <w:rPr>
          <w:rFonts w:ascii="Times New Roman" w:hAnsi="Times New Roman"/>
          <w:b w:val="0"/>
          <w:i/>
          <w:sz w:val="20"/>
        </w:rPr>
        <w:t xml:space="preserve">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with its own strength sweep. The dual guide adds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clickbait brake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7, Figure 7)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single-axis methods lack: a lever that lowers induced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separately from the engagement weight. Because their single control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couples engagement and clickbait, the baselines reach the tactic at low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only at low steering; any stronger steering drives their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up steeply (DExperts 0.06 to 0.73 across its sweep;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GeDi to 0.59) with fidelity falling in step, whereas the brake holds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low across the range. For a fair comparison DExperts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is decoded with a repetition penalty (1.3) and a headline-length cap,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since unconstrained greedy product-of-experts decoding degenerates into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repetition at high steering strength.</w:t>
      </w:r>
    </w:p>
    <w:bookmarkEnd w:id="9"/>
    <w:bookmarkStart w:id="10" w:name="reviewer-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R2-M1 — Unsupported intro claims; ungrounded, unvalidated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rubric.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opening paragraphs now carry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supporting citations, and the rubric is positioned as an extension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attribute-attribution work of Nofar et al. 2025. The rubric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validated empirically</w:t>
      </w:r>
      <w:r>
        <w:rPr>
          <w:rFonts w:ascii="Times New Roman" w:hAnsi="Times New Roman"/>
          <w:b w:val="0"/>
          <w:i/>
          <w:sz w:val="20"/>
        </w:rPr>
        <w:t xml:space="preserve">: a blinded re-labeling study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4.10, C1) over 150 headlines yields substantial inter-rater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agreement (mean Fleiss κ = 0.70).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R2-M2 — Central claims not supported by quantitative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evidence.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claim in the Conclusion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now tied to a measured result in Section 4: the brake measurably lowers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the independent detector score and human-rated clickbait (dual 2.03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vs 2.61,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1×10⁻⁷), independent human annotators rate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dual guidance more faithful than the no-guidance baseline (3.58 vs 2.89,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1×10⁻⁷), and against the baselines the dual control holds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low at matched tactic realization while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single-axis methods' clickbait rises steeply with steering.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R2-M3 — Circularity of the evaluation loop.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4.5).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guides are re-evaluated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entirely human-authored corpora,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AUROC 0.955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0.740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there alongside the in-distribution synthetic score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(0.9998). Every clickbait number in the rewrite evaluation uses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DistilBERT detector trained only on human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data</w:t>
      </w:r>
      <w:r>
        <w:rPr>
          <w:rFonts w:ascii="Times New Roman" w:hAnsi="Times New Roman"/>
          <w:b w:val="0"/>
          <w:i/>
          <w:sz w:val="20"/>
        </w:rPr>
        <w:t xml:space="preserve">, which breaks the loop the reviewer identified.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R2-M4 — No baselines or ablations.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(Sections 4.8–4.9, Tables 6, 7, 8; Figures 6, 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are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present: the full four-cell ablation and the DExperts and GeDi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baselines, with a decoupling analysis (Table 7, Figure 7) and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qualitative side-by-side (Table 8) showing that when the single-axis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 are pushed to high steering their induced clickbait rises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steeply, whereas the dual guide's independent brake keeps it low.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DExperts is decoded with a repetition penalty and a headline-length cap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a fair comparison.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R2-M5 — Missing implementation details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reproducibility.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3.6).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model (Meta-Llama-3-8B-Instruct), top-k = 50, the log-domain objective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its swept weights, the tuning grid, cloud hardware, guide-training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settings, the full synthetic-data generation procedure (batch size,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tactic sampling, JSON self-repair), and per-headline wall-clock are all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specified. All prompt templates, hyperparameters, data, code,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trained guide checkpoints are released in a public 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R2-M6 — Apparent Table 2 inconsistencies; validate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tactic-label fidelity.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4.10, C1).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blinded rubric re-labeling yields κ = 0.70 and a mean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intended-vs-consensus tactic F1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0.44</w:t>
      </w:r>
      <w:r>
        <w:rPr>
          <w:rFonts w:ascii="Times New Roman" w:hAnsi="Times New Roman"/>
          <w:b w:val="0"/>
          <w:i/>
          <w:sz w:val="20"/>
        </w:rPr>
        <w:t xml:space="preserve">, matching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attribute model's own recoverability and reflecting the graded,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fine-grained nature of the tactics. The synthetic examples in Table 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were also refreshed from the authoritative generation run.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R2-M7 — Attribute model may be too weak to guide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reliably.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 4.8, 3.7).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(0,0)→(4,0) contrast isolates the positive guide's contribution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directly, and attribute realization is measured by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LLM judge rather than the guide itself,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classifier-noise propagation is quantified rather than assumed.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judge's own reliability is cross-checked against the rater study's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recoverability (Section 3.7).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R2-M8 — Some controlled outputs contradict the framework's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goals.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4.11, Table 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boundary case is discussed explicitly, and the embellishment concern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quantified</w:t>
      </w:r>
      <w:r>
        <w:rPr>
          <w:rFonts w:ascii="Times New Roman" w:hAnsi="Times New Roman"/>
          <w:b w:val="0"/>
          <w:i/>
          <w:sz w:val="20"/>
        </w:rPr>
        <w:t xml:space="preserve">: a stricter new-fact judge (validated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faithful-paraphrase controls that score ≈ 0.02 and fact-injected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controls that score 1.0, AUROC ≈ 1.0) shows the dual operating point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introduces no more genuine new facts than an unguided rewrite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</w:t>
      </w:r>
      <w:r>
        <w:rPr>
          <w:rFonts w:ascii="Times New Roman" w:hAnsi="Times New Roman"/>
          <w:b w:val="0"/>
          <w:bCs/>
          <w:i/>
          <w:sz w:val="20"/>
        </w:rPr>
        <w:t xml:space="preserve">0.20 vs 0.18 for the no-guidance baseline, not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significant</w:t>
      </w:r>
      <w:r>
        <w:rPr>
          <w:rFonts w:ascii="Times New Roman" w:hAnsi="Times New Roman"/>
          <w:b w:val="0"/>
          <w:i/>
          <w:sz w:val="20"/>
        </w:rPr>
        <w:t xml:space="preserve">), so the guidance does not trade faithfulness for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engagement. The apparent embellishment is the rhetorical-question form,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fabricated content.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 (review question) — "No statistical analysis (single runs,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no variance, no significance testing)."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throughout.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reported comparison uses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item-matched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Wilcoxon signed-rank tests</w:t>
      </w:r>
      <w:r>
        <w:rPr>
          <w:rFonts w:ascii="Times New Roman" w:hAnsi="Times New Roman"/>
          <w:b w:val="0"/>
          <w:i/>
          <w:sz w:val="20"/>
        </w:rPr>
        <w:t xml:space="preserve">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all table estimates carry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95% percentile-bootstrap confidence intervals</w:t>
      </w:r>
      <w:r>
        <w:rPr>
          <w:rFonts w:ascii="Times New Roman" w:hAnsi="Times New Roman"/>
          <w:b w:val="0"/>
          <w:i/>
          <w:sz w:val="20"/>
        </w:rPr>
        <w:t xml:space="preserve">, now including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single-axis tactic values in Table 7.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Matched-pairs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rank-biserial effect sizes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reported for the key contrasts —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ablation Paired-win column of Table 6 (r = 0.19–0.22) and the 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contrasts (dual vs no-guidance / DExperts / GeDi, r = 0.67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/ 0.82 / 0.91), collected in Section 3.7.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Holm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correction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is applied within two explicit families (the four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ablation contrasts against the (0,0) cell; the cross-method 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comparisons), and every reported significant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-value remains significant after correction within its family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3.7).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R2-m1 — Cross-reference errors.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Fixed.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methodology subsections referenced in the introduction now exist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resolve correctly.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R2-m2 — Reuters-neutrality assumption unverified.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independent detector was run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full 20,825-headline source pool: only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0.61%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exceed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clickbait threshold, confirming the neutral baseline rather than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assuming it. The domain scope is stated explicitly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manuscript.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R2-m3 — Is the dataset split stratified?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Clarified (Sections 4.2–4.3).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split is performed uniformly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random at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source-headline level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(not stratified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by tactic); because every source contributes both a neutral and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sample, class balance is preserved by construction.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R2-m4 — Figure y-axis / caption mismatch.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Fixed.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Figure 3 now labels the axis and caption consistently;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the per-tactic figure was regenerated from the current guide.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46f12e8d273ae584fc18f336537f5b647d407b3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Part 2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— Additional improvements (not explicitly requested)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Beyond the reviewers' requests, we strengthened the manuscript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follows; all are highlighted in the manuscript.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Full statistical protocol.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CIs, effect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sizes, and multiple-comparison correction are applied uniformly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4, not only where variance was questioned.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Cross-domain generalization (Section 4.12, Table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11).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same guides, at the same operating point, reproduce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their designed effects on 150 human-authored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non-Reuters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headlines (a different register): the brake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lowers independent clickbait (0.097 → 0.061) and fidelity is preserved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(BERTScore 0.22–0.28), extending the demonstrated scope to a second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register. Because those source headlines are drawn from the Chakraborty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corpus on which the DistilBERT evaluator was trained, we further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retrained the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from scratch with those 150 sources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excluded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(held-out accuracy 0.99) and re-scored the rewrites: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brake still lowers induced clickbait (0.031 → 0.025 with engagement,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0.017 → 0.011 without) and engagement still raises it (0.017 → 0.031),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 the directional effect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not an artifact of source leakage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into the evaluator</w:t>
      </w:r>
      <w:r>
        <w:rPr>
          <w:rFonts w:ascii="Times New Roman" w:hAnsi="Times New Roman"/>
          <w:b w:val="0"/>
          <w:i/>
          <w:sz w:val="20"/>
        </w:rPr>
        <w:t xml:space="preserve">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Transfer to a second base generator (Section 4.13, Table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12).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frame this as a model-family transfer check rather than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second demonstration of the decoupling: the same guides and operating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 run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Qwen2.5-7B-Instruct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source fidelity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fluency preserved (BERTScore and perplexity at or better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Llama-3 configuration). The Table 12 tactic column now reports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LLM judge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(replacing the guide-based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circular score); on Qwen it is flat across cells (≈ 0.50), so the sharp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brake-induced drop seen under the circular score was an artifact, not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 loss. Because Qwen's rewrites sit near the detector 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throughout, the decoupling itself is established on the Llama results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7, Figure 7), not re-demonstrated here. For multilingual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generators we add a language-consistency constraint to the decoder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3.6).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Factuality calibration (Table 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new-fact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 and NLI entailment are calibrated on labelled controls, giving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fidelity analysis a verified basis.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Qualitative depth.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worked "engagement continuum"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one headline across the α sweep (Section 4.4), a full four-cell grid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three headlines (Table 4), and a qualitative cross-method comparison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8) make the control behaviour concrete.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Objective and evaluators.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combined objective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uses the canonical log-domain FUDGE factorization; all evaluators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(independent DistilBERT detector, LLM tactic judge, DeBERTa-v3 NLI,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distilGPT-2 perplexity) are independent of the guides.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Complete citation coverage.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datasets, methods,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models, and evaluation metrics are now cited, including the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generators (Llama-3, Qwen2.5, GPT-4o) and the evaluation models/metrics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(BERT, DistilBERT, DeBERTaV3, BERTScore, GPT-2).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Reproducibility deposit.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Data, code,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trained guide checkpoints are released publicly, with per-item score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files behind every table.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Presentation.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Consistent Scientific Reports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reference style, a white-background HTML mirror, and full yellow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highlighting of all revisions.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Each central claim is now backed by the data and independent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evaluators described above. We thank the reviewers again for feedback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that strengthened the work.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 The authors</w:t>
      </w:r>
    </w:p>
    <w:bookmarkEnd w:id="12"/>
    <w:bookmarkEnd w:id="1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2026-07-26T15:44:43Z</dcterms:created>
  <dcterms:modified xsi:type="dcterms:W3CDTF">2026-07-26T15:44:43Z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