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rPr>
          <w:rFonts w:ascii="Times New Roman" w:hAnsi="Times New Roman" w:cs="Times New Roman"/>
        </w:rPr>
        <w:t xml:space="preserve">LLM-guided headline rewriting for clickability enhancement without clickbait</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Linoy Halifa</w:t>
      </w:r>
      <w:r>
        <w:rPr>
          <w:rFonts w:ascii="Times New Roman" w:hAnsi="Times New Roman"/>
          <w:b w:val="0"/>
          <w:i/>
          <w:sz w:val="20"/>
          <w:vertAlign w:val="superscript"/>
        </w:rPr>
        <w:t xml:space="preserve">1</w:t>
      </w:r>
      <w:r>
        <w:rPr>
          <w:rFonts w:ascii="Times New Roman" w:hAnsi="Times New Roman"/>
          <w:b w:val="0"/>
          <w:i/>
          <w:sz w:val="20"/>
        </w:rPr>
        <w:t xml:space="preserve">, Sagiv Bar</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highlight w:val="yellow"/>
        </w:rP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 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 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rPr>
          <w:rFonts w:ascii="Times New Roman" w:hAnsi="Times New Roman" w:cs="Times New Roman"/>
        </w:rP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outlets[1].</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deception[2,3,4].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work[5]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Meta-Llama-3-8B-Instruct[6]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rPr>
          <w:rFonts w:ascii="Times New Roman" w:hAnsi="Times New Roman" w:cs="Times New Roman"/>
        </w:rPr>
        <w:t xml:space="preserve">2. Related Work</w:t>
      </w:r>
    </w:p>
    <w:bookmarkStart w:id="12" w:name="clickbait-detection"/>
    <w:p>
      <w:pPr>
        <w:pStyle w:val="Heading2"/>
        <w:keepNext/>
        <w:keepLines/>
        <w:widowControl w:val="1"/>
      </w:pPr>
      <w:r>
        <w:rPr>
          <w:rFonts w:ascii="Times New Roman" w:hAnsi="Times New Roman" w:cs="Times New Roman"/>
        </w:rP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al.[2] and Chakraborty et al.[3] established that clickbait can be detected through lexical, stylistic, and structural cues, while Potthast et al.[4]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[7], clickbait research now spans not only detection algorithms, but also semantic manipulation, curiosity mechanisms, and credibility effects. Methodologically, recent work has shifted toward deep learning and pretrained language models. For example, [8] reports strong performance with a RoBERTa-Large-based detector and complements classification with LIME and SHAP for interpretability, and [9]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[10] shows that strong results can be achieved from headline text alone, even with very limited labeled data, whereas [11]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[1] shows that headlines can be too vague or too explicit, and [12] demonstrates that explicit informativeness features improve both performance and interpretability. Finally, [5]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rPr>
          <w:rFonts w:ascii="Times New Roman" w:hAnsi="Times New Roman" w:cs="Times New Roman"/>
        </w:rP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CTRL[13],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Models[14] exemplify this strategy by combining a frozen generator with lightweight attribute classifiers. GeDi[15] adopts a probabilistic perspective, using smaller generative models as discriminators and applying Bayes' rule to reweight the token distribution of a larger generator. Similarly, DExperts[16]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FUDGE[17]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rPr>
          <w:rFonts w:ascii="Times New Roman" w:hAnsi="Times New Roman" w:cs="Times New Roman"/>
        </w:rPr>
        <w:t xml:space="preserve">3. Method</w:t>
      </w:r>
    </w:p>
    <w:bookmarkStart w:id="18" w:name="engagement-attribute-rubric"/>
    <w:p>
      <w:pPr>
        <w:pStyle w:val="Heading2"/>
        <w:keepNext/>
        <w:keepLines/>
        <w:widowControl w:val="1"/>
      </w:pPr>
      <w:r>
        <w:rPr>
          <w:rFonts w:ascii="Times New Roman" w:hAnsi="Times New Roman" w:cs="Times New Roman"/>
        </w:rP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rPr>
              <w:t xml:space="preserve">Attribute</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Clickbait interpretation</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Clickability interpretation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Information gap control</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Curiosity gap</w:t>
            </w:r>
            <w:r>
              <w:rPr>
                <w:rFonts w:ascii="Times New Roman" w:hAnsi="Times New Roman"/>
                <w:sz w:val="19"/>
              </w:rPr>
              <w:br/>
            </w:r>
            <w:r>
              <w:rPr>
                <w:rFonts w:ascii="Times New Roman" w:hAnsi="Times New Roman"/>
                <w:sz w:val="19"/>
              </w:rPr>
              <w:t xml:space="preserve">Deliberate withholding of essential facts to compel a click by creating unresolved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Information gap calibration</w:t>
            </w:r>
            <w:r>
              <w:rPr>
                <w:rFonts w:ascii="Times New Roman" w:hAnsi="Times New Roman"/>
                <w:sz w:val="19"/>
              </w:rPr>
              <w:br/>
            </w:r>
            <w:r>
              <w:rPr>
                <w:rFonts w:ascii="Times New Roman" w:hAnsi="Times New Roman"/>
                <w:sz w:val="19"/>
              </w:rPr>
              <w:t xml:space="preserve">Partial disclosure that invites interest while preserving the core factual claim</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Emphasis intensity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Exaggeration</w:t>
            </w:r>
            <w:r>
              <w:rPr>
                <w:rFonts w:ascii="Times New Roman" w:hAnsi="Times New Roman"/>
                <w:sz w:val="19"/>
              </w:rPr>
              <w:br/>
            </w:r>
            <w:r>
              <w:rPr>
                <w:rFonts w:ascii="Times New Roman" w:hAnsi="Times New Roman"/>
                <w:sz w:val="19"/>
              </w:rPr>
              <w:t xml:space="preserve">Overstating importance, impact, or certainty beyond what is supported by the article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Proportional emphasis scaling</w:t>
            </w:r>
            <w:r>
              <w:rPr>
                <w:rFonts w:ascii="Times New Roman" w:hAnsi="Times New Roman"/>
                <w:sz w:val="19"/>
              </w:rPr>
              <w:br/>
            </w:r>
            <w:r>
              <w:rPr>
                <w:rFonts w:ascii="Times New Roman" w:hAnsi="Times New Roman"/>
                <w:sz w:val="19"/>
              </w:rPr>
              <w:t xml:space="preserve">Adjusting linguistic intensity to match the true significance of the event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Emotional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Emotional trigger</w:t>
            </w:r>
            <w:r>
              <w:rPr>
                <w:rFonts w:ascii="Times New Roman" w:hAnsi="Times New Roman"/>
                <w:sz w:val="19"/>
              </w:rPr>
              <w:br/>
            </w:r>
            <w:r>
              <w:rPr>
                <w:rFonts w:ascii="Times New Roman" w:hAnsi="Times New Roman"/>
                <w:sz w:val="19"/>
              </w:rPr>
              <w:t xml:space="preserve">Manipulative activation of fear, outrage, or excitement disproportionate to the facts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Affective salience framing</w:t>
            </w:r>
            <w:r>
              <w:rPr>
                <w:rFonts w:ascii="Times New Roman" w:hAnsi="Times New Roman"/>
                <w:sz w:val="19"/>
              </w:rPr>
              <w:br/>
            </w:r>
            <w:r>
              <w:rPr>
                <w:rFonts w:ascii="Times New Roman" w:hAnsi="Times New Roman"/>
                <w:sz w:val="19"/>
              </w:rPr>
              <w:t xml:space="preserve">Highlighting emotionally relevant aspects implied by the content without inflation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Salience allocation</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Sensationalism</w:t>
            </w:r>
            <w:r>
              <w:rPr>
                <w:rFonts w:ascii="Times New Roman" w:hAnsi="Times New Roman"/>
                <w:sz w:val="19"/>
              </w:rPr>
              <w:br/>
            </w:r>
            <w:r>
              <w:rPr>
                <w:rFonts w:ascii="Times New Roman" w:hAnsi="Times New Roman"/>
                <w:sz w:val="19"/>
              </w:rPr>
              <w:t xml:space="preserve">Focusing on dramatic or marginal aspects at the expense of informational balance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Salience-oriented framing</w:t>
            </w:r>
            <w:r>
              <w:rPr>
                <w:rFonts w:ascii="Times New Roman" w:hAnsi="Times New Roman"/>
                <w:sz w:val="19"/>
              </w:rPr>
              <w:br/>
            </w:r>
            <w:r>
              <w:rPr>
                <w:rFonts w:ascii="Times New Roman" w:hAnsi="Times New Roman"/>
                <w:sz w:val="19"/>
              </w:rPr>
              <w:t xml:space="preserve">Foregrounding the most newsworthy element while maintaining contextual integrity</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Structural emphasis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Lists or superlatives</w:t>
            </w:r>
            <w:r>
              <w:rPr>
                <w:rFonts w:ascii="Times New Roman" w:hAnsi="Times New Roman"/>
                <w:sz w:val="19"/>
              </w:rPr>
              <w:br/>
            </w:r>
            <w:r>
              <w:rPr>
                <w:rFonts w:ascii="Times New Roman" w:hAnsi="Times New Roman"/>
                <w:sz w:val="19"/>
              </w:rPr>
              <w:t xml:space="preserve">Use of absolute rankings or hyperbolic enumeration to imply exceptionalism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Structured highlighting</w:t>
            </w:r>
            <w:r>
              <w:rPr>
                <w:rFonts w:ascii="Times New Roman" w:hAnsi="Times New Roman"/>
                <w:sz w:val="19"/>
              </w:rPr>
              <w:br/>
            </w:r>
            <w:r>
              <w:rPr>
                <w:rFonts w:ascii="Times New Roman" w:hAnsi="Times New Roman"/>
                <w:sz w:val="19"/>
              </w:rPr>
              <w:t xml:space="preserve">Bounded use of ordering or comparison to organize key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Referential clarity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Ambiguous references</w:t>
            </w:r>
            <w:r>
              <w:rPr>
                <w:rFonts w:ascii="Times New Roman" w:hAnsi="Times New Roman"/>
                <w:sz w:val="19"/>
              </w:rPr>
              <w:br/>
            </w:r>
            <w:r>
              <w:rPr>
                <w:rFonts w:ascii="Times New Roman" w:hAnsi="Times New Roman"/>
                <w:sz w:val="19"/>
              </w:rPr>
              <w:t xml:space="preserve">Vague entities or pronouns that obscure meaning to provoke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Referential under-specification</w:t>
            </w:r>
            <w:r>
              <w:rPr>
                <w:rFonts w:ascii="Times New Roman" w:hAnsi="Times New Roman"/>
                <w:sz w:val="19"/>
              </w:rPr>
              <w:br/>
            </w:r>
            <w:r>
              <w:rPr>
                <w:rFonts w:ascii="Times New Roman" w:hAnsi="Times New Roman"/>
                <w:sz w:val="19"/>
              </w:rPr>
              <w:t xml:space="preserve">Temporary abstraction that is resolved through reading without misleading</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Reader addressing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Direct appeals</w:t>
            </w:r>
            <w:r>
              <w:rPr>
                <w:rFonts w:ascii="Times New Roman" w:hAnsi="Times New Roman"/>
                <w:sz w:val="19"/>
              </w:rPr>
              <w:br/>
            </w:r>
            <w:r>
              <w:rPr>
                <w:rFonts w:ascii="Times New Roman" w:hAnsi="Times New Roman"/>
                <w:sz w:val="19"/>
              </w:rPr>
              <w:t xml:space="preserve">Imperative or coercive language explicitly urging the reader to click</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Reader relevance cues</w:t>
            </w:r>
            <w:r>
              <w:rPr>
                <w:rFonts w:ascii="Times New Roman" w:hAnsi="Times New Roman"/>
                <w:sz w:val="19"/>
              </w:rPr>
              <w:br/>
            </w:r>
            <w:r>
              <w:rPr>
                <w:rFonts w:ascii="Times New Roman" w:hAnsi="Times New Roman"/>
                <w:sz w:val="19"/>
              </w:rPr>
              <w:t xml:space="preserve">Implicit signaling of why the story matters to the reader</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Narrative structure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Unfinished narratives</w:t>
            </w:r>
            <w:r>
              <w:rPr>
                <w:rFonts w:ascii="Times New Roman" w:hAnsi="Times New Roman"/>
                <w:sz w:val="19"/>
              </w:rPr>
              <w:br/>
            </w:r>
            <w:r>
              <w:rPr>
                <w:rFonts w:ascii="Times New Roman" w:hAnsi="Times New Roman"/>
                <w:sz w:val="19"/>
              </w:rPr>
              <w:t xml:space="preserve">Artificial cliffhangers that omit essential outcomes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Narrative continuation cues</w:t>
            </w:r>
            <w:r>
              <w:rPr>
                <w:rFonts w:ascii="Times New Roman" w:hAnsi="Times New Roman"/>
                <w:sz w:val="19"/>
              </w:rPr>
              <w:br/>
            </w:r>
            <w:r>
              <w:rPr>
                <w:rFonts w:ascii="Times New Roman" w:hAnsi="Times New Roman"/>
                <w:sz w:val="19"/>
              </w:rPr>
              <w:t xml:space="preserve">Indicating that further context follows while retaining essential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Conceptual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Unexpected associations</w:t>
            </w:r>
            <w:r>
              <w:rPr>
                <w:rFonts w:ascii="Times New Roman" w:hAnsi="Times New Roman"/>
                <w:sz w:val="19"/>
              </w:rPr>
              <w:br/>
            </w:r>
            <w:r>
              <w:rPr>
                <w:rFonts w:ascii="Times New Roman" w:hAnsi="Times New Roman"/>
                <w:sz w:val="19"/>
              </w:rPr>
              <w:t xml:space="preserve">Forced or misleading linkage between unrelated concepts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Cross-domain framing</w:t>
            </w:r>
            <w:r>
              <w:rPr>
                <w:rFonts w:ascii="Times New Roman" w:hAnsi="Times New Roman"/>
                <w:sz w:val="19"/>
              </w:rPr>
              <w:br/>
            </w:r>
            <w:r>
              <w:rPr>
                <w:rFonts w:ascii="Times New Roman" w:hAnsi="Times New Roman"/>
                <w:sz w:val="19"/>
              </w:rPr>
              <w:t xml:space="preserve">Novel but factually grounded connections that increase interpretive interest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Interrogative form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Provocative questions</w:t>
            </w:r>
            <w:r>
              <w:rPr>
                <w:rFonts w:ascii="Times New Roman" w:hAnsi="Times New Roman"/>
                <w:sz w:val="19"/>
              </w:rPr>
              <w:br/>
            </w:r>
            <w:r>
              <w:rPr>
                <w:rFonts w:ascii="Times New Roman" w:hAnsi="Times New Roman"/>
                <w:sz w:val="19"/>
              </w:rPr>
              <w:t xml:space="preserve">Questions implying false premises or exaggerated stakes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Interrogative framing</w:t>
            </w:r>
            <w:r>
              <w:rPr>
                <w:rFonts w:ascii="Times New Roman" w:hAnsi="Times New Roman"/>
                <w:sz w:val="19"/>
              </w:rPr>
              <w:br/>
            </w:r>
            <w:r>
              <w:rPr>
                <w:rFonts w:ascii="Times New Roman" w:hAnsi="Times New Roman"/>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rPr>
          <w:rFonts w:ascii="Times New Roman" w:hAnsi="Times New Roman" w:cs="Times New Roman"/>
        </w:rP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[18]</w:t>
      </w:r>
      <w:r>
        <w:t xml:space="preserve">), starting from a curated collection of real, neutral news headlines. These are the genuine Reuters news-agency headlines contained in the True.csv file of the ISOT Fake News Dataset[19,20],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source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Attribute-control prompt (excerpt)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Generated headline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Supreme Court tosses Republican-drawn North Carolina voting districts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the Curiosity Gap tactic: withhold essential detail to create unresolved curiosity. Do not add new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this surprising decision could change north carolina's voting landscape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 puts Goldman Sachs in spotlight, for better or worse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Exaggeration: overstate importance or impact beyond what the article supports.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trump's unprecedented move puts goldman sachs at risk</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White House chief of staff not quitting, says job is not to control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an Emotional Trigger: activate concern or alarm disproportionate to the reported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concerns rise as white house chief of staff insists he won't control trump</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House intelligence chief has seen no evidence to back Trump wiretap charge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Lists or Superlatives: imply exceptionalism through hyperbolic ranking or enumeration.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rPr>
          <w:rFonts w:ascii="Times New Roman" w:hAnsi="Times New Roman" w:cs="Times New Roman"/>
        </w:rP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[21]</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rPr>
          <w:rFonts w:ascii="Times New Roman" w:hAnsi="Times New Roman" w:cs="Times New Roman"/>
        </w:rP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rPr>
          <w:rFonts w:ascii="Times New Roman" w:hAnsi="Times New Roman" w:cs="Times New Roman"/>
        </w:rP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rPr>
          <w:rFonts w:ascii="Times New Roman" w:hAnsi="Times New Roman" w:cs="Times New Roman"/>
        </w:rP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rPr>
          <w:rFonts w:ascii="Times New Roman" w:hAnsi="Times New Roman" w:cs="Times New Roman"/>
        </w:rP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rPr>
          <w:rFonts w:ascii="Times New Roman" w:hAnsi="Times New Roman" w:cs="Times New Roman"/>
        </w:rP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pPr>
      <m:oMathPara>
        <m:oMathParaPr>
          <m:jc m:val="center"/>
        </m:oMathParaPr>
        <m:oMath>
          <m:r>
            <m:rPr>
              <m:sty m:val="p"/>
            </m:rPr>
            <m:t>score</m:t>
          </m:r>
          <m:r>
            <m:rPr>
              <m:sty m:val="p"/>
            </m:rPr>
            <m:t>(</m:t>
          </m:r>
          <m:r>
            <m:t>y</m:t>
          </m:r>
          <m:r>
            <m:rPr>
              <m:sty m:val="p"/>
            </m:rPr>
            <m:t>)</m:t>
          </m:r>
          <m:r>
            <m:rPr>
              <m:sty m:val="p"/>
            </m:rPr>
            <m:t>=</m:t>
          </m:r>
          <m:r>
            <m:rPr>
              <m:sty m:val="p"/>
            </m:rPr>
            <m:t>log</m:t>
          </m:r>
          <m:sSub>
            <m:e>
              <m:r>
                <m:t>p</m:t>
              </m:r>
            </m:e>
            <m:sub>
              <m:r>
                <m:rPr>
                  <m:sty m:val="p"/>
                </m:rPr>
                <m:t>L</m:t>
              </m:r>
              <m:r>
                <m:rPr>
                  <m:sty m:val="p"/>
                </m:rPr>
                <m:t>L</m:t>
              </m:r>
              <m:r>
                <m:rPr>
                  <m:sty m:val="p"/>
                </m:rPr>
                <m:t>M</m:t>
              </m:r>
            </m:sub>
          </m:sSub>
          <m:r>
            <m:rPr>
              <m:sty m:val="p"/>
            </m:rPr>
            <m:t>(</m:t>
          </m:r>
          <m:r>
            <m:t>y</m:t>
          </m:r>
          <m:r>
            <m:rPr>
              <m:sty m:val="p"/>
            </m:rPr>
            <m:t>)</m:t>
          </m:r>
          <m:r>
            <m:rPr>
              <m:sty m:val="p"/>
            </m:rPr>
            <m:t>+</m:t>
          </m:r>
          <m:r>
            <m:t>α</m:t>
          </m:r>
          <m:r>
            <m:rPr>
              <m:sty m:val="p"/>
            </m:rPr>
            <m:t>⋅</m:t>
          </m:r>
          <m:r>
            <m:rPr>
              <m:sty m:val="p"/>
            </m:rPr>
            <m:t>log</m:t>
          </m:r>
          <m:r>
            <m:rPr>
              <m:sty m:val="p"/>
            </m:rPr>
            <m:t>tac</m:t>
          </m:r>
          <m:r>
            <m:rPr>
              <m:sty m:val="p"/>
            </m:rPr>
            <m:t>(</m:t>
          </m:r>
          <m:r>
            <m:t>x</m:t>
          </m:r>
          <m:r>
            <m:rPr>
              <m:sty m:val="p"/>
            </m:rPr>
            <m:t>⋅</m:t>
          </m:r>
          <m:r>
            <m:t>y</m:t>
          </m:r>
          <m:r>
            <m:rPr>
              <m:sty m:val="p"/>
            </m:rPr>
            <m:t>)</m:t>
          </m:r>
          <m:r>
            <m:rPr>
              <m:sty m:val="p"/>
            </m:rPr>
            <m:t>+</m:t>
          </m:r>
          <m:r>
            <m:t>β</m:t>
          </m:r>
          <m:r>
            <m:rPr>
              <m:sty m:val="p"/>
            </m:rPr>
            <m:t>⋅</m:t>
          </m:r>
          <m:r>
            <m:rPr>
              <m:sty m:val="p"/>
            </m:rPr>
            <m:t>log</m:t>
          </m:r>
          <m:r>
            <m:t>​</m:t>
          </m:r>
          <m:d>
            <m:dPr>
              <m:begChr m:val="("/>
              <m:sepChr m:val=""/>
              <m:endChr m:val=")"/>
              <m:grow/>
            </m:dPr>
            <m:e>
              <m:r>
                <m:t>1</m:t>
              </m:r>
              <m:r>
                <m:rPr>
                  <m:sty m:val="p"/>
                </m:rPr>
                <m:t>−</m:t>
              </m:r>
              <m:r>
                <m:rPr>
                  <m:sty m:val="p"/>
                </m:rPr>
                <m:t>cb</m:t>
              </m:r>
              <m:r>
                <m:rPr>
                  <m:sty m:val="p"/>
                </m:rPr>
                <m:t>(</m:t>
              </m:r>
              <m:r>
                <m:t>x</m:t>
              </m:r>
              <m:r>
                <m:rPr>
                  <m:sty m:val="p"/>
                </m:rPr>
                <m:t>⋅</m:t>
              </m:r>
              <m:r>
                <m:t>y</m:t>
              </m:r>
              <m:r>
                <m:rPr>
                  <m:sty m:val="p"/>
                </m:rPr>
                <m:t>)</m:t>
              </m:r>
            </m:e>
          </m:d>
        </m:oMath>
      </m:oMathPara>
    </w:p>
    <w:p>
      <w:pPr>
        <w:pStyle w:val="FirstParagraph"/>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rFonts w:ascii="Times New Roman" w:hAnsi="Times New Roman" w:cs="Times New Roman"/>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DistilBERT[22]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rFonts w:ascii="Times New Roman" w:hAnsi="Times New Roman" w:cs="Times New Roman"/>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BERTScore[23]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(distilGPT-2[25])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rPr>
          <w:rFonts w:ascii="Times New Roman" w:hAnsi="Times New Roman" w:cs="Times New Roman"/>
        </w:rPr>
        <w:t xml:space="preserve">4. Experiments and Results</w:t>
      </w:r>
    </w:p>
    <w:bookmarkStart w:id="32" w:name="dataset-overview"/>
    <w:p>
      <w:pPr>
        <w:pStyle w:val="Heading2"/>
        <w:keepNext/>
        <w:keepLines/>
        <w:widowControl w:val="1"/>
      </w:pPr>
      <w:r>
        <w:rPr>
          <w:rFonts w:ascii="Times New Roman" w:hAnsi="Times New Roman" w:cs="Times New Roman"/>
        </w:rP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rPr>
          <w:rFonts w:ascii="Times New Roman" w:hAnsi="Times New Roman" w:cs="Times New Roman"/>
        </w:rP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rPr>
          <w:rFonts w:ascii="Times New Roman" w:hAnsi="Times New Roman" w:cs="Times New Roman"/>
        </w:rP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rPr>
          <w:rFonts w:ascii="Times New Roman" w:hAnsi="Times New Roman" w:cs="Times New Roman"/>
        </w:rP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Target engagement attribute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(engagement guidance, no clickbait brake)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(with clickbait brake)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'Numerous' arrests made during Trump inauguration protests: police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2 Republican in U.S. House sees conference on tax bill soon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On the trail with Mike Pence: Putting out fires lit by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Pence's High-Stakes Mission to Douse the Flames of Controversy".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with Pence: Dousing Flames of Controversy Left by the President".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U.S. lawmakers ask Trump to turn over any Comey tapes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What's Behind the President's Silence on the Comey Conversations?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960"/>
        <w:gridCol w:w="396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Setting</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'Numerous' arrests made during Trump inauguration protests: police</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Thousands Detained During Trump's Sworn-In Ceremony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on Inauguration Day as Protesters Clash with Authorities</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No. 2 Republican in U.S. House sees conference on tax bill soon</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lawmakers ask Trump to turn over any Comey tapes</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Trump's Oval Office Secrets Just Get Exposed?</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the President's Silence Speak Louder Than Words on the FBI Chief's Fate?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Lawmakers Demand to Know</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rFonts w:ascii="Times New Roman" w:hAnsi="Times New Roman" w:cs="Times New Roman"/>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al.[3] corpus (32,000 balanced headlines) and the Webis Clickbait Corpus 2017[4]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Corpus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AUROC</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F1</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Graded Spearman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Chakraborty et al. (binary)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0.955 (0.953–0.957)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0.858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Webis-17 (graded)</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0.740 (0.720–0.760)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rFonts w:ascii="Times New Roman" w:hAnsi="Times New Roman" w:cs="Times New Roman"/>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rFonts w:ascii="Times New Roman" w:hAnsi="Times New Roman" w:cs="Times New Roman"/>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rFonts w:ascii="Times New Roman" w:hAnsi="Times New Roman" w:cs="Times New Roman"/>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31"/>
        <w:gridCol w:w="1131"/>
        <w:gridCol w:w="1131"/>
        <w:gridCol w:w="1131"/>
        <w:gridCol w:w="1131"/>
        <w:gridCol w:w="1131"/>
        <w:gridCol w:w="1131"/>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Perplexity (median)</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Paired win vs (0,0)</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0.270 (0.25–0.29)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211 (192–221)</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0.509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0.079 (0.07–0.09)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0.280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0.219 (0.21–0.23)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175 (164–184)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0.610 (p≈1×10⁻¹³)</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0.446 (0.42–0.47)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0.028 (0.02–0.04)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0.279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0.324 (0.31–0.34)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275 (257–295)</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0.444</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0.213 (0.20–0.23)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241 (229–253)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rFonts w:ascii="Times New Roman" w:hAnsi="Times New Roman" w:cs="Times New Roman"/>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Prompt + tactic = FUDGE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211 (192–221)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241 (229–254)</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0.520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0.263 (0.26–0.27)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0.064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191 (179–206)</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0.102 (0.10–0.11)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0.509 (0.48–0.54)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515 (492–533)</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−0.002 (−0.01–0.00)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0.733 (0.71–0.76)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1270 (1223–1329)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0.224 (0.22–0.23)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0.203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165 (151–179)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30)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0.055 (0.05–0.06)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0.588 (0.56–0.61)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Source / 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House clears path for tax bill with budget approval</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As lawmakers clear hurdles, is a tax overhaul on track for swift passage after budget deal is sealed in the U.S. House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does the sudden approval of a significant budget reveal about upcoming economic strategies in washington dc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happens next for the tax bill now that the budget hurdle has been overcome in the nation's capital.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Clinton scheduled to return to campaign trail on Friday: MSNBC</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Clinton's Comeback?: What Secrets Will She Bring Back to the Campaign Trail on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return of a key democrat finally ignite sparks in the campaign this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sparks the revival on the election road this Friday for the presidential hopeful's comeback journey.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bl>
    <w:bookmarkEnd w:id="55"/>
    <w:bookmarkStart w:id="56" w:name="rater-based-evaluation"/>
    <w:p>
      <w:pPr>
        <w:pStyle w:val="Heading2"/>
        <w:keepNext/>
        <w:keepLines/>
        <w:widowControl w:val="1"/>
      </w:pPr>
      <w:r>
        <w:rPr>
          <w:rFonts w:ascii="Times New Roman" w:hAnsi="Times New Roman" w:cs="Times New Roman"/>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 / 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Engagement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Faithfulness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2.90 (2.81–2.98)</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3.58 (3.40–3.76)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2.03 (1.91–2.17)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engage only (4,0)</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3.51 (3.39–3.63)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3.14 (2.93–3.33)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2.64 (2.52–2.78)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brake only (0,2)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2.96 (2.86–3.05)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3.44 (3.24–3.63)</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1.88 (1.75–2.02)</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guidance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3.46 (3.34–3.59)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2.89 (2.71–3.07)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2.61 (2.48–2.75)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3.21 (3.15–3.28)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2.54 (2.45–2.64)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3.32 (3.23–3.41)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3.24 (3.18–3.31)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2.27 (2.20–2.34)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2.80 (2.73–2.89)</w:t>
            </w:r>
          </w:p>
        </w:tc>
      </w:tr>
    </w:tbl>
    <w:bookmarkEnd w:id="56"/>
    <w:bookmarkStart w:id="57" w:name="robustness-and-boundary-analysis"/>
    <w:p>
      <w:pPr>
        <w:pStyle w:val="Heading2"/>
        <w:keepNext/>
        <w:keepLines/>
        <w:widowControl w:val="1"/>
      </w:pPr>
      <w:r>
        <w:rPr>
          <w:rFonts w:ascii="Times New Roman" w:hAnsi="Times New Roman" w:cs="Times New Roman"/>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Control type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New-fact rate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 entailment (mean)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paraphrase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rhetorical question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Fact-injected (positive control)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bl>
    <w:bookmarkEnd w:id="57"/>
    <w:bookmarkStart w:id="58" w:name="cross-domain-generalization"/>
    <w:p>
      <w:pPr>
        <w:pStyle w:val="Heading2"/>
        <w:keepNext/>
        <w:keepLines/>
        <w:widowControl w:val="1"/>
      </w:pPr>
      <w:r>
        <w:rPr>
          <w:rFonts w:ascii="Times New Roman" w:hAnsi="Times New Roman" w:cs="Times New Roman"/>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0.049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0.276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0.278 (0.25–0.31)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291 (267–329)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0.156 (0.14–0.18)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0.246 (0.23–0.26)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0.231 (0.20–0.26)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266 (240–295)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0.008 (0.00–0.01)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0.027 (0.02–0.04)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0.271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0.304 (0.27–0.34)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368 (336–407)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0.074 (0.06–0.09)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0.061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0.220 (0.21–0.23)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0.204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319 (286–356)</w:t>
            </w:r>
          </w:p>
        </w:tc>
      </w:tr>
    </w:tbl>
    <w:bookmarkEnd w:id="58"/>
    <w:bookmarkStart w:id="59" w:name="transfer-to-a-second-base-generator"/>
    <w:p>
      <w:pPr>
        <w:pStyle w:val="Heading2"/>
        <w:keepNext/>
        <w:keepLines/>
        <w:widowControl w:val="1"/>
      </w:pPr>
      <w:r>
        <w:rPr>
          <w:rFonts w:ascii="Times New Roman" w:hAnsi="Times New Roman" w:cs="Times New Roman"/>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Qwen2.5-7B-Instruct[26],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 (0.28–0.33)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0.034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0.469 (0.46–0.48)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0.315 (0.28–0.35)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133 (116–148)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0.36 (0.34–0.38)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0.058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0.447 (0.44–0.46)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0.237 (0.21–0.26)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135 (121–145)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0.13 (0.11–0.15)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0.033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0.461 (0.45–0.48)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0.358 (0.32–0.40)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162 (144–178)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(0.04–0.08)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0.432 (0.42–0.45)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0.293 (0.26–0.33)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163 (141–177)</w:t>
            </w:r>
          </w:p>
        </w:tc>
      </w:tr>
    </w:tbl>
    <w:bookmarkEnd w:id="59"/>
    <w:bookmarkEnd w:id="60"/>
    <w:bookmarkStart w:id="62" w:name="conclusion-and-future-work"/>
    <w:p>
      <w:pPr>
        <w:pStyle w:val="Heading1"/>
        <w:keepNext/>
        <w:keepLines/>
        <w:widowControl w:val="1"/>
      </w:pPr>
      <w:r>
        <w:rPr>
          <w:rFonts w:ascii="Times New Roman" w:hAnsi="Times New Roman" w:cs="Times New Roman"/>
        </w:rP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rFonts w:ascii="Times New Roman" w:hAnsi="Times New Roman" w:cs="Times New Roman"/>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2017[4] and the Chakraborty et al.[3]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rPr>
          <w:rFonts w:ascii="Times New Roman" w:hAnsi="Times New Roman" w:cs="Times New Roman"/>
        </w:rP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rPr>
          <w:rFonts w:ascii="Times New Roman" w:hAnsi="Times New Roman" w:cs="Times New Roman"/>
        </w:rP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Grattafiori, A.</w:t>
      </w:r>
      <w:r>
        <w:t xml:space="preserve"> </w:t>
      </w:r>
      <w:r>
        <w:rPr>
          <w:i/>
          <w:iCs/>
        </w:rPr>
        <w:t xml:space="preserve">et al.</w:t>
      </w:r>
      <w:r>
        <w:t xml:space="preserve"> </w:t>
      </w:r>
      <w:r>
        <w:t xml:space="preserve">The Llama 3 herd of models. Preprint at https://arxiv.org/abs/2407.21783 (2024).</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OpenAI. GPT-4o system card. Preprint at https://arxiv.org/abs/2410.21276 (2024).</w:t>
      </w:r>
    </w:p>
    <w:p>
      <w:pPr>
        <w:pStyle w:val="ReferenceEntry"/>
        <w:spacing w:after="100"/>
        <w:ind w:left="475" w:hanging="475"/>
        <w:jc w:val="left"/>
        <w:keepNext w:val="0"/>
        <w:keepLines w:val="0"/>
        <w:widowControl w:val="1"/>
      </w:pPr>
      <w:r>
        <w:rPr>
          <w:rFonts w:ascii="Times New Roman" w:hAnsi="Times New Roman"/>
          <w:sz w:val="20"/>
        </w:rPr>
        <w:t xml:space="preserve">19. </w:t>
      </w:r>
      <w:r>
        <w:rPr>
          <w:highlight w:val="yellow"/>
        </w:rPr>
        <w:t xml:space="preserve">Ahmed, H., Traore, I. &amp; Saad, S. Detecting opinion spams and fake news using text classification.</w:t>
      </w:r>
      <w:r>
        <w:rPr>
          <w:highlight w:val="yellow"/>
        </w:rPr>
        <w:t xml:space="preserve"> </w:t>
      </w:r>
      <w:r>
        <w:rPr>
          <w:i/>
          <w:iCs/>
          <w:highlight w:val="yellow"/>
        </w:rPr>
        <w:t xml:space="preserve">Secur. Priv.</w:t>
      </w:r>
      <w:r>
        <w:rPr>
          <w:highlight w:val="yellow"/>
        </w:rPr>
        <w:t xml:space="preserve"> </w:t>
      </w:r>
      <w:r>
        <w:rPr>
          <w:b/>
          <w:bCs/>
          <w:highlight w:val="yellow"/>
        </w:rPr>
        <w:t xml:space="preserve">1</w:t>
      </w:r>
      <w:r>
        <w:rPr>
          <w:highlight w:val="yellow"/>
        </w:rPr>
        <w:t xml:space="preserve">, e9 (2018).</w:t>
      </w:r>
    </w:p>
    <w:p>
      <w:pPr>
        <w:pStyle w:val="ReferenceEntry"/>
        <w:spacing w:after="100"/>
        <w:ind w:left="475" w:hanging="475"/>
        <w:jc w:val="left"/>
        <w:keepNext w:val="0"/>
        <w:keepLines w:val="0"/>
        <w:widowControl w:val="1"/>
      </w:pPr>
      <w:r>
        <w:rPr>
          <w:rFonts w:ascii="Times New Roman" w:hAnsi="Times New Roman"/>
          <w:sz w:val="20"/>
        </w:rPr>
        <w:t xml:space="preserve">20. </w:t>
      </w:r>
      <w:r>
        <w:rPr>
          <w:highlight w:val="yellow"/>
        </w:rPr>
        <w:t xml:space="preserve">Ahmed, H., Traore, I. &amp; Saad, S. Detection of online fake news using n-gram analysis and machine learning techniques. In</w:t>
      </w:r>
      <w:r>
        <w:rPr>
          <w:highlight w:val="yellow"/>
        </w:rPr>
        <w:t xml:space="preserve"> </w:t>
      </w:r>
      <w:r>
        <w:rPr>
          <w:i/>
          <w:iCs/>
          <w:highlight w:val="yellow"/>
        </w:rPr>
        <w:t xml:space="preserve">Proc. Int. Conf. on Intelligent, Secure, and Dependable Systems in Distributed and Cloud Environments</w:t>
      </w:r>
      <w:r>
        <w:rPr>
          <w:highlight w:val="yellow"/>
        </w:rPr>
        <w:t xml:space="preserve"> </w:t>
      </w:r>
      <w:r>
        <w:rPr>
          <w:highlight w:val="yellow"/>
        </w:rPr>
        <w:t xml:space="preserve">127–138 (Springer, 2017).</w:t>
      </w:r>
    </w:p>
    <w:p>
      <w:pPr>
        <w:pStyle w:val="ReferenceEntry"/>
        <w:spacing w:after="100"/>
        <w:ind w:left="475" w:hanging="475"/>
        <w:jc w:val="left"/>
        <w:keepNext w:val="0"/>
        <w:keepLines w:val="0"/>
        <w:widowControl w:val="1"/>
      </w:pPr>
      <w:r>
        <w:rPr>
          <w:rFonts w:ascii="Times New Roman" w:hAnsi="Times New Roman"/>
          <w:sz w:val="20"/>
        </w:rPr>
        <w:t xml:space="preserve">21.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Times New Roman" w:hAnsi="Times New Roman"/>
          <w:sz w:val="20"/>
        </w:rPr>
        <w:t xml:space="preserve">22.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Times New Roman" w:hAnsi="Times New Roman"/>
          <w:sz w:val="20"/>
        </w:rPr>
        <w:t xml:space="preserve">23.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Times New Roman" w:hAnsi="Times New Roman"/>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Times New Roman" w:hAnsi="Times New Roman"/>
          <w:sz w:val="20"/>
        </w:rPr>
        <w:t xml:space="preserve">25.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p>
      <w:pPr>
        <w:pStyle w:val="ReferenceEntry"/>
        <w:spacing w:after="100"/>
        <w:ind w:left="475" w:hanging="475"/>
        <w:jc w:val="left"/>
        <w:keepNext w:val="0"/>
        <w:keepLines w:val="0"/>
        <w:widowControl w:val="1"/>
      </w:pPr>
      <w:r>
        <w:rPr>
          <w:rFonts w:ascii="Times New Roman" w:hAnsi="Times New Roman"/>
          <w:sz w:val="20"/>
        </w:rPr>
        <w:t xml:space="preserve">26.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2026-07-26T04:44:29Z</dcterms:created>
  <dcterms:modified xsi:type="dcterms:W3CDTF">2026-07-26T04:44:29Z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