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sponse-to-the-editor-and-reviewers"/>
    <w:p>
      <w:pPr>
        <w:pStyle w:val="Heading1"/>
      </w:pPr>
      <w:r>
        <w:t xml:space="preserve">Response to the Editor and Reviewers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rPr>
          <w:i/>
          <w:iCs/>
        </w:rPr>
        <w:t xml:space="preserve">LLM-guided headline rewriting for clickability enhancement without clickbait</w:t>
      </w:r>
    </w:p>
    <w:p>
      <w:pPr>
        <w:pStyle w:val="BodyText"/>
      </w:pPr>
      <w:r>
        <w:t xml:space="preserve">We thank the editor and both reviewers for their careful and constructive reports.</w:t>
      </w:r>
      <w:r>
        <w:t xml:space="preserve"> </w:t>
      </w:r>
      <w:r>
        <w:t xml:space="preserve">We have</w:t>
      </w:r>
      <w:r>
        <w:t xml:space="preserve"> </w:t>
      </w:r>
      <w:r>
        <w:rPr>
          <w:b/>
          <w:bCs/>
        </w:rPr>
        <w:t xml:space="preserve">significantly improved and expanded the experimental program</w:t>
      </w:r>
      <w:r>
        <w:t xml:space="preserve">, converting a</w:t>
      </w:r>
      <w:r>
        <w:t xml:space="preserve"> </w:t>
      </w:r>
      <w:r>
        <w:t xml:space="preserve">manuscript whose central claims rested on qualitative examples into one in which every</w:t>
      </w:r>
      <w:r>
        <w:t xml:space="preserve"> </w:t>
      </w:r>
      <w:r>
        <w:t xml:space="preserve">claim is backed by quantitative evidence with independent metrics, item-matched</w:t>
      </w:r>
      <w:r>
        <w:t xml:space="preserve"> </w:t>
      </w:r>
      <w:r>
        <w:t xml:space="preserve">significance testing, and confidence intervals. In the revised manuscript, every passage</w:t>
      </w:r>
      <w:r>
        <w:t xml:space="preserve"> </w:t>
      </w:r>
      <w:r>
        <w:t xml:space="preserve">changed in this revision is highlighted in</w:t>
      </w:r>
      <w:r>
        <w:t xml:space="preserve"> </w:t>
      </w:r>
      <w:r>
        <w:rPr>
          <w:b/>
          <w:bCs/>
        </w:rPr>
        <w:t xml:space="preserve">yellow</w:t>
      </w:r>
      <w:r>
        <w:t xml:space="preserve">; a white-background HTML mirror and a</w:t>
      </w:r>
      <w:r>
        <w:t xml:space="preserve"> </w:t>
      </w:r>
      <w:r>
        <w:t xml:space="preserve">public data/code/model deposit accompany the submission.</w:t>
      </w:r>
    </w:p>
    <w:p>
      <w:pPr>
        <w:pStyle w:val="BodyText"/>
      </w:pPr>
      <w:r>
        <w:t xml:space="preserve">The revised</w:t>
      </w:r>
      <w:r>
        <w:t xml:space="preserve"> </w:t>
      </w:r>
      <w:r>
        <w:rPr>
          <w:b/>
          <w:bCs/>
        </w:rPr>
        <w:t xml:space="preserve">Section 4 (Experiments and Results)</w:t>
      </w:r>
      <w:r>
        <w:t xml:space="preserve"> </w:t>
      </w:r>
      <w:r>
        <w:t xml:space="preserve">now reports, all on held-out data and</w:t>
      </w:r>
      <w:r>
        <w:t xml:space="preserve"> </w:t>
      </w:r>
      <w:r>
        <w:t xml:space="preserve">with independent evaluators wherever possible:</w:t>
      </w:r>
    </w:p>
    <w:p>
      <w:pPr>
        <w:pStyle w:val="Compact"/>
        <w:numPr>
          <w:ilvl w:val="0"/>
          <w:numId w:val="1001"/>
        </w:numPr>
      </w:pPr>
      <w:r>
        <w:t xml:space="preserve">external validation of both guide models on entirely human-authored corpora (4.5);</w:t>
      </w:r>
    </w:p>
    <w:p>
      <w:pPr>
        <w:pStyle w:val="Compact"/>
        <w:numPr>
          <w:ilvl w:val="0"/>
          <w:numId w:val="1001"/>
        </w:numPr>
      </w:pPr>
      <w:r>
        <w:t xml:space="preserve">prefix-level validation of the guide on real headlines (4.6, Figure 5);</w:t>
      </w:r>
    </w:p>
    <w:p>
      <w:pPr>
        <w:pStyle w:val="Compact"/>
        <w:numPr>
          <w:ilvl w:val="0"/>
          <w:numId w:val="1001"/>
        </w:numPr>
      </w:pPr>
      <w:r>
        <w:t xml:space="preserve">a quantified Reuters-neutrality check of the source pool (4.7);</w:t>
      </w:r>
    </w:p>
    <w:p>
      <w:pPr>
        <w:pStyle w:val="Compact"/>
        <w:numPr>
          <w:ilvl w:val="0"/>
          <w:numId w:val="1001"/>
        </w:numPr>
      </w:pPr>
      <w:r>
        <w:t xml:space="preserve">a four-cell dual-guidance ablation on 300 held-out headlines (4.8, Table 6, Figure 6);</w:t>
      </w:r>
    </w:p>
    <w:p>
      <w:pPr>
        <w:pStyle w:val="Compact"/>
        <w:numPr>
          <w:ilvl w:val="0"/>
          <w:numId w:val="1001"/>
        </w:numPr>
      </w:pPr>
      <w:r>
        <w:t xml:space="preserve">a comparison against the DExperts and GeDi decoding-time baselines showing that dual</w:t>
      </w:r>
      <w:r>
        <w:t xml:space="preserve"> </w:t>
      </w:r>
      <w:r>
        <w:t xml:space="preserve">control decouples engagement from clickbait (4.9, Table 7, Figure 7, Table 8);</w:t>
      </w:r>
    </w:p>
    <w:p>
      <w:pPr>
        <w:pStyle w:val="Compact"/>
        <w:numPr>
          <w:ilvl w:val="0"/>
          <w:numId w:val="1001"/>
        </w:numPr>
      </w:pPr>
      <w:r>
        <w:t xml:space="preserve">a rater-based evaluation with three independent annotators (4.10, Table 9);</w:t>
      </w:r>
    </w:p>
    <w:p>
      <w:pPr>
        <w:pStyle w:val="Compact"/>
        <w:numPr>
          <w:ilvl w:val="0"/>
          <w:numId w:val="1001"/>
        </w:numPr>
      </w:pPr>
      <w:r>
        <w:t xml:space="preserve">a robustness and factuality analysis (4.11, Table 10);</w:t>
      </w:r>
    </w:p>
    <w:p>
      <w:pPr>
        <w:pStyle w:val="Compact"/>
        <w:numPr>
          <w:ilvl w:val="0"/>
          <w:numId w:val="1001"/>
        </w:numPr>
      </w:pPr>
      <w:r>
        <w:t xml:space="preserve">cross-domain generalization to non-Reuters headlines (4.12, Table 11);</w:t>
      </w:r>
    </w:p>
    <w:p>
      <w:pPr>
        <w:pStyle w:val="Compact"/>
        <w:numPr>
          <w:ilvl w:val="0"/>
          <w:numId w:val="1001"/>
        </w:numPr>
      </w:pPr>
      <w:r>
        <w:t xml:space="preserve">transfer to a second base-model family, Qwen2.5-7B (4.13, Table 12).</w:t>
      </w:r>
    </w:p>
    <w:p>
      <w:pPr>
        <w:pStyle w:val="FirstParagraph"/>
      </w:pPr>
      <w:r>
        <w:t xml:space="preserve">Each reviewer point is answered individually below, with the section and numbers that now</w:t>
      </w:r>
      <w:r>
        <w:t xml:space="preserve"> </w:t>
      </w:r>
      <w:r>
        <w:t xml:space="preserve">address it. Part 2 lists improvements we made that were not explicitly requested.</w:t>
      </w:r>
    </w:p>
    <w:p>
      <w:r>
        <w:pict>
          <v:rect style="width:0;height:1.5pt" o:hralign="center" o:hrstd="t" o:hr="t"/>
        </w:pict>
      </w:r>
    </w:p>
    <w:bookmarkStart w:id="22" w:name="part-1-point-by-point-responses"/>
    <w:p>
      <w:pPr>
        <w:pStyle w:val="Heading2"/>
      </w:pPr>
      <w:r>
        <w:t xml:space="preserve">Part 1 — Point-by-point responses</w:t>
      </w:r>
    </w:p>
    <w:bookmarkStart w:id="20" w:name="reviewer-1"/>
    <w:p>
      <w:pPr>
        <w:pStyle w:val="Heading3"/>
      </w:pPr>
      <w:r>
        <w:t xml:space="preserve">Reviewer 1</w:t>
      </w:r>
    </w:p>
    <w:p>
      <w:pPr>
        <w:pStyle w:val="FirstParagraph"/>
      </w:pPr>
      <w:r>
        <w:rPr>
          <w:b/>
          <w:bCs/>
        </w:rPr>
        <w:t xml:space="preserve">R1-1 — Generalization to naturally occurring clickbait / validation on public real-world</w:t>
      </w:r>
      <w:r>
        <w:rPr>
          <w:b/>
          <w:bCs/>
        </w:rPr>
        <w:t xml:space="preserve"> </w:t>
      </w:r>
      <w:r>
        <w:rPr>
          <w:b/>
          <w:bCs/>
        </w:rPr>
        <w:t xml:space="preserve">datasets.</w:t>
      </w:r>
      <w:r>
        <w:t xml:space="preserve"> </w:t>
      </w:r>
      <w:r>
        <w:rPr>
          <w:i/>
          <w:iCs/>
        </w:rPr>
        <w:t xml:space="preserve">Addressed (Sections 4.5–4.6).</w:t>
      </w:r>
      <w:r>
        <w:t xml:space="preserve"> </w:t>
      </w:r>
      <w:r>
        <w:t xml:space="preserve">Both guides are now evaluated on two entirely</w:t>
      </w:r>
      <w:r>
        <w:t xml:space="preserve"> </w:t>
      </w:r>
      <w:r>
        <w:t xml:space="preserve">human-authored, publicly available corpora never seen in training: Chakraborty et al. 2016</w:t>
      </w:r>
      <w:r>
        <w:t xml:space="preserve"> </w:t>
      </w:r>
      <w:r>
        <w:t xml:space="preserve">(32,000 headlines) and the Webis Clickbait Corpus 2017 (2,459 graded), each with 95%</w:t>
      </w:r>
      <w:r>
        <w:t xml:space="preserve"> </w:t>
      </w:r>
      <w:r>
        <w:t xml:space="preserve">bootstrap CIs. The clickbait guide reaches</w:t>
      </w:r>
      <w:r>
        <w:t xml:space="preserve"> </w:t>
      </w:r>
      <w:r>
        <w:rPr>
          <w:b/>
          <w:bCs/>
        </w:rPr>
        <w:t xml:space="preserve">AUROC 0.955</w:t>
      </w:r>
      <w:r>
        <w:t xml:space="preserve"> </w:t>
      </w:r>
      <w:r>
        <w:t xml:space="preserve">on Chakraborty and</w:t>
      </w:r>
      <w:r>
        <w:t xml:space="preserve"> </w:t>
      </w:r>
      <w:r>
        <w:rPr>
          <w:b/>
          <w:bCs/>
        </w:rPr>
        <w:t xml:space="preserve">0.740</w:t>
      </w:r>
      <w:r>
        <w:t xml:space="preserve"> </w:t>
      </w:r>
      <w:r>
        <w:t xml:space="preserve">on</w:t>
      </w:r>
      <w:r>
        <w:t xml:space="preserve"> </w:t>
      </w:r>
      <w:r>
        <w:t xml:space="preserve">the noisier graded Webis; the ten attribute dimensions all correlate significantly with human</w:t>
      </w:r>
      <w:r>
        <w:t xml:space="preserve"> </w:t>
      </w:r>
      <w:r>
        <w:t xml:space="preserve">clickbait (Spearman 0.34–0.45, every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1×10⁻⁶⁰). A new prefix-level test (Section 4.6,</w:t>
      </w:r>
      <w:r>
        <w:t xml:space="preserve"> </w:t>
      </w:r>
      <w:r>
        <w:t xml:space="preserve">Figure 5) shows the guide predicts the human label from an early prefix, with AUROC rising</w:t>
      </w:r>
      <w:r>
        <w:t xml:space="preserve"> </w:t>
      </w:r>
      <w:r>
        <w:t xml:space="preserve">monotonically from</w:t>
      </w:r>
      <w:r>
        <w:t xml:space="preserve"> </w:t>
      </w:r>
      <w:r>
        <w:rPr>
          <w:b/>
          <w:bCs/>
        </w:rPr>
        <w:t xml:space="preserve">0.891</w:t>
      </w:r>
      <w:r>
        <w:t xml:space="preserve"> </w:t>
      </w:r>
      <w:r>
        <w:t xml:space="preserve">at 30% of the headline to</w:t>
      </w:r>
      <w:r>
        <w:t xml:space="preserve"> </w:t>
      </w:r>
      <w:r>
        <w:rPr>
          <w:b/>
          <w:bCs/>
        </w:rPr>
        <w:t xml:space="preserve">0.954</w:t>
      </w:r>
      <w:r>
        <w:t xml:space="preserve"> </w:t>
      </w:r>
      <w:r>
        <w:t xml:space="preserve">at full length. Every</w:t>
      </w:r>
      <w:r>
        <w:t xml:space="preserve"> </w:t>
      </w:r>
      <w:r>
        <w:t xml:space="preserve">clickbait number in the rewrite evaluation is produced by a</w:t>
      </w:r>
      <w:r>
        <w:t xml:space="preserve"> </w:t>
      </w:r>
      <w:r>
        <w:rPr>
          <w:b/>
          <w:bCs/>
        </w:rPr>
        <w:t xml:space="preserve">separate DistilBERT detector</w:t>
      </w:r>
      <w:r>
        <w:rPr>
          <w:b/>
          <w:bCs/>
        </w:rPr>
        <w:t xml:space="preserve"> </w:t>
      </w:r>
      <w:r>
        <w:rPr>
          <w:b/>
          <w:bCs/>
        </w:rPr>
        <w:t xml:space="preserve">trained only on the human-authored Chakraborty data</w:t>
      </w:r>
      <w:r>
        <w:t xml:space="preserve">, never by our own guide.</w:t>
      </w:r>
    </w:p>
    <w:p>
      <w:pPr>
        <w:pStyle w:val="BodyText"/>
      </w:pPr>
      <w:r>
        <w:rPr>
          <w:b/>
          <w:bCs/>
        </w:rPr>
        <w:t xml:space="preserve">R1-2 — Central claims supported only by qualitative examples; add quantitative and human</w:t>
      </w:r>
      <w:r>
        <w:rPr>
          <w:b/>
          <w:bCs/>
        </w:rPr>
        <w:t xml:space="preserve"> </w:t>
      </w:r>
      <w:r>
        <w:rPr>
          <w:b/>
          <w:bCs/>
        </w:rPr>
        <w:t xml:space="preserve">evaluation.</w:t>
      </w:r>
      <w:r>
        <w:t xml:space="preserve"> </w:t>
      </w:r>
      <w:r>
        <w:rPr>
          <w:i/>
          <w:iCs/>
        </w:rPr>
        <w:t xml:space="preserve">Addressed (Sections 4.8, 4.10).</w:t>
      </w:r>
      <w:r>
        <w:t xml:space="preserve"> </w:t>
      </w:r>
      <w:r>
        <w:t xml:space="preserve">Over 300 held-out headlines we now report</w:t>
      </w:r>
      <w:r>
        <w:t xml:space="preserve"> </w:t>
      </w:r>
      <w:r>
        <w:t xml:space="preserve">BERTScore-F1, DeBERTa-v3 NLI entailment, independent attribute realization (an LLM judge),</w:t>
      </w:r>
      <w:r>
        <w:t xml:space="preserve"> </w:t>
      </w:r>
      <w:r>
        <w:t xml:space="preserve">independent clickbait probability, and fluency (perplexity) for each configuration, with</w:t>
      </w:r>
      <w:r>
        <w:t xml:space="preserve"> </w:t>
      </w:r>
      <w:r>
        <w:t xml:space="preserve">item-matched significance. We additionally conducted a</w:t>
      </w:r>
      <w:r>
        <w:t xml:space="preserve"> </w:t>
      </w:r>
      <w:r>
        <w:rPr>
          <w:b/>
          <w:bCs/>
        </w:rPr>
        <w:t xml:space="preserve">rater-based evaluation</w:t>
      </w:r>
      <w:r>
        <w:t xml:space="preserve"> </w:t>
      </w:r>
      <w:r>
        <w:t xml:space="preserve">(Section</w:t>
      </w:r>
      <w:r>
        <w:t xml:space="preserve"> </w:t>
      </w:r>
      <w:r>
        <w:t xml:space="preserve">4.10) with three independent human annotators over 1,500 rewrites, obtaining good-to-excellent</w:t>
      </w:r>
      <w:r>
        <w:t xml:space="preserve"> </w:t>
      </w:r>
      <w:r>
        <w:t xml:space="preserve">reliability (ICC(2,k) 0.82–0.94); annotator faithfulness correlates with automatic BERTScore</w:t>
      </w:r>
      <w:r>
        <w:t xml:space="preserve"> </w:t>
      </w:r>
      <w:r>
        <w:t xml:space="preserve">(Spearman</w:t>
      </w:r>
      <w:r>
        <w:t xml:space="preserve"> </w:t>
      </w:r>
      <w:r>
        <w:rPr>
          <w:i/>
          <w:iCs/>
        </w:rPr>
        <w:t xml:space="preserve">ρ</w:t>
      </w:r>
      <w:r>
        <w:t xml:space="preserve"> </w:t>
      </w:r>
      <w:r>
        <w:t xml:space="preserve">= 0.61,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1500). With item-matched significance the human ratings confirm the</w:t>
      </w:r>
      <w:r>
        <w:t xml:space="preserve"> </w:t>
      </w:r>
      <w:r>
        <w:t xml:space="preserve">two designed effects: the brake lowers perceived clickbait (dual 2.03 vs no-guidance 2.61 on a</w:t>
      </w:r>
      <w:r>
        <w:t xml:space="preserve"> </w:t>
      </w:r>
      <w:r>
        <w:t xml:space="preserve">1–5 scale,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1×10⁻⁷) and the dual guidance is rated more faithful than the no-guidance</w:t>
      </w:r>
      <w:r>
        <w:t xml:space="preserve"> </w:t>
      </w:r>
      <w:r>
        <w:t xml:space="preserve">baseline (3.58 vs 2.89,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1×10⁻⁷) and than the DExperts and GeDi baselines (both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1×10⁻¹⁴). The full annotation workbooks and per-item ratings are released in the deposit.</w:t>
      </w:r>
    </w:p>
    <w:p>
      <w:pPr>
        <w:pStyle w:val="BodyText"/>
      </w:pPr>
      <w:r>
        <w:rPr>
          <w:b/>
          <w:bCs/>
        </w:rPr>
        <w:t xml:space="preserve">R1-3 — Dual-guidance controllability insufficiently validated; add ablations and baselines.</w:t>
      </w:r>
      <w:r>
        <w:t xml:space="preserve"> </w:t>
      </w:r>
      <w:r>
        <w:rPr>
          <w:i/>
          <w:iCs/>
        </w:rPr>
        <w:t xml:space="preserve">Addressed (Sections 4.8–4.9).</w:t>
      </w:r>
      <w:r>
        <w:t xml:space="preserve"> </w:t>
      </w:r>
      <w:r>
        <w:t xml:space="preserve">The dual-guidance mechanism is dissected by a four-cell</w:t>
      </w:r>
      <w:r>
        <w:t xml:space="preserve"> </w:t>
      </w:r>
      <w:r>
        <w:t xml:space="preserve">(α, β) ablation, showing the two guides exert the designed, independent, opposite effects</w:t>
      </w:r>
      <w:r>
        <w:t xml:space="preserve"> </w:t>
      </w:r>
      <w:r>
        <w:t xml:space="preserve">(the engagement guide raises independent tactic realization from 0.48 to 0.51; the brake</w:t>
      </w:r>
      <w:r>
        <w:t xml:space="preserve"> </w:t>
      </w:r>
      <w:r>
        <w:t xml:space="preserve">lowers the independent clickbait score from 0.079 to 0.057). We compare against the two representative</w:t>
      </w:r>
      <w:r>
        <w:t xml:space="preserve"> </w:t>
      </w:r>
      <w:r>
        <w:t xml:space="preserve">decoding-time methods</w:t>
      </w:r>
      <w:r>
        <w:t xml:space="preserve"> </w:t>
      </w:r>
      <w:r>
        <w:rPr>
          <w:b/>
          <w:bCs/>
        </w:rPr>
        <w:t xml:space="preserve">DExperts and GeDi</w:t>
      </w:r>
      <w:r>
        <w:t xml:space="preserve">, each with its own strength sweep. The dual guide</w:t>
      </w:r>
      <w:r>
        <w:t xml:space="preserve"> </w:t>
      </w:r>
      <w:r>
        <w:t xml:space="preserve">adds an</w:t>
      </w:r>
      <w:r>
        <w:t xml:space="preserve"> </w:t>
      </w:r>
      <w:r>
        <w:rPr>
          <w:b/>
          <w:bCs/>
        </w:rPr>
        <w:t xml:space="preserve">independent clickbait brake</w:t>
      </w:r>
      <w:r>
        <w:t xml:space="preserve"> </w:t>
      </w:r>
      <w:r>
        <w:t xml:space="preserve">(Table 7, Figure 7): a lever that lowers induced</w:t>
      </w:r>
      <w:r>
        <w:t xml:space="preserve"> </w:t>
      </w:r>
      <w:r>
        <w:t xml:space="preserve">clickbait separately from the engagement weight, which the single-axis methods lack. At low</w:t>
      </w:r>
      <w:r>
        <w:t xml:space="preserve"> </w:t>
      </w:r>
      <w:r>
        <w:t xml:space="preserve">steering the baselines are competitive, but because their single control couples engagement and</w:t>
      </w:r>
      <w:r>
        <w:t xml:space="preserve"> </w:t>
      </w:r>
      <w:r>
        <w:t xml:space="preserve">clickbait, pushing it past the operating point drives their induced clickbait up steeply</w:t>
      </w:r>
      <w:r>
        <w:t xml:space="preserve"> </w:t>
      </w:r>
      <w:r>
        <w:t xml:space="preserve">(DExperts 0.06 to 0.73 across its strength sweep; GeDi to 0.59) with fidelity falling in step.</w:t>
      </w:r>
      <w:r>
        <w:t xml:space="preserve"> </w:t>
      </w:r>
      <w:r>
        <w:t xml:space="preserve">For a fair comparison DExperts is decoded with a repetition penalty (1.3) and a headline-length</w:t>
      </w:r>
      <w:r>
        <w:t xml:space="preserve"> </w:t>
      </w:r>
      <w:r>
        <w:t xml:space="preserve">cap, since unconstrained greedy product-of-experts decoding degenerates into repetition at high</w:t>
      </w:r>
      <w:r>
        <w:t xml:space="preserve"> </w:t>
      </w:r>
      <w:r>
        <w:t xml:space="preserve">steering strength.</w:t>
      </w:r>
    </w:p>
    <w:bookmarkEnd w:id="20"/>
    <w:bookmarkStart w:id="21" w:name="reviewer-2"/>
    <w:p>
      <w:pPr>
        <w:pStyle w:val="Heading3"/>
      </w:pPr>
      <w:r>
        <w:t xml:space="preserve">Reviewer 2</w:t>
      </w:r>
    </w:p>
    <w:p>
      <w:pPr>
        <w:pStyle w:val="FirstParagraph"/>
      </w:pPr>
      <w:r>
        <w:rPr>
          <w:b/>
          <w:bCs/>
        </w:rPr>
        <w:t xml:space="preserve">R2-M1 — Unsupported intro claims; ungrounded, unvalidated rubric.</w:t>
      </w:r>
      <w:r>
        <w:t xml:space="preserve"> </w:t>
      </w:r>
      <w:r>
        <w:rPr>
          <w:i/>
          <w:iCs/>
        </w:rPr>
        <w:t xml:space="preserve">Addressed.</w:t>
      </w:r>
      <w:r>
        <w:t xml:space="preserve"> </w:t>
      </w:r>
      <w:r>
        <w:t xml:space="preserve">The</w:t>
      </w:r>
      <w:r>
        <w:t xml:space="preserve"> </w:t>
      </w:r>
      <w:r>
        <w:t xml:space="preserve">opening paragraphs now carry supporting citations, and the rubric is positioned as an</w:t>
      </w:r>
      <w:r>
        <w:t xml:space="preserve"> </w:t>
      </w:r>
      <w:r>
        <w:t xml:space="preserve">extension of the attribute-attribution work of Nofar et al. 2025. The rubric is</w:t>
      </w:r>
      <w:r>
        <w:t xml:space="preserve"> </w:t>
      </w:r>
      <w:r>
        <w:rPr>
          <w:b/>
          <w:bCs/>
        </w:rPr>
        <w:t xml:space="preserve">validated</w:t>
      </w:r>
      <w:r>
        <w:rPr>
          <w:b/>
          <w:bCs/>
        </w:rPr>
        <w:t xml:space="preserve"> </w:t>
      </w:r>
      <w:r>
        <w:rPr>
          <w:b/>
          <w:bCs/>
        </w:rPr>
        <w:t xml:space="preserve">empirically</w:t>
      </w:r>
      <w:r>
        <w:t xml:space="preserve">: a blinded re-labeling study (Section 4.10, C1) over 150 headlines yields</w:t>
      </w:r>
      <w:r>
        <w:t xml:space="preserve"> </w:t>
      </w:r>
      <w:r>
        <w:t xml:space="preserve">substantial inter-rater agreement (mean Fleiss κ = 0.70).</w:t>
      </w:r>
    </w:p>
    <w:p>
      <w:pPr>
        <w:pStyle w:val="BodyText"/>
      </w:pPr>
      <w:r>
        <w:rPr>
          <w:b/>
          <w:bCs/>
        </w:rPr>
        <w:t xml:space="preserve">R2-M2 — Central claims not supported by quantitative evidence.</w:t>
      </w:r>
      <w:r>
        <w:t xml:space="preserve"> </w:t>
      </w:r>
      <w:r>
        <w:rPr>
          <w:i/>
          <w:iCs/>
        </w:rPr>
        <w:t xml:space="preserve">Addressed.</w:t>
      </w:r>
      <w:r>
        <w:t xml:space="preserve"> </w:t>
      </w:r>
      <w:r>
        <w:t xml:space="preserve">The</w:t>
      </w:r>
      <w:r>
        <w:t xml:space="preserve"> </w:t>
      </w:r>
      <w:r>
        <w:t xml:space="preserve">Conclusion no longer asserts unmeasured gains. Every claim is backed by Section 4: the brake</w:t>
      </w:r>
      <w:r>
        <w:t xml:space="preserve"> </w:t>
      </w:r>
      <w:r>
        <w:t xml:space="preserve">measurably lowers both the independent detector score and human-rated clickbait (dual 2.03 vs</w:t>
      </w:r>
      <w:r>
        <w:t xml:space="preserve"> </w:t>
      </w:r>
      <w:r>
        <w:t xml:space="preserve">2.61,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1×10⁻⁷), independent human annotators rate the dual guidance more faithful than the</w:t>
      </w:r>
      <w:r>
        <w:t xml:space="preserve"> </w:t>
      </w:r>
      <w:r>
        <w:t xml:space="preserve">no-guidance baseline (3.58 vs 2.89,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1×10⁻⁷), and against the</w:t>
      </w:r>
      <w:r>
        <w:t xml:space="preserve"> </w:t>
      </w:r>
      <w:r>
        <w:t xml:space="preserve">baselines the dual control holds induced clickbait low at matched tactic realization while</w:t>
      </w:r>
      <w:r>
        <w:t xml:space="preserve"> </w:t>
      </w:r>
      <w:r>
        <w:t xml:space="preserve">the single-axis methods’ clickbait rises steeply with steering.</w:t>
      </w:r>
    </w:p>
    <w:p>
      <w:pPr>
        <w:pStyle w:val="BodyText"/>
      </w:pPr>
      <w:r>
        <w:rPr>
          <w:b/>
          <w:bCs/>
        </w:rPr>
        <w:t xml:space="preserve">R2-M3 — Circularity of the evaluation loop.</w:t>
      </w:r>
      <w:r>
        <w:t xml:space="preserve"> </w:t>
      </w:r>
      <w:r>
        <w:rPr>
          <w:i/>
          <w:iCs/>
        </w:rPr>
        <w:t xml:space="preserve">Addressed (Section 4.5).</w:t>
      </w:r>
      <w:r>
        <w:t xml:space="preserve"> </w:t>
      </w:r>
      <w:r>
        <w:t xml:space="preserve">Both guides are</w:t>
      </w:r>
      <w:r>
        <w:t xml:space="preserve"> </w:t>
      </w:r>
      <w:r>
        <w:t xml:space="preserve">re-evaluated on entirely human-authored corpora, scoring</w:t>
      </w:r>
      <w:r>
        <w:t xml:space="preserve"> </w:t>
      </w:r>
      <w:r>
        <w:rPr>
          <w:b/>
          <w:bCs/>
        </w:rPr>
        <w:t xml:space="preserve">AUROC 0.955 / 0.740</w:t>
      </w:r>
      <w:r>
        <w:t xml:space="preserve"> </w:t>
      </w:r>
      <w:r>
        <w:t xml:space="preserve">there</w:t>
      </w:r>
      <w:r>
        <w:t xml:space="preserve"> </w:t>
      </w:r>
      <w:r>
        <w:t xml:space="preserve">alongside the in-distribution synthetic score (0.9998). Critically, every clickbait number in</w:t>
      </w:r>
      <w:r>
        <w:t xml:space="preserve"> </w:t>
      </w:r>
      <w:r>
        <w:t xml:space="preserve">the rewrite evaluation uses an</w:t>
      </w:r>
      <w:r>
        <w:t xml:space="preserve"> </w:t>
      </w:r>
      <w:r>
        <w:rPr>
          <w:b/>
          <w:bCs/>
        </w:rPr>
        <w:t xml:space="preserve">independent DistilBERT detector trained only on human data</w:t>
      </w:r>
      <w:r>
        <w:t xml:space="preserve">,</w:t>
      </w:r>
      <w:r>
        <w:t xml:space="preserve"> </w:t>
      </w:r>
      <w:r>
        <w:t xml:space="preserve">which breaks the loop the reviewer identified.</w:t>
      </w:r>
    </w:p>
    <w:p>
      <w:pPr>
        <w:pStyle w:val="BodyText"/>
      </w:pPr>
      <w:r>
        <w:rPr>
          <w:b/>
          <w:bCs/>
        </w:rPr>
        <w:t xml:space="preserve">R2-M4 — No baselines or ablations.</w:t>
      </w:r>
      <w:r>
        <w:t xml:space="preserve"> </w:t>
      </w:r>
      <w:r>
        <w:rPr>
          <w:i/>
          <w:iCs/>
        </w:rPr>
        <w:t xml:space="preserve">Addressed (Sections 4.8–4.9, Tables 6, 7, 8;</w:t>
      </w:r>
      <w:r>
        <w:rPr>
          <w:i/>
          <w:iCs/>
        </w:rPr>
        <w:t xml:space="preserve"> </w:t>
      </w:r>
      <w:r>
        <w:rPr>
          <w:i/>
          <w:iCs/>
        </w:rPr>
        <w:t xml:space="preserve">Figures 6, 7).</w:t>
      </w:r>
      <w:r>
        <w:t xml:space="preserve"> </w:t>
      </w:r>
      <w:r>
        <w:t xml:space="preserve">Both are now present: the full four-cell ablation and the</w:t>
      </w:r>
      <w:r>
        <w:t xml:space="preserve"> </w:t>
      </w:r>
      <w:r>
        <w:t xml:space="preserve">DExperts and GeDi baselines, with a decoupling analysis (Table 7, Figure 7) and a</w:t>
      </w:r>
      <w:r>
        <w:t xml:space="preserve"> </w:t>
      </w:r>
      <w:r>
        <w:t xml:space="preserve">qualitative side-by-side (Table 8) showing that when the single-axis baselines are pushed to</w:t>
      </w:r>
      <w:r>
        <w:t xml:space="preserve"> </w:t>
      </w:r>
      <w:r>
        <w:t xml:space="preserve">high steering their induced clickbait rises steeply, whereas the dual guide’s independent brake</w:t>
      </w:r>
      <w:r>
        <w:t xml:space="preserve"> </w:t>
      </w:r>
      <w:r>
        <w:t xml:space="preserve">keeps it low.</w:t>
      </w:r>
      <w:r>
        <w:t xml:space="preserve"> </w:t>
      </w:r>
      <w:r>
        <w:t xml:space="preserve">DExperts is decoded with a repetition penalty and a headline-length cap for a fair comparison.</w:t>
      </w:r>
    </w:p>
    <w:p>
      <w:pPr>
        <w:pStyle w:val="BodyText"/>
      </w:pPr>
      <w:r>
        <w:rPr>
          <w:b/>
          <w:bCs/>
        </w:rPr>
        <w:t xml:space="preserve">R2-M5 — Missing implementation details / reproducibility.</w:t>
      </w:r>
      <w:r>
        <w:t xml:space="preserve"> </w:t>
      </w:r>
      <w:r>
        <w:rPr>
          <w:i/>
          <w:iCs/>
        </w:rPr>
        <w:t xml:space="preserve">Addressed (Section 3.6).</w:t>
      </w:r>
      <w:r>
        <w:t xml:space="preserve"> </w:t>
      </w:r>
      <w:r>
        <w:t xml:space="preserve">The</w:t>
      </w:r>
      <w:r>
        <w:t xml:space="preserve"> </w:t>
      </w:r>
      <w:r>
        <w:t xml:space="preserve">base model (Meta-Llama-3-8B-Instruct), top-k = 50, the log-domain objective and its swept</w:t>
      </w:r>
      <w:r>
        <w:t xml:space="preserve"> </w:t>
      </w:r>
      <w:r>
        <w:t xml:space="preserve">weights, the tuning grid, cloud hardware, guide-training settings, the full synthetic-data</w:t>
      </w:r>
      <w:r>
        <w:t xml:space="preserve"> </w:t>
      </w:r>
      <w:r>
        <w:t xml:space="preserve">generation procedure (batch size, tactic sampling, JSON self-repair), and per-headline</w:t>
      </w:r>
      <w:r>
        <w:t xml:space="preserve"> </w:t>
      </w:r>
      <w:r>
        <w:t xml:space="preserve">wall-clock are all specified. All prompt templates, hyperparameters, data, code, and the</w:t>
      </w:r>
      <w:r>
        <w:t xml:space="preserve"> </w:t>
      </w:r>
      <w:r>
        <w:t xml:space="preserve">trained guide checkpoints are released in a public deposit.</w:t>
      </w:r>
    </w:p>
    <w:p>
      <w:pPr>
        <w:pStyle w:val="BodyText"/>
      </w:pPr>
      <w:r>
        <w:rPr>
          <w:b/>
          <w:bCs/>
        </w:rPr>
        <w:t xml:space="preserve">R2-M6 — Apparent Table 2 inconsistencies; validate tactic-label fidelity.</w:t>
      </w:r>
      <w:r>
        <w:t xml:space="preserve"> </w:t>
      </w:r>
      <w:r>
        <w:rPr>
          <w:i/>
          <w:iCs/>
        </w:rPr>
        <w:t xml:space="preserve">Addressed</w:t>
      </w:r>
      <w:r>
        <w:rPr>
          <w:i/>
          <w:iCs/>
        </w:rPr>
        <w:t xml:space="preserve"> </w:t>
      </w:r>
      <w:r>
        <w:rPr>
          <w:i/>
          <w:iCs/>
        </w:rPr>
        <w:t xml:space="preserve">(Section 4.10, C1).</w:t>
      </w:r>
      <w:r>
        <w:t xml:space="preserve"> </w:t>
      </w:r>
      <w:r>
        <w:t xml:space="preserve">A blinded rubric re-labeling yields κ = 0.70 and a mean</w:t>
      </w:r>
      <w:r>
        <w:t xml:space="preserve"> </w:t>
      </w:r>
      <w:r>
        <w:t xml:space="preserve">intended-vs-consensus tactic F1 of</w:t>
      </w:r>
      <w:r>
        <w:t xml:space="preserve"> </w:t>
      </w:r>
      <w:r>
        <w:rPr>
          <w:b/>
          <w:bCs/>
        </w:rPr>
        <w:t xml:space="preserve">0.44</w:t>
      </w:r>
      <w:r>
        <w:t xml:space="preserve">, matching the attribute model’s own recoverability</w:t>
      </w:r>
      <w:r>
        <w:t xml:space="preserve"> </w:t>
      </w:r>
      <w:r>
        <w:t xml:space="preserve">and reflecting the graded, fine-grained nature of the tactics. The</w:t>
      </w:r>
      <w:r>
        <w:t xml:space="preserve"> </w:t>
      </w:r>
      <w:r>
        <w:t xml:space="preserve">synthetic examples in Table 2 were also refreshed from the authoritative generation run.</w:t>
      </w:r>
    </w:p>
    <w:p>
      <w:pPr>
        <w:pStyle w:val="BodyText"/>
      </w:pPr>
      <w:r>
        <w:rPr>
          <w:b/>
          <w:bCs/>
        </w:rPr>
        <w:t xml:space="preserve">R2-M7 — Attribute model may be too weak to guide reliably.</w:t>
      </w:r>
      <w:r>
        <w:t xml:space="preserve"> </w:t>
      </w:r>
      <w:r>
        <w:rPr>
          <w:i/>
          <w:iCs/>
        </w:rPr>
        <w:t xml:space="preserve">Addressed (Sections 4.8, 3.7).</w:t>
      </w:r>
      <w:r>
        <w:t xml:space="preserve"> </w:t>
      </w:r>
      <w:r>
        <w:t xml:space="preserve">The (0,0)→(4,0) contrast isolates the positive guide’s contribution directly, and attribute</w:t>
      </w:r>
      <w:r>
        <w:t xml:space="preserve"> </w:t>
      </w:r>
      <w:r>
        <w:t xml:space="preserve">realization is measured by an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LLM judge rather than the guide itself, so</w:t>
      </w:r>
      <w:r>
        <w:t xml:space="preserve"> </w:t>
      </w:r>
      <w:r>
        <w:t xml:space="preserve">classifier-noise propagation is quantified rather than assumed. The judge’s own reliability</w:t>
      </w:r>
      <w:r>
        <w:t xml:space="preserve"> </w:t>
      </w:r>
      <w:r>
        <w:t xml:space="preserve">is cross-checked against the rater study’s recoverability (Section 3.7).</w:t>
      </w:r>
    </w:p>
    <w:p>
      <w:pPr>
        <w:pStyle w:val="BodyText"/>
      </w:pPr>
      <w:r>
        <w:rPr>
          <w:b/>
          <w:bCs/>
        </w:rPr>
        <w:t xml:space="preserve">R2-M8 — Some controlled outputs contradict the framework’s goals.</w:t>
      </w:r>
      <w:r>
        <w:t xml:space="preserve"> </w:t>
      </w:r>
      <w:r>
        <w:rPr>
          <w:i/>
          <w:iCs/>
        </w:rPr>
        <w:t xml:space="preserve">Addressed (Section</w:t>
      </w:r>
      <w:r>
        <w:rPr>
          <w:i/>
          <w:iCs/>
        </w:rPr>
        <w:t xml:space="preserve"> </w:t>
      </w:r>
      <w:r>
        <w:rPr>
          <w:i/>
          <w:iCs/>
        </w:rPr>
        <w:t xml:space="preserve">4.11, Table 10).</w:t>
      </w:r>
      <w:r>
        <w:t xml:space="preserve"> </w:t>
      </w:r>
      <w:r>
        <w:t xml:space="preserve">Each boundary case is discussed explicitly, and the embellishment concern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quantified</w:t>
      </w:r>
      <w:r>
        <w:t xml:space="preserve">: a stricter new-fact judge (validated on faithful-paraphrase controls that</w:t>
      </w:r>
      <w:r>
        <w:t xml:space="preserve"> </w:t>
      </w:r>
      <w:r>
        <w:t xml:space="preserve">score ≈ 0.02 and fact-injected controls that score 1.0, AUROC ≈ 1.0) puts the genuine</w:t>
      </w:r>
      <w:r>
        <w:t xml:space="preserve"> </w:t>
      </w:r>
      <w:r>
        <w:t xml:space="preserve">new-fact rate at the dual operating point at</w:t>
      </w:r>
      <w:r>
        <w:t xml:space="preserve"> </w:t>
      </w:r>
      <w:r>
        <w:rPr>
          <w:b/>
          <w:bCs/>
        </w:rPr>
        <w:t xml:space="preserve">0.20, statistically indistinguishable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0.18 no-guidance baseline</w:t>
      </w:r>
      <w:r>
        <w:t xml:space="preserve">. The residual fidelity difference is attributable to the</w:t>
      </w:r>
      <w:r>
        <w:t xml:space="preserve"> </w:t>
      </w:r>
      <w:r>
        <w:t xml:space="preserve">rhetorical question form rather than to fabricated content.</w:t>
      </w:r>
    </w:p>
    <w:p>
      <w:pPr>
        <w:pStyle w:val="BodyText"/>
      </w:pPr>
      <w:r>
        <w:rPr>
          <w:b/>
          <w:bCs/>
        </w:rPr>
        <w:t xml:space="preserve">R2 (review question) —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 statistical analysis (single runs, no variance, no significance</w:t>
      </w:r>
      <w:r>
        <w:rPr>
          <w:b/>
          <w:bCs/>
        </w:rPr>
        <w:t xml:space="preserve"> </w:t>
      </w:r>
      <w:r>
        <w:rPr>
          <w:b/>
          <w:bCs/>
        </w:rPr>
        <w:t xml:space="preserve">testing).</w:t>
      </w:r>
      <w:r>
        <w:rPr>
          <w:b/>
          <w:bCs/>
        </w:rPr>
        <w:t xml:space="preserve">”</w:t>
      </w:r>
      <w:r>
        <w:t xml:space="preserve"> </w:t>
      </w:r>
      <w:r>
        <w:rPr>
          <w:i/>
          <w:iCs/>
        </w:rPr>
        <w:t xml:space="preserve">Addressed throughout.</w:t>
      </w:r>
      <w:r>
        <w:t xml:space="preserve"> </w:t>
      </w:r>
      <w:r>
        <w:t xml:space="preserve">Every reported comparison now uses</w:t>
      </w:r>
      <w:r>
        <w:t xml:space="preserve"> </w:t>
      </w:r>
      <w:r>
        <w:rPr>
          <w:b/>
          <w:bCs/>
        </w:rPr>
        <w:t xml:space="preserve">item-matched</w:t>
      </w:r>
      <w:r>
        <w:rPr>
          <w:b/>
          <w:bCs/>
        </w:rPr>
        <w:t xml:space="preserve"> </w:t>
      </w:r>
      <w:r>
        <w:rPr>
          <w:b/>
          <w:bCs/>
        </w:rPr>
        <w:t xml:space="preserve">Wilcoxon signed-rank tests</w:t>
      </w:r>
      <w:r>
        <w:t xml:space="preserve">,</w:t>
      </w:r>
      <w:r>
        <w:t xml:space="preserve"> </w:t>
      </w:r>
      <w:r>
        <w:rPr>
          <w:b/>
          <w:bCs/>
        </w:rPr>
        <w:t xml:space="preserve">95% percentile-bootstrap confidence intervals</w:t>
      </w:r>
      <w:r>
        <w:t xml:space="preserve"> </w:t>
      </w:r>
      <w:r>
        <w:t xml:space="preserve">on all table</w:t>
      </w:r>
      <w:r>
        <w:t xml:space="preserve"> </w:t>
      </w:r>
      <w:r>
        <w:t xml:space="preserve">estimates,</w:t>
      </w:r>
      <w:r>
        <w:t xml:space="preserve"> </w:t>
      </w:r>
      <w:r>
        <w:rPr>
          <w:b/>
          <w:bCs/>
        </w:rPr>
        <w:t xml:space="preserve">matched-pairs rank-biserial effect sizes</w:t>
      </w:r>
      <w:r>
        <w:t xml:space="preserve">, and</w:t>
      </w:r>
      <w:r>
        <w:t xml:space="preserve"> </w:t>
      </w:r>
      <w:r>
        <w:rPr>
          <w:b/>
          <w:bCs/>
        </w:rPr>
        <w:t xml:space="preserve">Holm correction</w:t>
      </w:r>
      <w:r>
        <w:t xml:space="preserve"> </w:t>
      </w:r>
      <w:r>
        <w:t xml:space="preserve">across each</w:t>
      </w:r>
      <w:r>
        <w:t xml:space="preserve"> </w:t>
      </w:r>
      <w:r>
        <w:t xml:space="preserve">family of tests.</w:t>
      </w:r>
    </w:p>
    <w:p>
      <w:pPr>
        <w:pStyle w:val="BodyText"/>
      </w:pPr>
      <w:r>
        <w:rPr>
          <w:b/>
          <w:bCs/>
        </w:rPr>
        <w:t xml:space="preserve">R2-m1 — Cross-reference errors.</w:t>
      </w:r>
      <w:r>
        <w:t xml:space="preserve"> </w:t>
      </w:r>
      <w:r>
        <w:rPr>
          <w:i/>
          <w:iCs/>
        </w:rPr>
        <w:t xml:space="preserve">Fixed.</w:t>
      </w:r>
      <w:r>
        <w:t xml:space="preserve"> </w:t>
      </w:r>
      <w:r>
        <w:t xml:space="preserve">The methodology subsections referenced in the</w:t>
      </w:r>
      <w:r>
        <w:t xml:space="preserve"> </w:t>
      </w:r>
      <w:r>
        <w:t xml:space="preserve">introduction now exist and resolve correctly.</w:t>
      </w:r>
    </w:p>
    <w:p>
      <w:pPr>
        <w:pStyle w:val="BodyText"/>
      </w:pPr>
      <w:r>
        <w:rPr>
          <w:b/>
          <w:bCs/>
        </w:rPr>
        <w:t xml:space="preserve">R2-m2 — Reuters-neutrality assumption unverified.</w:t>
      </w:r>
      <w:r>
        <w:t xml:space="preserve"> </w:t>
      </w:r>
      <w:r>
        <w:rPr>
          <w:i/>
          <w:iCs/>
        </w:rPr>
        <w:t xml:space="preserve">Addressed (Section 4.7).</w:t>
      </w:r>
      <w:r>
        <w:t xml:space="preserve"> </w:t>
      </w:r>
      <w:r>
        <w:t xml:space="preserve">The</w:t>
      </w:r>
      <w:r>
        <w:t xml:space="preserve"> </w:t>
      </w:r>
      <w:r>
        <w:t xml:space="preserve">independent detector was run over the full 20,825-headline source pool: only</w:t>
      </w:r>
      <w:r>
        <w:t xml:space="preserve"> </w:t>
      </w:r>
      <w:r>
        <w:rPr>
          <w:b/>
          <w:bCs/>
        </w:rPr>
        <w:t xml:space="preserve">0.61%</w:t>
      </w:r>
      <w:r>
        <w:t xml:space="preserve"> </w:t>
      </w:r>
      <w:r>
        <w:t xml:space="preserve">exceed</w:t>
      </w:r>
      <w:r>
        <w:t xml:space="preserve"> </w:t>
      </w:r>
      <w:r>
        <w:t xml:space="preserve">the clickbait threshold, confirming the neutral baseline rather than assuming it. The domain</w:t>
      </w:r>
      <w:r>
        <w:t xml:space="preserve"> </w:t>
      </w:r>
      <w:r>
        <w:t xml:space="preserve">scope is stated explicitly in the manuscript.</w:t>
      </w:r>
    </w:p>
    <w:p>
      <w:pPr>
        <w:pStyle w:val="BodyText"/>
      </w:pPr>
      <w:r>
        <w:rPr>
          <w:b/>
          <w:bCs/>
        </w:rPr>
        <w:t xml:space="preserve">R2-m3 — Is the dataset split stratified?</w:t>
      </w:r>
      <w:r>
        <w:t xml:space="preserve"> </w:t>
      </w:r>
      <w:r>
        <w:rPr>
          <w:i/>
          <w:iCs/>
        </w:rPr>
        <w:t xml:space="preserve">Clarified (Sections 4.2–4.3).</w:t>
      </w:r>
      <w:r>
        <w:t xml:space="preserve"> </w:t>
      </w:r>
      <w:r>
        <w:t xml:space="preserve">The split is</w:t>
      </w:r>
      <w:r>
        <w:t xml:space="preserve"> </w:t>
      </w:r>
      <w:r>
        <w:t xml:space="preserve">performed uniformly at random at the</w:t>
      </w:r>
      <w:r>
        <w:t xml:space="preserve"> </w:t>
      </w:r>
      <w:r>
        <w:rPr>
          <w:b/>
          <w:bCs/>
        </w:rPr>
        <w:t xml:space="preserve">source-headline level</w:t>
      </w:r>
      <w:r>
        <w:t xml:space="preserve"> </w:t>
      </w:r>
      <w:r>
        <w:t xml:space="preserve">(not stratified by tactic);</w:t>
      </w:r>
      <w:r>
        <w:t xml:space="preserve"> </w:t>
      </w:r>
      <w:r>
        <w:t xml:space="preserve">because every source contributes both a neutral and a clickbait sample, class balance is</w:t>
      </w:r>
      <w:r>
        <w:t xml:space="preserve"> </w:t>
      </w:r>
      <w:r>
        <w:t xml:space="preserve">preserved by construction.</w:t>
      </w:r>
    </w:p>
    <w:p>
      <w:pPr>
        <w:pStyle w:val="BodyText"/>
      </w:pPr>
      <w:r>
        <w:rPr>
          <w:b/>
          <w:bCs/>
        </w:rPr>
        <w:t xml:space="preserve">R2-m4 — Figure y-axis / caption mismatch.</w:t>
      </w:r>
      <w:r>
        <w:t xml:space="preserve"> </w:t>
      </w:r>
      <w:r>
        <w:rPr>
          <w:i/>
          <w:iCs/>
        </w:rPr>
        <w:t xml:space="preserve">Fixed.</w:t>
      </w:r>
      <w:r>
        <w:t xml:space="preserve"> </w:t>
      </w:r>
      <w:r>
        <w:t xml:space="preserve">Figure 3 now labels the axis and</w:t>
      </w:r>
      <w:r>
        <w:t xml:space="preserve"> </w:t>
      </w:r>
      <w:r>
        <w:t xml:space="preserve">caption consistently; the per-tactic figure was regenerated from the current guide.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2095afcf44e5d4ccb872d0b13ed8fa3e3e46096"/>
    <w:p>
      <w:pPr>
        <w:pStyle w:val="Heading2"/>
      </w:pPr>
      <w:r>
        <w:t xml:space="preserve">Part 2 — Additional improvements (not explicitly requested)</w:t>
      </w:r>
    </w:p>
    <w:p>
      <w:pPr>
        <w:pStyle w:val="FirstParagraph"/>
      </w:pPr>
      <w:r>
        <w:t xml:space="preserve">Beyond the reviewers’ requests, we strengthened the manuscript as follows; all are</w:t>
      </w:r>
      <w:r>
        <w:t xml:space="preserve"> </w:t>
      </w:r>
      <w:r>
        <w:t xml:space="preserve">highlighted in the manuscript.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statistical protocol.</w:t>
      </w:r>
      <w:r>
        <w:t xml:space="preserve"> </w:t>
      </w:r>
      <w:r>
        <w:t xml:space="preserve">Bootstrap CIs, effect sizes, and multiple-comparison</w:t>
      </w:r>
      <w:r>
        <w:t xml:space="preserve"> </w:t>
      </w:r>
      <w:r>
        <w:t xml:space="preserve">correction are applied uniformly across Section 4, not only where variance was questioned.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Cross-domain generalization (Section 4.12, Table 11).</w:t>
      </w:r>
      <w:r>
        <w:t xml:space="preserve"> </w:t>
      </w:r>
      <w:r>
        <w:t xml:space="preserve">The same guides, at the same</w:t>
      </w:r>
      <w:r>
        <w:t xml:space="preserve"> </w:t>
      </w:r>
      <w:r>
        <w:t xml:space="preserve">operating point, reproduce their designed effects on 150 human-authored</w:t>
      </w:r>
      <w:r>
        <w:t xml:space="preserve"> </w:t>
      </w:r>
      <w:r>
        <w:rPr>
          <w:b/>
          <w:bCs/>
        </w:rPr>
        <w:t xml:space="preserve">non-Reuters</w:t>
      </w:r>
      <w:r>
        <w:t xml:space="preserve"> </w:t>
      </w:r>
      <w:r>
        <w:t xml:space="preserve">headlines (a different register): the brake lowers independent clickbait (0.097 → 0.061)</w:t>
      </w:r>
      <w:r>
        <w:t xml:space="preserve"> </w:t>
      </w:r>
      <w:r>
        <w:t xml:space="preserve">and fidelity is preserved (BERTScore 0.22–0.28), extending the demonstrated scope to a</w:t>
      </w:r>
      <w:r>
        <w:t xml:space="preserve"> </w:t>
      </w:r>
      <w:r>
        <w:t xml:space="preserve">second register.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Transfer to a second base generator (Section 4.13, Table 12).</w:t>
      </w:r>
      <w:r>
        <w:t xml:space="preserve"> </w:t>
      </w:r>
      <w:r>
        <w:t xml:space="preserve">The framework transfers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Qwen2.5-7B-Instruct</w:t>
      </w:r>
      <w:r>
        <w:t xml:space="preserve"> </w:t>
      </w:r>
      <w:r>
        <w:t xml:space="preserve">(a different model family) with the same guides and operating</w:t>
      </w:r>
      <w:r>
        <w:t xml:space="preserve"> </w:t>
      </w:r>
      <w:r>
        <w:t xml:space="preserve">point, maintaining high fidelity and fluency; for multilingual base generators we add a</w:t>
      </w:r>
      <w:r>
        <w:t xml:space="preserve"> </w:t>
      </w:r>
      <w:r>
        <w:t xml:space="preserve">language-consistency constraint to the decoder (Section 3.6).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Factuality calibration (Table 10).</w:t>
      </w:r>
      <w:r>
        <w:t xml:space="preserve"> </w:t>
      </w:r>
      <w:r>
        <w:t xml:space="preserve">The new-fact judge and NLI entailment are calibrated</w:t>
      </w:r>
      <w:r>
        <w:t xml:space="preserve"> </w:t>
      </w:r>
      <w:r>
        <w:t xml:space="preserve">on labelled controls, giving the fidelity analysis a verified basis.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Qualitative depth.</w:t>
      </w:r>
      <w:r>
        <w:t xml:space="preserve"> </w:t>
      </w:r>
      <w:r>
        <w:t xml:space="preserve">A worked</w:t>
      </w:r>
      <w:r>
        <w:t xml:space="preserve"> </w:t>
      </w:r>
      <w:r>
        <w:t xml:space="preserve">“</w:t>
      </w:r>
      <w:r>
        <w:t xml:space="preserve">engagement continuum</w:t>
      </w:r>
      <w:r>
        <w:t xml:space="preserve">”</w:t>
      </w:r>
      <w:r>
        <w:t xml:space="preserve"> </w:t>
      </w:r>
      <w:r>
        <w:t xml:space="preserve">for one headline across the α sweep</w:t>
      </w:r>
      <w:r>
        <w:t xml:space="preserve"> </w:t>
      </w:r>
      <w:r>
        <w:t xml:space="preserve">(Section 4.4), a full four-cell grid on three headlines (Table 4), and a qualitative</w:t>
      </w:r>
      <w:r>
        <w:t xml:space="preserve"> </w:t>
      </w:r>
      <w:r>
        <w:t xml:space="preserve">cross-method comparison (Table 8) make the control behaviour concrete.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Objective and evaluators.</w:t>
      </w:r>
      <w:r>
        <w:t xml:space="preserve"> </w:t>
      </w:r>
      <w:r>
        <w:t xml:space="preserve">The combined objective uses the canonical log-domain FUDGE</w:t>
      </w:r>
      <w:r>
        <w:t xml:space="preserve"> </w:t>
      </w:r>
      <w:r>
        <w:t xml:space="preserve">factorization; all evaluators (independent DistilBERT detector, LLM tactic judge,</w:t>
      </w:r>
      <w:r>
        <w:t xml:space="preserve"> </w:t>
      </w:r>
      <w:r>
        <w:t xml:space="preserve">DeBERTa-v3 NLI, distilGPT-2 perplexity) are independent of the guides.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Complete citation coverage.</w:t>
      </w:r>
      <w:r>
        <w:t xml:space="preserve"> </w:t>
      </w:r>
      <w:r>
        <w:t xml:space="preserve">All datasets, methods, models, and evaluation metrics are</w:t>
      </w:r>
      <w:r>
        <w:t xml:space="preserve"> </w:t>
      </w:r>
      <w:r>
        <w:t xml:space="preserve">now cited, including the base generators (Llama-3, Qwen2.5, GPT-4o) and the evaluation</w:t>
      </w:r>
      <w:r>
        <w:t xml:space="preserve"> </w:t>
      </w:r>
      <w:r>
        <w:t xml:space="preserve">models/metrics (BERT, DistilBERT, DeBERTaV3, BERTScore, GPT-2).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Reproducibility deposit.</w:t>
      </w:r>
      <w:r>
        <w:t xml:space="preserve"> </w:t>
      </w:r>
      <w:r>
        <w:t xml:space="preserve">Data, code, and the trained guide checkpoints are released</w:t>
      </w:r>
      <w:r>
        <w:t xml:space="preserve"> </w:t>
      </w:r>
      <w:r>
        <w:t xml:space="preserve">publicly, with per-item score files behind every 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Presentation.</w:t>
      </w:r>
      <w:r>
        <w:t xml:space="preserve"> </w:t>
      </w:r>
      <w:r>
        <w:t xml:space="preserve">Consistent Scientific Reports reference style, a white-background HTML</w:t>
      </w:r>
      <w:r>
        <w:t xml:space="preserve"> </w:t>
      </w:r>
      <w:r>
        <w:t xml:space="preserve">mirror, and full yellow highlighting of all revisions.</w:t>
      </w:r>
    </w:p>
    <w:p>
      <w:pPr>
        <w:pStyle w:val="FirstParagraph"/>
      </w:pPr>
      <w:r>
        <w:t xml:space="preserve">We believe the manuscript now meets the standard of claims being fully supported by the data,</w:t>
      </w:r>
      <w:r>
        <w:t xml:space="preserve"> </w:t>
      </w:r>
      <w:r>
        <w:t xml:space="preserve">and we thank the reviewers again for feedback that materially improved the work.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The authors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2026-07-25T08:40:20Z</dcterms:created>
  <dcterms:modified xsi:type="dcterms:W3CDTF">2026-07-25T08:40:20Z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