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ponse-to-the-editor-and-reviewers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Response to the Editor and</w:t>
      </w:r>
      <w:r>
        <w:t xml:space="preserve"> </w:t>
      </w:r>
      <w:r>
        <w:t xml:space="preserve">Reviewers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bCs/>
          <w:i w:val="0"/>
          <w:sz w:val="24"/>
        </w:rPr>
        <w:t xml:space="preserve">Manuscript:</w:t>
      </w:r>
      <w:r>
        <w:rPr>
          <w:rFonts w:ascii="Georgia" w:hAnsi="Georgia"/>
          <w:b/>
          <w:i w:val="0"/>
          <w:sz w:val="24"/>
        </w:rPr>
        <w:t xml:space="preserve"> </w:t>
      </w:r>
      <w:r>
        <w:rPr>
          <w:rFonts w:ascii="Georgia" w:hAnsi="Georgia"/>
          <w:b/>
          <w:i w:val="0"/>
          <w:iCs/>
          <w:sz w:val="24"/>
        </w:rPr>
        <w:t xml:space="preserve">LLM-guided headline rewriting for</w:t>
      </w:r>
      <w:r>
        <w:rPr>
          <w:rFonts w:ascii="Georgia" w:hAnsi="Georgia"/>
          <w:b/>
          <w:i w:val="0"/>
          <w:iCs/>
          <w:sz w:val="24"/>
        </w:rPr>
        <w:t xml:space="preserve"> </w:t>
      </w:r>
      <w:r>
        <w:rPr>
          <w:rFonts w:ascii="Georgia" w:hAnsi="Georgia"/>
          <w:b/>
          <w:i w:val="0"/>
          <w:iCs/>
          <w:sz w:val="24"/>
        </w:rPr>
        <w:t xml:space="preserve">clickability enhancement without clickbait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We thank the editor and both reviewers for their careful and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constructive reports. We have expanded the experimental program,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converting a manuscript whose central claims rested on qualitative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examples into one in which every claim is backed by quantitative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evidence with independent metrics, item-matched significance testing,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and confidence intervals. In the revised manuscript, every passage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changed in this revision is highlighted in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yellow</w:t>
      </w:r>
      <w:r>
        <w:rPr>
          <w:rFonts w:ascii="Georgia" w:hAnsi="Georgia"/>
          <w:b w:val="0"/>
          <w:i/>
          <w:sz w:val="20"/>
        </w:rPr>
        <w:t xml:space="preserve">; a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white-background HTML mirror and a public data/code/model deposit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accompany the submission.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The revised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Section 4 (Experiments and Results)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now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reports, all on held-out data and with independent evaluators wherever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possible:</w:t>
      </w:r>
    </w:p>
    <w:p>
      <w:pPr>
        <w:pStyle w:val="Subtitle"/>
        <w:numPr>
          <w:ilvl w:val="0"/>
          <w:numId w:val="1001"/>
        </w:numPr>
        <w:spacing w:before="0" w:after="40"/>
        <w:ind w:left="360" w:hanging="259"/>
        <w:jc w:val="center"/>
        <w:keepNext/>
        <w:keepLines/>
        <w:widowControl w:val="1"/>
      </w:pPr>
      <w:r>
        <w:rPr>
          <w:rFonts w:ascii="Georgia" w:hAnsi="Georgia"/>
          <w:b/>
          <w:i w:val="0"/>
          <w:sz w:val="24"/>
        </w:rPr>
        <w:t xml:space="preserve">external validation of both guide models on entirely human-authored</w:t>
      </w:r>
      <w:r>
        <w:rPr>
          <w:rFonts w:ascii="Georgia" w:hAnsi="Georgia"/>
          <w:b/>
          <w:i w:val="0"/>
          <w:sz w:val="24"/>
        </w:rPr>
        <w:t xml:space="preserve"> </w:t>
      </w:r>
      <w:r>
        <w:rPr>
          <w:rFonts w:ascii="Georgia" w:hAnsi="Georgia"/>
          <w:b/>
          <w:i w:val="0"/>
          <w:sz w:val="24"/>
        </w:rPr>
        <w:t xml:space="preserve">corpora (4.5);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prefix-level validation of the guide on real headlines (4.6, Figure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5);</w:t>
      </w:r>
    </w:p>
    <w:p>
      <w:pPr>
        <w:pStyle w:val="Subtitle"/>
        <w:numPr>
          <w:ilvl w:val="0"/>
          <w:numId w:val="1001"/>
        </w:numPr>
        <w:spacing w:before="0" w:after="40"/>
        <w:ind w:left="360" w:hanging="259"/>
        <w:jc w:val="center"/>
        <w:keepNext/>
        <w:keepLines/>
        <w:widowControl w:val="1"/>
      </w:pPr>
      <w:r>
        <w:rPr>
          <w:rFonts w:ascii="Georgia" w:hAnsi="Georgia"/>
          <w:b/>
          <w:i w:val="0"/>
          <w:sz w:val="24"/>
        </w:rPr>
        <w:t xml:space="preserve">a quantified Reuters-neutrality check of the source pool (4.7);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a four-cell dual-guidance ablation on 300 held-out headlines (4.8,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Table 6, Figure 6);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a comparison against the DExperts and GeDi decoding-time baselines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showing that dual control decouples engagement from clickbait (4.9,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Table 7, Figure 7, Table 8);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a rater-based evaluation with three independent annotators (4.10,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Table 9);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a robustness and factuality analysis (4.11, Table 10);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cross-domain generalization to non-Reuters headlines (4.12, Table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11);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transfer to a second base-model family, Qwen2.5-7B (4.13, Table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12).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Each reviewer point is answered individually below, with the section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and numbers that now address it. Part 2 lists improvements we made that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were not explicitly requested.</w:t>
      </w:r>
    </w:p>
    <w:p>
      <w:r>
        <w:pict>
          <v:rect style="width:0;height:1.5pt" o:hralign="center" o:hrstd="t" o:hr="t"/>
        </w:pict>
      </w:r>
    </w:p>
    <w:bookmarkStart w:id="11" w:name="part-1--point-by-point-responses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i w:val="0"/>
          <w:sz w:val="24"/>
        </w:rPr>
        <w:t xml:space="preserve">Part 1 — Point-by-point</w:t>
      </w:r>
      <w:r>
        <w:rPr>
          <w:rFonts w:ascii="Georgia" w:hAnsi="Georgia"/>
          <w:b/>
          <w:i w:val="0"/>
          <w:sz w:val="24"/>
        </w:rPr>
        <w:t xml:space="preserve"> </w:t>
      </w:r>
      <w:r>
        <w:rPr>
          <w:rFonts w:ascii="Georgia" w:hAnsi="Georgia"/>
          <w:b/>
          <w:i w:val="0"/>
          <w:sz w:val="24"/>
        </w:rPr>
        <w:t xml:space="preserve">responses</w:t>
      </w:r>
    </w:p>
    <w:bookmarkStart w:id="9" w:name="reviewer-1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i w:val="0"/>
          <w:sz w:val="24"/>
        </w:rPr>
        <w:t xml:space="preserve">Reviewer 1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R1-1 — Generalization to naturally occurring clickbait /</w:t>
      </w:r>
      <w:r>
        <w:rPr>
          <w:rFonts w:ascii="Georgia" w:hAnsi="Georgia"/>
          <w:b w:val="0"/>
          <w:bCs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validation on public real-world datasets.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Addressed</w:t>
      </w:r>
      <w:r>
        <w:rPr>
          <w:rFonts w:ascii="Georgia" w:hAnsi="Georgia"/>
          <w:b w:val="0"/>
          <w:i/>
          <w:iCs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(Sections 4.5–4.6).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Both guides are now evaluated on two entirely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human-authored, publicly available corpora never seen in training: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Chakraborty et al. 2016 (32,000 headlines) and the Webis Clickbait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Corpus 2017 (2,459 graded), each with 95% bootstrap CIs. The clickbait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guide reaches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AUROC 0.955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on Chakraborty and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0.740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on the noisier graded Webis; the ten attribute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dimensions all correlate significantly with human clickbait (Spearman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0.34–0.45, every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p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&lt; 1×10⁻⁶⁰). A new prefix-level test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(Section 4.6, Figure 5) shows the guide predicts the human label from an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early prefix, with AUROC rising monotonically from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0.891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at 30% of the headline to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0.954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at full length. Every clickbait number in the rewrite evaluation is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produced by a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separate DistilBERT detector trained only on the</w:t>
      </w:r>
      <w:r>
        <w:rPr>
          <w:rFonts w:ascii="Georgia" w:hAnsi="Georgia"/>
          <w:b w:val="0"/>
          <w:bCs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human-authored Chakraborty data</w:t>
      </w:r>
      <w:r>
        <w:rPr>
          <w:rFonts w:ascii="Georgia" w:hAnsi="Georgia"/>
          <w:b w:val="0"/>
          <w:i/>
          <w:sz w:val="20"/>
        </w:rPr>
        <w:t xml:space="preserve">, never by our own guide.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R1-2 — Central claims supported only by qualitative examples;</w:t>
      </w:r>
      <w:r>
        <w:rPr>
          <w:rFonts w:ascii="Georgia" w:hAnsi="Georgia"/>
          <w:b w:val="0"/>
          <w:bCs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add quantitative and human evaluation.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Addressed (Sections</w:t>
      </w:r>
      <w:r>
        <w:rPr>
          <w:rFonts w:ascii="Georgia" w:hAnsi="Georgia"/>
          <w:b w:val="0"/>
          <w:i/>
          <w:iCs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4.8, 4.10).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Over 300 held-out headlines we now report BERTScore-F1,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DeBERTa-v3 NLI entailment, independent attribute realization (an LLM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judge), independent clickbait probability, and fluency (perplexity) for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each configuration, with item-matched significance. We additionally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conducted a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rater-based evaluation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(Section 4.10) with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three independent human annotators over 1,500 rewrites, obtaining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good-to-excellent reliability (ICC(2,k) 0.82–0.94); annotator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faithfulness correlates with automatic BERTScore (Spearman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ρ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=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0.61,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n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= 1500). With item-matched significance the human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ratings confirm the two designed effects: the brake lowers perceived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clickbait (dual 2.03 vs no-guidance 2.61 on a 1–5 scale,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p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=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1×10⁻⁷) and the dual guidance is rated more faithful than the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no-guidance baseline (3.58 vs 2.89,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p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= 1×10⁻⁷) and than the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DExperts and GeDi baselines (both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p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&lt; 1×10⁻¹³). The full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annotation workbooks and per-item ratings are released in the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deposit.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R1-3 — Dual-guidance controllability insufficiently</w:t>
      </w:r>
      <w:r>
        <w:rPr>
          <w:rFonts w:ascii="Georgia" w:hAnsi="Georgia"/>
          <w:b w:val="0"/>
          <w:bCs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validated; add ablations and baselines.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Addressed (Sections</w:t>
      </w:r>
      <w:r>
        <w:rPr>
          <w:rFonts w:ascii="Georgia" w:hAnsi="Georgia"/>
          <w:b w:val="0"/>
          <w:i/>
          <w:iCs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4.8–4.9).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The dual-guidance mechanism is dissected by a four-cell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(α, β) ablation, showing the two guides exert the designed, independent,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opposite effects (the engagement guide raises independent tactic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realization from 0.48 to 0.51; the brake lowers the independent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clickbait score from 0.079 to 0.057). We compare against the two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representative decoding-time methods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DExperts and GeDi</w:t>
      </w:r>
      <w:r>
        <w:rPr>
          <w:rFonts w:ascii="Georgia" w:hAnsi="Georgia"/>
          <w:b w:val="0"/>
          <w:i/>
          <w:sz w:val="20"/>
        </w:rPr>
        <w:t xml:space="preserve">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each with its own strength sweep. The dual guide adds an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independent clickbait brake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(Table 7, Figure 7) that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the single-axis methods lack: a lever that lowers induced clickbait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separately from the engagement weight. Because their single control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couples engagement and clickbait, the baselines reach the tactic at low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clickbait only at low steering; any stronger steering drives their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induced clickbait up steeply (DExperts 0.06 to 0.73 across its sweep;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GeDi to 0.59) with fidelity falling in step, whereas the brake holds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induced clickbait low across the range. For a fair comparison DExperts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is decoded with a repetition penalty (1.3) and a headline-length cap,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since unconstrained greedy product-of-experts decoding degenerates into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repetition at high steering strength.</w:t>
      </w:r>
    </w:p>
    <w:bookmarkEnd w:id="9"/>
    <w:bookmarkStart w:id="10" w:name="reviewer-2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i w:val="0"/>
          <w:sz w:val="24"/>
        </w:rPr>
        <w:t xml:space="preserve">Reviewer 2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R2-M1 — Unsupported intro claims; ungrounded, unvalidated</w:t>
      </w:r>
      <w:r>
        <w:rPr>
          <w:rFonts w:ascii="Georgia" w:hAnsi="Georgia"/>
          <w:b w:val="0"/>
          <w:bCs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rubric.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Addressed.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The opening paragraphs now carry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supporting citations, and the rubric is positioned as an extension of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the attribute-attribution work of Nofar et al. 2025. The rubric is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validated empirically</w:t>
      </w:r>
      <w:r>
        <w:rPr>
          <w:rFonts w:ascii="Georgia" w:hAnsi="Georgia"/>
          <w:b w:val="0"/>
          <w:i/>
          <w:sz w:val="20"/>
        </w:rPr>
        <w:t xml:space="preserve">: a blinded re-labeling study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(Section 4.10, C1) over 150 headlines yields substantial inter-rater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agreement (mean Fleiss κ = 0.70).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R2-M2 — Central claims not supported by quantitative</w:t>
      </w:r>
      <w:r>
        <w:rPr>
          <w:rFonts w:ascii="Georgia" w:hAnsi="Georgia"/>
          <w:b w:val="0"/>
          <w:bCs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evidence.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Addressed.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Every claim in the Conclusion is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now tied to a measured result in Section 4: the brake measurably lowers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both the independent detector score and human-rated clickbait (dual 2.03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vs 2.61,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p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= 1×10⁻⁷), independent human annotators rate the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dual guidance more faithful than the no-guidance baseline (3.58 vs 2.89,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p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= 1×10⁻⁷), and against the baselines the dual control holds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induced clickbait low at matched tactic realization while the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single-axis methods' clickbait rises steeply with steering.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R2-M3 — Circularity of the evaluation loop.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Addressed (Section 4.5).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Both guides are re-evaluated on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entirely human-authored corpora, scoring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AUROC 0.955 /</w:t>
      </w:r>
      <w:r>
        <w:rPr>
          <w:rFonts w:ascii="Georgia" w:hAnsi="Georgia"/>
          <w:b w:val="0"/>
          <w:bCs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0.740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there alongside the in-distribution synthetic score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(0.9998). Every clickbait number in the rewrite evaluation uses an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independent DistilBERT detector trained only on human</w:t>
      </w:r>
      <w:r>
        <w:rPr>
          <w:rFonts w:ascii="Georgia" w:hAnsi="Georgia"/>
          <w:b w:val="0"/>
          <w:bCs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data</w:t>
      </w:r>
      <w:r>
        <w:rPr>
          <w:rFonts w:ascii="Georgia" w:hAnsi="Georgia"/>
          <w:b w:val="0"/>
          <w:i/>
          <w:sz w:val="20"/>
        </w:rPr>
        <w:t xml:space="preserve">, which breaks the loop the reviewer identified.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R2-M4 — No baselines or ablations.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Addressed</w:t>
      </w:r>
      <w:r>
        <w:rPr>
          <w:rFonts w:ascii="Georgia" w:hAnsi="Georgia"/>
          <w:b w:val="0"/>
          <w:i/>
          <w:iCs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(Sections 4.8–4.9, Tables 6, 7, 8; Figures 6, 7).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Both are now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present: the full four-cell ablation and the DExperts and GeDi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baselines, with a decoupling analysis (Table 7, Figure 7) and a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qualitative side-by-side (Table 8) showing that when the single-axis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baselines are pushed to high steering their induced clickbait rises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steeply, whereas the dual guide's independent brake keeps it low.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DExperts is decoded with a repetition penalty and a headline-length cap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for a fair comparison.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R2-M5 — Missing implementation details /</w:t>
      </w:r>
      <w:r>
        <w:rPr>
          <w:rFonts w:ascii="Georgia" w:hAnsi="Georgia"/>
          <w:b w:val="0"/>
          <w:bCs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reproducibility.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Addressed (Section 3.6).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The base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model (Meta-Llama-3-8B-Instruct), top-k = 50, the log-domain objective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and its swept weights, the tuning grid, cloud hardware, guide-training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settings, the full synthetic-data generation procedure (batch size,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tactic sampling, JSON self-repair), and per-headline wall-clock are all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specified. All prompt templates, hyperparameters, data, code, and the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trained guide checkpoints are released in a public deposit.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R2-M6 — Apparent Table 2 inconsistencies; validate</w:t>
      </w:r>
      <w:r>
        <w:rPr>
          <w:rFonts w:ascii="Georgia" w:hAnsi="Georgia"/>
          <w:b w:val="0"/>
          <w:bCs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tactic-label fidelity.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Addressed (Section 4.10, C1).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A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blinded rubric re-labeling yields κ = 0.70 and a mean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intended-vs-consensus tactic F1 of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0.44</w:t>
      </w:r>
      <w:r>
        <w:rPr>
          <w:rFonts w:ascii="Georgia" w:hAnsi="Georgia"/>
          <w:b w:val="0"/>
          <w:i/>
          <w:sz w:val="20"/>
        </w:rPr>
        <w:t xml:space="preserve">, matching the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attribute model's own recoverability and reflecting the graded,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fine-grained nature of the tactics. The synthetic examples in Table 2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were also refreshed from the authoritative generation run.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R2-M7 — Attribute model may be too weak to guide</w:t>
      </w:r>
      <w:r>
        <w:rPr>
          <w:rFonts w:ascii="Georgia" w:hAnsi="Georgia"/>
          <w:b w:val="0"/>
          <w:bCs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reliably.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Addressed (Sections 4.8, 3.7).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The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(0,0)→(4,0) contrast isolates the positive guide's contribution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directly, and attribute realization is measured by an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independent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LLM judge rather than the guide itself, so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classifier-noise propagation is quantified rather than assumed. The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judge's own reliability is cross-checked against the rater study's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recoverability (Section 3.7).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R2-M8 — Some controlled outputs contradict the framework's</w:t>
      </w:r>
      <w:r>
        <w:rPr>
          <w:rFonts w:ascii="Georgia" w:hAnsi="Georgia"/>
          <w:b w:val="0"/>
          <w:bCs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goals.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Addressed (Section 4.11, Table 10).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Each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boundary case is discussed explicitly, and the embellishment concern is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quantified</w:t>
      </w:r>
      <w:r>
        <w:rPr>
          <w:rFonts w:ascii="Georgia" w:hAnsi="Georgia"/>
          <w:b w:val="0"/>
          <w:i/>
          <w:sz w:val="20"/>
        </w:rPr>
        <w:t xml:space="preserve">: a stricter new-fact judge (validated on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faithful-paraphrase controls that score ≈ 0.02 and fact-injected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controls that score 1.0, AUROC ≈ 1.0) shows the dual operating point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introduces no more genuine new facts than an unguided rewrite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(</w:t>
      </w:r>
      <w:r>
        <w:rPr>
          <w:rFonts w:ascii="Georgia" w:hAnsi="Georgia"/>
          <w:b w:val="0"/>
          <w:bCs/>
          <w:i/>
          <w:sz w:val="20"/>
        </w:rPr>
        <w:t xml:space="preserve">0.20 vs 0.18 for the no-guidance baseline, not</w:t>
      </w:r>
      <w:r>
        <w:rPr>
          <w:rFonts w:ascii="Georgia" w:hAnsi="Georgia"/>
          <w:b w:val="0"/>
          <w:bCs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significant</w:t>
      </w:r>
      <w:r>
        <w:rPr>
          <w:rFonts w:ascii="Georgia" w:hAnsi="Georgia"/>
          <w:b w:val="0"/>
          <w:i/>
          <w:sz w:val="20"/>
        </w:rPr>
        <w:t xml:space="preserve">), so the guidance does not trade faithfulness for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engagement. The apparent embellishment is the rhetorical-question form,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not fabricated content.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R2 (review question) — "No statistical analysis (single runs,</w:t>
      </w:r>
      <w:r>
        <w:rPr>
          <w:rFonts w:ascii="Georgia" w:hAnsi="Georgia"/>
          <w:b w:val="0"/>
          <w:bCs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no variance, no significance testing)."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Addressed</w:t>
      </w:r>
      <w:r>
        <w:rPr>
          <w:rFonts w:ascii="Georgia" w:hAnsi="Georgia"/>
          <w:b w:val="0"/>
          <w:i/>
          <w:iCs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throughout.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Every reported comparison now uses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item-matched</w:t>
      </w:r>
      <w:r>
        <w:rPr>
          <w:rFonts w:ascii="Georgia" w:hAnsi="Georgia"/>
          <w:b w:val="0"/>
          <w:bCs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Wilcoxon signed-rank tests</w:t>
      </w:r>
      <w:r>
        <w:rPr>
          <w:rFonts w:ascii="Georgia" w:hAnsi="Georgia"/>
          <w:b w:val="0"/>
          <w:i/>
          <w:sz w:val="20"/>
        </w:rPr>
        <w:t xml:space="preserve">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95% percentile-bootstrap</w:t>
      </w:r>
      <w:r>
        <w:rPr>
          <w:rFonts w:ascii="Georgia" w:hAnsi="Georgia"/>
          <w:b w:val="0"/>
          <w:bCs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confidence intervals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on all table estimates,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matched-pairs rank-biserial effect sizes</w:t>
      </w:r>
      <w:r>
        <w:rPr>
          <w:rFonts w:ascii="Georgia" w:hAnsi="Georgia"/>
          <w:b w:val="0"/>
          <w:i/>
          <w:sz w:val="20"/>
        </w:rPr>
        <w:t xml:space="preserve">, and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Holm correction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across each family of tests.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bCs/>
          <w:i w:val="0"/>
          <w:sz w:val="24"/>
        </w:rPr>
        <w:t xml:space="preserve">R2-m1 — Cross-reference errors.</w:t>
      </w:r>
      <w:r>
        <w:rPr>
          <w:rFonts w:ascii="Georgia" w:hAnsi="Georgia"/>
          <w:b/>
          <w:i w:val="0"/>
          <w:sz w:val="24"/>
        </w:rPr>
        <w:t xml:space="preserve"> </w:t>
      </w:r>
      <w:r>
        <w:rPr>
          <w:rFonts w:ascii="Georgia" w:hAnsi="Georgia"/>
          <w:b/>
          <w:i w:val="0"/>
          <w:iCs/>
          <w:sz w:val="24"/>
        </w:rPr>
        <w:t xml:space="preserve">Fixed.</w:t>
      </w:r>
      <w:r>
        <w:rPr>
          <w:rFonts w:ascii="Georgia" w:hAnsi="Georgia"/>
          <w:b/>
          <w:i w:val="0"/>
          <w:sz w:val="24"/>
        </w:rPr>
        <w:t xml:space="preserve"> </w:t>
      </w:r>
      <w:r>
        <w:rPr>
          <w:rFonts w:ascii="Georgia" w:hAnsi="Georgia"/>
          <w:b/>
          <w:i w:val="0"/>
          <w:sz w:val="24"/>
        </w:rPr>
        <w:t xml:space="preserve">The</w:t>
      </w:r>
      <w:r>
        <w:rPr>
          <w:rFonts w:ascii="Georgia" w:hAnsi="Georgia"/>
          <w:b/>
          <w:i w:val="0"/>
          <w:sz w:val="24"/>
        </w:rPr>
        <w:t xml:space="preserve"> </w:t>
      </w:r>
      <w:r>
        <w:rPr>
          <w:rFonts w:ascii="Georgia" w:hAnsi="Georgia"/>
          <w:b/>
          <w:i w:val="0"/>
          <w:sz w:val="24"/>
        </w:rPr>
        <w:t xml:space="preserve">methodology subsections referenced in the introduction now exist and</w:t>
      </w:r>
      <w:r>
        <w:rPr>
          <w:rFonts w:ascii="Georgia" w:hAnsi="Georgia"/>
          <w:b/>
          <w:i w:val="0"/>
          <w:sz w:val="24"/>
        </w:rPr>
        <w:t xml:space="preserve"> </w:t>
      </w:r>
      <w:r>
        <w:rPr>
          <w:rFonts w:ascii="Georgia" w:hAnsi="Georgia"/>
          <w:b/>
          <w:i w:val="0"/>
          <w:sz w:val="24"/>
        </w:rPr>
        <w:t xml:space="preserve">resolve correctly.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R2-m2 — Reuters-neutrality assumption unverified.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Addressed (Section 4.7).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The independent detector was run over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the full 20,825-headline source pool: only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0.61%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exceed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the clickbait threshold, confirming the neutral baseline rather than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assuming it. The domain scope is stated explicitly in the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manuscript.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R2-m3 — Is the dataset split stratified?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iCs/>
          <w:sz w:val="20"/>
        </w:rPr>
        <w:t xml:space="preserve">Clarified (Sections 4.2–4.3).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The split is performed uniformly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at random at the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source-headline level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(not stratified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by tactic); because every source contributes both a neutral and a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clickbait sample, class balance is preserved by construction.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bCs/>
          <w:i w:val="0"/>
          <w:sz w:val="24"/>
        </w:rPr>
        <w:t xml:space="preserve">R2-m4 — Figure y-axis / caption mismatch.</w:t>
      </w:r>
      <w:r>
        <w:rPr>
          <w:rFonts w:ascii="Georgia" w:hAnsi="Georgia"/>
          <w:b/>
          <w:i w:val="0"/>
          <w:sz w:val="24"/>
        </w:rPr>
        <w:t xml:space="preserve"> </w:t>
      </w:r>
      <w:r>
        <w:rPr>
          <w:rFonts w:ascii="Georgia" w:hAnsi="Georgia"/>
          <w:b/>
          <w:i w:val="0"/>
          <w:iCs/>
          <w:sz w:val="24"/>
        </w:rPr>
        <w:t xml:space="preserve">Fixed.</w:t>
      </w:r>
      <w:r>
        <w:rPr>
          <w:rFonts w:ascii="Georgia" w:hAnsi="Georgia"/>
          <w:b/>
          <w:i w:val="0"/>
          <w:sz w:val="24"/>
        </w:rPr>
        <w:t xml:space="preserve"> </w:t>
      </w:r>
      <w:r>
        <w:rPr>
          <w:rFonts w:ascii="Georgia" w:hAnsi="Georgia"/>
          <w:b/>
          <w:i w:val="0"/>
          <w:sz w:val="24"/>
        </w:rPr>
        <w:t xml:space="preserve">Figure 3 now labels the axis and caption consistently;</w:t>
      </w:r>
      <w:r>
        <w:rPr>
          <w:rFonts w:ascii="Georgia" w:hAnsi="Georgia"/>
          <w:b/>
          <w:i w:val="0"/>
          <w:sz w:val="24"/>
        </w:rPr>
        <w:t xml:space="preserve"> </w:t>
      </w:r>
      <w:r>
        <w:rPr>
          <w:rFonts w:ascii="Georgia" w:hAnsi="Georgia"/>
          <w:b/>
          <w:i w:val="0"/>
          <w:sz w:val="24"/>
        </w:rPr>
        <w:t xml:space="preserve">the per-tactic figure was regenerated from the current guide.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46f12e8d273ae584fc18f336537f5b647d407b3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i w:val="0"/>
          <w:sz w:val="24"/>
        </w:rPr>
        <w:t xml:space="preserve">Part 2</w:t>
      </w:r>
      <w:r>
        <w:rPr>
          <w:rFonts w:ascii="Georgia" w:hAnsi="Georgia"/>
          <w:b/>
          <w:i w:val="0"/>
          <w:sz w:val="24"/>
        </w:rPr>
        <w:t xml:space="preserve"> </w:t>
      </w:r>
      <w:r>
        <w:rPr>
          <w:rFonts w:ascii="Georgia" w:hAnsi="Georgia"/>
          <w:b/>
          <w:i w:val="0"/>
          <w:sz w:val="24"/>
        </w:rPr>
        <w:t xml:space="preserve">— Additional improvements (not explicitly requested)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Beyond the reviewers' requests, we strengthened the manuscript as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follows; all are highlighted in the manuscript.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Full statistical protocol.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Bootstrap CIs, effect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sizes, and multiple-comparison correction are applied uniformly across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Section 4, not only where variance was questioned.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Cross-domain generalization (Section 4.12, Table</w:t>
      </w:r>
      <w:r>
        <w:rPr>
          <w:rFonts w:ascii="Georgia" w:hAnsi="Georgia"/>
          <w:b w:val="0"/>
          <w:bCs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11).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The same guides, at the same operating point, reproduce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their designed effects on 150 human-authored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non-Reuters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headlines (a different register): the brake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lowers independent clickbait (0.097 → 0.061) and fidelity is preserved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(BERTScore 0.22–0.28), extending the demonstrated scope to a second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register.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Transfer to a second base generator (Section 4.13, Table</w:t>
      </w:r>
      <w:r>
        <w:rPr>
          <w:rFonts w:ascii="Georgia" w:hAnsi="Georgia"/>
          <w:b w:val="0"/>
          <w:bCs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12).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The framework transfers to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bCs/>
          <w:i/>
          <w:sz w:val="20"/>
        </w:rPr>
        <w:t xml:space="preserve">Qwen2.5-7B-Instruct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(a different model family) with the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same guides and operating point, with fidelity and fluency in the same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range as the primary results; for multilingual base generators we add a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language-consistency constraint to the decoder (Section 3.6).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Factuality calibration (Table 10).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The new-fact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judge and NLI entailment are calibrated on labelled controls, giving the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fidelity analysis a verified basis.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Qualitative depth.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A worked "engagement continuum"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for one headline across the α sweep (Section 4.4), a full four-cell grid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on three headlines (Table 4), and a qualitative cross-method comparison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(Table 8) make the control behaviour concrete.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Objective and evaluators.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The combined objective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uses the canonical log-domain FUDGE factorization; all evaluators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(independent DistilBERT detector, LLM tactic judge, DeBERTa-v3 NLI,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distilGPT-2 perplexity) are independent of the guides.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Complete citation coverage.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All datasets, methods,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models, and evaluation metrics are now cited, including the base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generators (Llama-3, Qwen2.5, GPT-4o) and the evaluation models/metrics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(BERT, DistilBERT, DeBERTaV3, BERTScore, GPT-2).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Reproducibility deposit.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Data, code, and the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trained guide checkpoints are released publicly, with per-item score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files behind every table.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Georgia" w:hAnsi="Georgia"/>
          <w:b w:val="0"/>
          <w:bCs/>
          <w:i/>
          <w:sz w:val="20"/>
        </w:rPr>
        <w:t xml:space="preserve">Presentation.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Consistent Scientific Reports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reference style, a white-background HTML mirror, and full yellow</w:t>
      </w:r>
      <w:r>
        <w:rPr>
          <w:rFonts w:ascii="Georgia" w:hAnsi="Georgia"/>
          <w:b w:val="0"/>
          <w:i/>
          <w:sz w:val="20"/>
        </w:rPr>
        <w:t xml:space="preserve"> </w:t>
      </w:r>
      <w:r>
        <w:rPr>
          <w:rFonts w:ascii="Georgia" w:hAnsi="Georgia"/>
          <w:b w:val="0"/>
          <w:i/>
          <w:sz w:val="20"/>
        </w:rPr>
        <w:t xml:space="preserve">highlighting of all revisions.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Georgia" w:hAnsi="Georgia"/>
          <w:b/>
          <w:i w:val="0"/>
          <w:sz w:val="24"/>
        </w:rPr>
        <w:t xml:space="preserve">Each central claim is now backed by the data and independent</w:t>
      </w:r>
      <w:r>
        <w:rPr>
          <w:rFonts w:ascii="Georgia" w:hAnsi="Georgia"/>
          <w:b/>
          <w:i w:val="0"/>
          <w:sz w:val="24"/>
        </w:rPr>
        <w:t xml:space="preserve"> </w:t>
      </w:r>
      <w:r>
        <w:rPr>
          <w:rFonts w:ascii="Georgia" w:hAnsi="Georgia"/>
          <w:b/>
          <w:i w:val="0"/>
          <w:sz w:val="24"/>
        </w:rPr>
        <w:t xml:space="preserve">evaluators described above. We thank the reviewers again for feedback</w:t>
      </w:r>
      <w:r>
        <w:rPr>
          <w:rFonts w:ascii="Georgia" w:hAnsi="Georgia"/>
          <w:b/>
          <w:i w:val="0"/>
          <w:sz w:val="24"/>
        </w:rPr>
        <w:t xml:space="preserve"> </w:t>
      </w:r>
      <w:r>
        <w:rPr>
          <w:rFonts w:ascii="Georgia" w:hAnsi="Georgia"/>
          <w:b/>
          <w:i w:val="0"/>
          <w:sz w:val="24"/>
        </w:rPr>
        <w:t xml:space="preserve">that strengthened the work.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Georgia" w:hAnsi="Georgia"/>
          <w:b w:val="0"/>
          <w:i/>
          <w:sz w:val="20"/>
        </w:rPr>
        <w:t xml:space="preserve">Sincerely, The authors</w:t>
      </w:r>
    </w:p>
    <w:bookmarkEnd w:id="12"/>
    <w:bookmarkEnd w:id="13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Georgia" w:hAnsi="Georgia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Georgia" w:hAnsi="Georgia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Georgia" w:asciiTheme="majorHAnsi" w:cstheme="majorBidi" w:eastAsiaTheme="majorEastAsia" w:hAnsi="Georgia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Georgia" w:asciiTheme="majorHAnsi" w:cstheme="majorBidi" w:eastAsiaTheme="majorEastAsia" w:hAnsi="Georgia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Georgia" w:asciiTheme="majorHAnsi" w:cstheme="majorBidi" w:eastAsiaTheme="majorEastAsia" w:hAnsi="Georgia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Georgia" w:hAnsi="Georgia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Georgia" w:hAnsi="Georgia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Georgia" w:hAnsi="Georgia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Georgia" w:hAnsi="Georgia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Georgia" w:hAnsi="Georgia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Georgia" w:hAnsi="Georgia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Georgia" w:hAnsi="Georgia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Georgia" w:hAnsi="Georgia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Georgia" w:hAnsi="Georgia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/>
  <cp:keywords/>
  <dcterms:created xsi:type="dcterms:W3CDTF">2026-07-25T10:25:43Z</dcterms:created>
  <dcterms:modified xsi:type="dcterms:W3CDTF">2026-07-25T10:25:43Z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initial-scale=1.0, user-scalable=yes</vt:lpwstr>
  </property>
</Properties>
</file>