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bookmarkStart w:id="9"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v0.7 · 2026</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Large language models are widely used to synthesize labeled training data when real data is scarce, but naive prompting produces samples that are repetitive, over-polished, and only shallowly tied to requested attributes. The natural response is to add LLM critics that audit each batch and feed structured complaints back into the generation prompt; the existing literature treats this as a single-axis optimization in which more critics are presumed to yield better data. We test that assumption by adapting four classical GAN mode-collapse defenses (PacGAN, MSGAN, ban-list training, density-ratio coverage) into a multi-critic LLM prompt-debugging loop combined with three baseline LLM critics (attribute verifier, realism discriminator, diversity auditor) in a single open-source harness.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The cost of the GAN-style adversaries is real under a keyword-driven downstream classifier and not detectable under an embedding-based one. We report this as the central diversity-utility finding rather than the more dramatic but unsupported "reversal" we initially expected, and contribute a post-hoc adversary audit protocol (re-seeded RNG, real-vs-real null reference) that defuses the tautological-firing failure mode of naive ablation tables, a complaint-grammar contract for adding new critics without breaking the protocol, and two honest negative findings: the loop-internal realism discriminator drifts away from chance through iteration, and the Coverage Hole density-ratio classifier remains at AUROC</w:t>
      </w:r>
      <w:r>
        <w:t xml:space="preserve"> </w:t>
      </w:r>
      <m:oMath>
        <m:r>
          <m:t>1.00</m:t>
        </m:r>
      </m:oMath>
      <w:r>
        <w:t xml:space="preserve"> </w:t>
      </w:r>
      <w:r>
        <w:t xml:space="preserve">on every condition.</w:t>
      </w:r>
    </w:p>
    <w:bookmarkEnd w:id="10"/>
    <w:bookmarkStart w:id="11"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Our contributions are: (1) a multi-objective prompt-debugging framework with structured named-complaint feedback, length-budgeted rewrites, and a per-critic ablation contract (Section 4); (2) four GAN-inspired mode-collapse adversaries adapted to the prompt-debugging setting (Pack Discriminator, Mode-Seeking ratio, Mode Hunter with persistent banned-phrasing memory, and Coverage Hole Finder via density-ratio estimation; Section 5); (3) a post-hoc adversary audit protocol that runs every critic on every condition's final batch with re-seeded RNG and a real-vs-real null reference, breaking the tautological-firing failure mode of naive ablations (Section 8); (4) a representation-dependent diversity-utility tradeoff as the main empirical finding (Section 7); and (5) a complete open-source harness with a multi-classifier downstream evaluator, three backends, per-iteration manifests, and a complaint-grammar contract.</w:t>
      </w:r>
    </w:p>
    <w:bookmarkEnd w:id="11"/>
    <w:bookmarkStart w:id="22" w:name="sec-related"/>
    <w:p>
      <w:pPr>
        <w:pStyle w:val="Heading2"/>
        <w:keepNext/>
        <w:keepLines/>
        <w:widowControl w:val="1"/>
      </w:pPr>
      <w:r>
        <w:t xml:space="preserve">2</w:t>
      </w:r>
      <w:r>
        <w:t xml:space="preserve">Related work</w:t>
      </w:r>
    </w:p>
    <w:bookmarkStart w:id="12"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2"/>
    <w:bookmarkStart w:id="13"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3"/>
    <w:bookmarkStart w:id="14"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4"/>
    <w:bookmarkStart w:id="15"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5"/>
    <w:bookmarkStart w:id="16"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6"/>
    <w:bookmarkStart w:id="17"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7"/>
    <w:bookmarkStart w:id="18"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18"/>
    <w:bookmarkStart w:id="19"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19"/>
    <w:bookmarkStart w:id="20"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0"/>
    <w:bookmarkStart w:id="21"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1"/>
    <w:bookmarkEnd w:id="22"/>
    <w:bookmarkStart w:id="23"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1"/>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1"/>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1"/>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1"/>
        </w:numPr>
        <w:jc w:val="both"/>
        <w:keepNext w:val="0"/>
        <w:keepLines w:val="0"/>
        <w:widowControl w:val="1"/>
      </w:pPr>
      <w:r>
        <w:t xml:space="preserve">a generator LLM</w:t>
      </w:r>
      <w:r>
        <w:t xml:space="preserve"> </w:t>
      </w:r>
      <m:oMath>
        <m:r>
          <m:t>G</m:t>
        </m:r>
      </m:oMath>
      <w:r>
        <w:t xml:space="preserve">,</w:t>
      </w:r>
    </w:p>
    <w:p>
      <w:pPr>
        <w:pStyle w:val="Compact"/>
        <w:numPr>
          <w:ilvl w:val="0"/>
          <w:numId w:val="1001"/>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rPr>
          <w:i/>
          <w:iCs/>
        </w:rPr>
        <w:t xml:space="preserve">Why optimize the prompt rather than weights?</w:t>
      </w:r>
      <w:r>
        <w:t xml:space="preserve"> </w:t>
      </w:r>
      <w:r>
        <w:t xml:space="preserve">Optimizing the prompt yields four practical advantages: zero parameter footprint, inspectable optimization trajectory (every prompt version is a reviewable text artifact), immediate applicability to closed-weights models, and cheap multi-seed re-runs without GPU.</w:t>
      </w:r>
    </w:p>
    <w:bookmarkEnd w:id="23"/>
    <w:bookmarkStart w:id="28"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4"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4"/>
    <w:bookmarkStart w:id="25"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5"/>
    <w:bookmarkStart w:id="26"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6"/>
    <w:bookmarkStart w:id="27"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7"/>
    <w:bookmarkEnd w:id="28"/>
    <w:bookmarkStart w:id="33"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29"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29"/>
    <w:bookmarkStart w:id="30"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0"/>
    <w:bookmarkStart w:id="31"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1"/>
    <w:bookmarkStart w:id="32"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rPr>
          <w:i/>
          <w:iCs/>
        </w:rPr>
        <w:t xml:space="preserve">Remark on symmetry.</w:t>
      </w:r>
      <w:r>
        <w:t xml:space="preserve"> </w:t>
      </w:r>
      <w:r>
        <w:t xml:space="preserve">The Pack Discriminator and Mode Hunter emit named, falsifiable complaints (pack patterns, banned substrings) and integrate cleanly with the updater template. Mode-Seeking and Coverage Hole Finder emit deterministic scalar/vector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2"/>
    <w:bookmarkEnd w:id="33"/>
    <w:bookmarkStart w:id="38" w:name="sec-experiments"/>
    <w:p>
      <w:pPr>
        <w:pStyle w:val="Heading2"/>
        <w:keepNext/>
        <w:keepLines/>
        <w:widowControl w:val="1"/>
      </w:pPr>
      <w:r>
        <w:t xml:space="preserve">6</w:t>
      </w:r>
      <w:r>
        <w:t xml:space="preserve">Experimental setup</w:t>
      </w:r>
    </w:p>
    <w:bookmarkStart w:id="34"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4"/>
    <w:bookmarkStart w:id="35"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21 condition-runs total). The simulator backend remains in the repository as a deterministic harness validator and a CI-friendly offline mode; it is not used for headline numbers.</w:t>
      </w:r>
    </w:p>
    <w:bookmarkEnd w:id="35"/>
    <w:bookmarkStart w:id="36"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6"/>
    <w:bookmarkStart w:id="37"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7"/>
    <w:bookmarkEnd w:id="38"/>
    <w:bookmarkStart w:id="44" w:name="sec-results"/>
    <w:p>
      <w:pPr>
        <w:pStyle w:val="Heading2"/>
        <w:keepNext/>
        <w:keepLines/>
        <w:widowControl w:val="1"/>
      </w:pPr>
      <w:r>
        <w:t xml:space="preserve">7</w:t>
      </w:r>
      <w:r>
        <w:t xml:space="preserve">Results</w:t>
      </w:r>
    </w:p>
    <w:bookmarkStart w:id="39" w:name="X1e0dc7ce2dd52e806ffada9e9bb17d79b78dd89"/>
    <w:p>
      <w:pPr>
        <w:pStyle w:val="Heading3"/>
        <w:keepNext/>
        <w:keepLines/>
        <w:widowControl w:val="1"/>
      </w:pPr>
      <w:r>
        <w:t xml:space="preserve">7.1</w:t>
      </w:r>
      <w:r>
        <w:t xml:space="preserve">Headline finding under a TF-IDF reader: a 0.18 cost (directional, underpowered)</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Under TF-IDF</w:t>
      </w:r>
      <w:r>
        <w:t xml:space="preserve"> </w:t>
      </w:r>
      <m:oMath>
        <m:r>
          <m:rPr>
            <m:sty m:val="p"/>
          </m:rPr>
          <m:t>+</m:t>
        </m:r>
      </m:oMath>
      <w:r>
        <w:t xml:space="preserve"> </w:t>
      </w:r>
      <w:r>
        <w:t xml:space="preserve">logistic regression, the three-critic loop (</w:t>
      </w:r>
      <w:r>
        <w:rPr>
          <w:rStyle w:val="VerbatimChar"/>
        </w:rPr>
        <w:t xml:space="preserve">full_classic</w:t>
      </w:r>
      <w:r>
        <w:t xml:space="preserve">) achieves macro F1</w:t>
      </w:r>
      <w:r>
        <w:t xml:space="preserve"> </w:t>
      </w:r>
      <m:oMath>
        <m:r>
          <m:t>0.58</m:t>
        </m:r>
        <m:r>
          <m:rPr>
            <m:sty m:val="p"/>
          </m:rPr>
          <m:t>±</m:t>
        </m:r>
        <m:r>
          <m:t>0.05</m:t>
        </m:r>
      </m:oMath>
      <w:r>
        <w:t xml:space="preserve">; adding the four GAN-style adversaries (</w:t>
      </w:r>
      <w:r>
        <w:rPr>
          <w:rStyle w:val="VerbatimChar"/>
        </w:rPr>
        <w:t xml:space="preserve">full_attrforge</w:t>
      </w:r>
      <w:r>
        <w:t xml:space="preserve">) drops it to</w:t>
      </w:r>
      <w:r>
        <w:t xml:space="preserve"> </w:t>
      </w:r>
      <m:oMath>
        <m:r>
          <m:t>0.40</m:t>
        </m:r>
        <m:r>
          <m:rPr>
            <m:sty m:val="p"/>
          </m:rPr>
          <m:t>±</m:t>
        </m:r>
        <m:r>
          <m:t>0.06</m:t>
        </m:r>
      </m:oMath>
      <w:r>
        <w:t xml:space="preserve">. The mean paired difference is</w:t>
      </w:r>
      <w:r>
        <w:t xml:space="preserve"> </w:t>
      </w:r>
      <m:oMath>
        <m:r>
          <m:rPr>
            <m:sty m:val="p"/>
          </m:rPr>
          <m:t>−</m:t>
        </m:r>
        <m:r>
          <m:t>0.187</m:t>
        </m:r>
      </m:oMath>
      <w:r>
        <w:t xml:space="preserve"> </w:t>
      </w:r>
      <w:r>
        <w:t xml:space="preserve">with 95% bootstrap CI</w:t>
      </w:r>
      <w:r>
        <w:t xml:space="preserve"> </w:t>
      </w:r>
      <m:oMath>
        <m:r>
          <m:rPr>
            <m:sty m:val="p"/>
          </m:rPr>
          <m:t>[</m:t>
        </m:r>
        <m:r>
          <m:rPr>
            <m:sty m:val="p"/>
          </m:rPr>
          <m:t>−</m:t>
        </m:r>
        <m:r>
          <m:t>0.267</m:t>
        </m:r>
        <m:r>
          <m:rPr>
            <m:sty m:val="p"/>
          </m:rPr>
          <m:t>,</m:t>
        </m:r>
        <m:r>
          <m:rPr>
            <m:sty m:val="p"/>
          </m:rPr>
          <m:t>−</m:t>
        </m:r>
        <m:r>
          <m:t>0.067</m:t>
        </m:r>
        <m:r>
          <m:rPr>
            <m:sty m:val="p"/>
          </m:rPr>
          <m:t>]</m:t>
        </m:r>
      </m:oMath>
      <w:r>
        <w:t xml:space="preserve">. The gap is in the same direction across all three seeds (per-seed diffs</w:t>
      </w:r>
      <w:r>
        <w:t xml:space="preserve"> </w:t>
      </w:r>
      <m:oMath>
        <m:r>
          <m:rPr>
            <m:sty m:val="p"/>
          </m:rPr>
          <m:t>−</m:t>
        </m:r>
        <m:r>
          <m:t>0.23</m:t>
        </m:r>
      </m:oMath>
      <w:r>
        <w:t xml:space="preserve">,</w:t>
      </w:r>
      <w:r>
        <w:t xml:space="preserve"> </w:t>
      </w:r>
      <m:oMath>
        <m:r>
          <m:rPr>
            <m:sty m:val="p"/>
          </m:rPr>
          <m:t>−</m:t>
        </m:r>
        <m:r>
          <m:t>0.27</m:t>
        </m:r>
      </m:oMath>
      <w:r>
        <w:t xml:space="preserve">,</w:t>
      </w:r>
      <w:r>
        <w:t xml:space="preserve"> </w:t>
      </w:r>
      <m:oMath>
        <m:r>
          <m:rPr>
            <m:sty m:val="p"/>
          </m:rPr>
          <m:t>−</m:t>
        </m:r>
        <m:r>
          <m:t>0.07</m:t>
        </m:r>
      </m:oMath>
      <w:r>
        <w:t xml:space="preserve">); the conventional paired-t</w:t>
      </w:r>
      <w:r>
        <w:t xml:space="preserve"> </w:t>
      </w:r>
      <m:oMath>
        <m:r>
          <m:t>p</m:t>
        </m:r>
        <m:r>
          <m:rPr>
            <m:sty m:val="p"/>
          </m:rPr>
          <m:t>=</m:t>
        </m:r>
        <m:r>
          <m:t>0.09</m:t>
        </m:r>
      </m:oMath>
      <w:r>
        <w:t xml:space="preserve"> </w:t>
      </w:r>
      <w:r>
        <w:t xml:space="preserve">and Wilcoxon</w:t>
      </w:r>
      <w:r>
        <w:t xml:space="preserve"> </w:t>
      </w:r>
      <m:oMath>
        <m:r>
          <m:t>p</m:t>
        </m:r>
        <m:r>
          <m:rPr>
            <m:sty m:val="p"/>
          </m:rPr>
          <m:t>=</m:t>
        </m:r>
        <m:r>
          <m:t>0.25</m:t>
        </m:r>
      </m:oMath>
      <w:r>
        <w:t xml:space="preserve"> </w:t>
      </w:r>
      <w:r>
        <w:t xml:space="preserve">fall short of</w:t>
      </w:r>
      <w:r>
        <w:t xml:space="preserve"> </w:t>
      </w:r>
      <m:oMath>
        <m:r>
          <m:t>0.05</m:t>
        </m:r>
      </m:oMath>
      <w:r>
        <w:t xml:space="preserve"> </w:t>
      </w:r>
      <w:r>
        <w:t xml:space="preserve">at</w:t>
      </w:r>
      <w:r>
        <w:t xml:space="preserve"> </w:t>
      </w:r>
      <m:oMath>
        <m:r>
          <m:t>N</m:t>
        </m:r>
        <m:r>
          <m:rPr>
            <m:sty m:val="p"/>
          </m:rPr>
          <m:t>=</m:t>
        </m:r>
        <m:r>
          <m:t>3</m:t>
        </m:r>
      </m:oMath>
      <w:r>
        <w:t xml:space="preserve">, so the finding is directional rather than significant under standard tests.</w:t>
      </w:r>
      <w:r>
        <w:t xml:space="preserve"> </w:t>
      </w:r>
      <w:r>
        <w:rPr>
          <w:b/>
          <w:bCs/>
        </w:rPr>
        <w:t xml:space="preserve">(ii)</w:t>
      </w:r>
      <w:r>
        <w:t xml:space="preserve"> </w:t>
      </w:r>
      <w:r>
        <w:t xml:space="preserve">The loop-internal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low:</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39"/>
    <w:bookmarkStart w:id="40" w:name="X919913d89481ff25c352225c145c01159d6a2c3"/>
    <w:p>
      <w:pPr>
        <w:pStyle w:val="Heading3"/>
        <w:keepNext/>
        <w:keepLines/>
        <w:widowControl w:val="1"/>
      </w:pPr>
      <w:r>
        <w:t xml:space="preserve">7.2</w:t>
      </w:r>
      <w:r>
        <w:t xml:space="preserve">The cost vanishes under a sentence-transformer reader (not a reversal)</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Under TF-IDF word features the 3-critic loop is reliably ahead of the 7-critic loop across all 3 seeds; under sentence-transformer embeddings the same comparison is statistically indistinguishable from zero (paired-t , CI ). Means alone show a small positive sign for the 7-critic loop under embeddings, but with  seeds we cannot reject the null of no difference. The character -gram classifier sits between the two.</w:t>
      </w:r>
    </w:p>
    <w:p>
      <w:pPr>
        <w:pStyle w:val="BodyText"/>
        <w:jc w:val="both"/>
        <w:keepNext w:val="0"/>
        <w:keepLines w:val="0"/>
        <w:widowControl w:val="1"/>
      </w:pPr>
      <w:r>
        <w:t xml:space="preserve">Table 2b: Multi-classifier downstream macro F1 (mean ± std across 3 seeds). Bold cells are the best per-classifier column by mean. Under TF-IDF word features the 7-critic loop is reliably below the 3-critic loop across all 3 seeds (paired-t</w:t>
      </w:r>
      <w:r>
        <w:t xml:space="preserve"> </w:t>
      </w:r>
      <m:oMath>
        <m:r>
          <m:t>p</m:t>
        </m:r>
        <m:r>
          <m:rPr>
            <m:sty m:val="p"/>
          </m:rPr>
          <m:t>=</m:t>
        </m:r>
        <m:r>
          <m:t>0.09</m:t>
        </m:r>
      </m:oMath>
      <w:r>
        <w:t xml:space="preserve">, Wilcoxon</w:t>
      </w:r>
      <w:r>
        <w:t xml:space="preserve"> </w:t>
      </w:r>
      <m:oMath>
        <m:r>
          <m:t>p</m:t>
        </m:r>
        <m:r>
          <m:rPr>
            <m:sty m:val="p"/>
          </m:rPr>
          <m:t>=</m:t>
        </m:r>
        <m:r>
          <m:t>0.25</m:t>
        </m:r>
      </m:oMath>
      <w:r>
        <w:t xml:space="preserve">,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on the diff; underpowered but directional). Under sentence-transformer features the same comparison is statistically indistinguishable from zero (paired-t</w:t>
      </w:r>
      <w:r>
        <w:t xml:space="preserve"> </w:t>
      </w:r>
      <m:oMath>
        <m:r>
          <m:t>p</m:t>
        </m:r>
        <m:r>
          <m:rPr>
            <m:sty m:val="p"/>
          </m:rPr>
          <m:t>=</m:t>
        </m:r>
        <m:r>
          <m:t>0.66</m:t>
        </m:r>
      </m:oMath>
      <w:r>
        <w:t xml:space="preserve">, Wilcoxon</w:t>
      </w:r>
      <w:r>
        <w:t xml:space="preserve"> </w:t>
      </w:r>
      <m:oMath>
        <m:r>
          <m:t>p</m:t>
        </m:r>
        <m:r>
          <m:rPr>
            <m:sty m:val="p"/>
          </m:rPr>
          <m:t>=</m:t>
        </m:r>
        <m:r>
          <m:t>0.75</m:t>
        </m:r>
      </m:oMath>
      <w:r>
        <w:t xml:space="preserve">, CI</w:t>
      </w:r>
      <w:r>
        <w:t xml:space="preserve"> </w:t>
      </w:r>
      <m:oMath>
        <m:r>
          <m:rPr>
            <m:sty m:val="p"/>
          </m:rPr>
          <m:t>[</m:t>
        </m:r>
        <m:r>
          <m:rPr>
            <m:sty m:val="p"/>
          </m:rPr>
          <m:t>−</m:t>
        </m:r>
        <m:r>
          <m:t>0.07</m:t>
        </m:r>
        <m:r>
          <m:rPr>
            <m:sty m:val="p"/>
          </m:rPr>
          <m:t>,</m:t>
        </m:r>
        <m:r>
          <m:rPr>
            <m:sty m:val="p"/>
          </m:rPr>
          <m:t>+</m:t>
        </m:r>
        <m:r>
          <m:t>0.18</m:t>
        </m:r>
        <m:r>
          <m:rPr>
            <m:sty m:val="p"/>
          </m:rPr>
          <m:t>]</m:t>
        </m:r>
      </m:oMath>
      <w:r>
        <w:t xml:space="preserve">).</w:t>
      </w:r>
    </w:p>
    <w:tbl>
      <w:tblPr>
        <w:tblStyle w:val="Table"/>
        <w:tblW w:type="pct" w:w="5000"/>
        <w:jc w:val="center"/>
        <w:tblLook w:firstRow="1" w:lastRow="0" w:firstColumn="0" w:lastColumn="0" w:noHBand="0" w:noVBand="0" w:val="0020"/>
        <w:tblCaption w:val="Table 2b: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0"/>
    <w:bookmarkStart w:id="41"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1"/>
    <w:bookmarkStart w:id="42"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with TF-IDF features (each point trains the classifier on that single iteration's batch of 16 samples; mean ± std across 3 seeds). The trajectories are non-monotonic. self_critique has the deepest iter-1 dip (). At iteration 2, full_attrforge has the highest mean F1 of any iterated condition (), above full_classic (); this reverses the cumulative-pool ranking from Table 2 ( vs ).</w:t>
      </w:r>
    </w:p>
    <w:p>
      <w:pPr>
        <w:pStyle w:val="BodyText"/>
        <w:jc w:val="both"/>
        <w:keepNext w:val="0"/>
        <w:keepLines w:val="0"/>
        <w:widowControl w:val="1"/>
      </w:pPr>
      <w:r>
        <w:t xml:space="preserve">The per-iteration vs cumulative inversion is worth noting. At iteration 2 alone (the final iteration),</w:t>
      </w:r>
      <w:r>
        <w:t xml:space="preserve"> </w:t>
      </w:r>
      <w:r>
        <w:rPr>
          <w:rStyle w:val="VerbatimChar"/>
        </w:rPr>
        <w:t xml:space="preserve">full_attrforge</w:t>
      </w:r>
      <w:r>
        <w:t xml:space="preserve"> </w:t>
      </w:r>
      <w:r>
        <w:t xml:space="preserve">has the highest mean per-iteration F1; the cumulative classifier (trained on all 48 samples pooled across iterations 0, 1, 2) reverses this. The mechanism is straightforward: the prompt-updater's instruction set accumulates across iterations, so iteration 0 of</w:t>
      </w:r>
      <w:r>
        <w:t xml:space="preserve"> </w:t>
      </w:r>
      <w:r>
        <w:rPr>
          <w:rStyle w:val="VerbatimChar"/>
        </w:rPr>
        <w:t xml:space="preserve">full_attrforge</w:t>
      </w:r>
      <w:r>
        <w:t xml:space="preserve"> </w:t>
      </w:r>
      <w:r>
        <w:t xml:space="preserve">uses the same starter prompt as everyone else, while iteration 2 carries 11.7 banned-phrasing constraints plus pack-pattern instructions. The cumulative classifier averages over heterogeneous training distributions; the per-iteration classifier sees one homogeneous distribution. Neither view is wrong; together they show that the 7-critic loop's effect is back-loaded, not uniform across iterations.</w:t>
      </w:r>
    </w:p>
    <w:bookmarkEnd w:id="42"/>
    <w:bookmarkStart w:id="43"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3"/>
    <w:bookmarkEnd w:id="44"/>
    <w:bookmarkStart w:id="45"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2"/>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2"/>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2"/>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5"/>
    <w:bookmarkStart w:id="52" w:name="sec-discussion"/>
    <w:p>
      <w:pPr>
        <w:pStyle w:val="Heading2"/>
        <w:keepNext/>
        <w:keepLines/>
        <w:widowControl w:val="1"/>
      </w:pPr>
      <w:r>
        <w:t xml:space="preserve">9</w:t>
      </w:r>
      <w:r>
        <w:t xml:space="preserve">Discussion</w:t>
      </w:r>
    </w:p>
    <w:bookmarkStart w:id="46"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6"/>
    <w:bookmarkStart w:id="47"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7"/>
    <w:bookmarkStart w:id="48"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48"/>
    <w:bookmarkStart w:id="49"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49"/>
    <w:bookmarkStart w:id="50"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0"/>
    <w:bookmarkStart w:id="51"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1"/>
    <w:bookmarkEnd w:id="52"/>
    <w:bookmarkStart w:id="53" w:name="sec-limitations"/>
    <w:p>
      <w:pPr>
        <w:pStyle w:val="Heading2"/>
        <w:keepNext/>
        <w:keepLines/>
        <w:widowControl w:val="1"/>
      </w:pPr>
      <w:r>
        <w:t xml:space="preserve">10</w:t>
      </w:r>
      <w:r>
        <w:t xml:space="preserve">Limitations</w:t>
      </w:r>
    </w:p>
    <w:p>
      <w:pPr>
        <w:pStyle w:val="Compact"/>
        <w:numPr>
          <w:ilvl w:val="0"/>
          <w:numId w:val="1003"/>
        </w:numPr>
        <w:jc w:val="both"/>
        <w:keepNext w:val="0"/>
        <w:keepLines w:val="0"/>
        <w:widowControl w:val="1"/>
      </w:pPr>
      <w:r>
        <w:rPr>
          <w:b/>
          <w:bCs/>
        </w:rPr>
        <w:t xml:space="preserve">Small evaluation budget.</w:t>
      </w:r>
      <w:r>
        <w:t xml:space="preserve"> </w:t>
      </w:r>
      <w:r>
        <w:t xml:space="preserve">Our headline numbers come from a live</w:t>
      </w:r>
      <w:r>
        <w:t xml:space="preserve"> </w:t>
      </w:r>
      <w:r>
        <w:rPr>
          <w:rStyle w:val="VerbatimChar"/>
        </w:rPr>
        <w:t xml:space="preserve">gpt-4o-mini</w:t>
      </w:r>
      <w:r>
        <w:t xml:space="preserve"> </w:t>
      </w:r>
      <w:r>
        <w:t xml:space="preserve">run with 3 random seeds, 7 conditions, 3 iterations of 16 samples each (21 condition-runs), and a 10-item held-out real test set. Cross-seed standard deviation is large for several conditions (e.g.,</w:t>
      </w:r>
      <w:r>
        <w:t xml:space="preserve"> </w:t>
      </w:r>
      <m:oMath>
        <m:r>
          <m:rPr>
            <m:sty m:val="p"/>
          </m:rPr>
          <m:t>±</m:t>
        </m:r>
        <m:r>
          <m:t>0.19</m:t>
        </m:r>
      </m:oMath>
      <w:r>
        <w:t xml:space="preserve"> </w:t>
      </w:r>
      <w:r>
        <w:t xml:space="preserve">macro F1 for</w:t>
      </w:r>
      <w:r>
        <w:t xml:space="preserve"> </w:t>
      </w:r>
      <w:r>
        <w:rPr>
          <w:rStyle w:val="VerbatimChar"/>
        </w:rPr>
        <w:t xml:space="preserve">few_shot</w:t>
      </w:r>
      <w:r>
        <w:t xml:space="preserve"> </w:t>
      </w:r>
      <w:r>
        <w:t xml:space="preserve">under TF-IDF), the conventional paired-t and Wilcoxon tests are underpowered, and the bootstrap CIs are correspondingly wide. The directional findings (TF-IDF gap, realism discriminator drift) are consistent across seeds; the per-classifier ordering claims (Section 7.2) are not statistically significant at</w:t>
      </w:r>
      <w:r>
        <w:t xml:space="preserve"> </w:t>
      </w:r>
      <m:oMath>
        <m:r>
          <m:t>α</m:t>
        </m:r>
        <m:r>
          <m:rPr>
            <m:sty m:val="p"/>
          </m:rPr>
          <m:t>=</m:t>
        </m:r>
        <m:r>
          <m:t>0.05</m:t>
        </m:r>
      </m:oMath>
      <w:r>
        <w:t xml:space="preserve">. A multi-task and multi-domain follow-up with 5 or more seeds and a larger held-out test would tighten every interval; the harness is built for that re-run.</w:t>
      </w:r>
    </w:p>
    <w:p>
      <w:pPr>
        <w:pStyle w:val="Compact"/>
        <w:numPr>
          <w:ilvl w:val="0"/>
          <w:numId w:val="1003"/>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3"/>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3"/>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3"/>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3"/>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3"/>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3"/>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3"/>
    <w:bookmarkStart w:id="55"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 multi-objective prompt-debugging framework that treats LLM synthetic data generation as iterative critic-guided prompt optimization, and transferred four mode-collapse defenses from the GAN literature into the prompt-debugging setting (Pack Discriminator, Mode-Seeking, Mode Hunter with persistent memory, Coverage Hole Finder via density-ratio estimation). Across 3 random seeds on a customer-support intent task with live</w:t>
      </w:r>
      <w:r>
        <w:t xml:space="preserve"> </w:t>
      </w:r>
      <w:r>
        <w:rPr>
          <w:rStyle w:val="VerbatimChar"/>
        </w:rPr>
        <w:t xml:space="preserve">gpt-4o-mini</w:t>
      </w:r>
      <w:r>
        <w:t xml:space="preserve">, the seven-critic loop scores 0.18 macro F1 below a three-critic baseline under a TF-IDF</w:t>
      </w:r>
      <w:r>
        <w:t xml:space="preserve"> </w:t>
      </w:r>
      <m:oMath>
        <m:r>
          <m:rPr>
            <m:sty m:val="p"/>
          </m:rPr>
          <m:t>+</m:t>
        </m:r>
      </m:oMath>
      <w:r>
        <w:t xml:space="preserve"> </w:t>
      </w:r>
      <w:r>
        <w:t xml:space="preserve">logistic-regression downstream classifier (directional across all 3 seeds, 95% bootstrap CI excludes zero,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same comparison under sentence-transformer features is statistically indistinguishable from zero. We argue this is the right scientific answer to the natural "does adding more LLM critics produce better synthetic data" question on this scale of experiment: under one downstream reader there is a directional cost, under another the cost is not detectable. We additionally contribute a post-hoc adversary audit protocol with a real-vs-real null reference, and two honest negative findings (the loop-internal realism discriminator drifts away from chance through iteration; the Coverage Hole AUROC remains at</w:t>
      </w:r>
      <w:r>
        <w:t xml:space="preserve"> </w:t>
      </w:r>
      <m:oMath>
        <m:r>
          <m:t>1.00</m:t>
        </m:r>
      </m:oMath>
      <w:r>
        <w:t xml:space="preserve"> </w:t>
      </w:r>
      <w:r>
        <w:t xml:space="preserve">throughout). All code, configurations, per-iteration manifests, audit artifacts, and per-seed downstream results are released.</w:t>
      </w:r>
    </w:p>
    <w:p>
      <w:pPr>
        <w:pStyle w:val="BodyText"/>
        <w:jc w:val="both"/>
        <w:keepNext w:val="0"/>
        <w:keepLines w:val="0"/>
        <w:widowControl w:val="1"/>
      </w:pPr>
      <w:r>
        <w:t xml:space="preserve">The architecture is open-source under MIT (</w:t>
      </w:r>
      <w:hyperlink r:id="rId54">
        <w:r>
          <w:rPr>
            <w:rStyle w:val="Hyperlink"/>
          </w:rPr>
          <w:t xml:space="preserve">github.com/ApartsinProjects/PromptForge</w:t>
        </w:r>
      </w:hyperlink>
      <w:r>
        <w:t xml:space="preserve">). Reproducing every result is one Bash invocation plus a backend flag.</w:t>
      </w:r>
    </w:p>
    <w:bookmarkEnd w:id="55"/>
    <w:bookmarkStart w:id="128" w:name="sec-references"/>
    <w:p>
      <w:pPr>
        <w:pStyle w:val="Heading2"/>
        <w:keepNext/>
        <w:keepLines/>
        <w:widowControl w:val="1"/>
      </w:pPr>
      <w:r>
        <w:t xml:space="preserve">12</w:t>
      </w:r>
      <w:r>
        <w:t xml:space="preserve">References</w:t>
      </w:r>
    </w:p>
    <w:p>
      <w:pPr>
        <w:pStyle w:val="Compact"/>
        <w:numPr>
          <w:ilvl w:val="0"/>
          <w:numId w:val="1004"/>
        </w:numPr>
        <w:jc w:val="both"/>
        <w:keepNext w:val="0"/>
        <w:keepLines w:val="0"/>
        <w:widowControl w:val="1"/>
      </w:pPr>
      <w:bookmarkStart w:id="57"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6">
        <w:r>
          <w:rPr>
            <w:rStyle w:val="Hyperlink"/>
          </w:rPr>
          <w:t xml:space="preserve">[NeurIPS]</w:t>
        </w:r>
      </w:hyperlink>
      <w:bookmarkEnd w:id="57"/>
    </w:p>
    <w:p>
      <w:pPr>
        <w:pStyle w:val="Compact"/>
        <w:numPr>
          <w:ilvl w:val="0"/>
          <w:numId w:val="1004"/>
        </w:numPr>
        <w:jc w:val="both"/>
        <w:keepNext w:val="0"/>
        <w:keepLines w:val="0"/>
        <w:widowControl w:val="1"/>
      </w:pPr>
      <w:bookmarkStart w:id="59"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58">
        <w:r>
          <w:rPr>
            <w:rStyle w:val="Hyperlink"/>
          </w:rPr>
          <w:t xml:space="preserve">[arXiv:1606.03498]</w:t>
        </w:r>
      </w:hyperlink>
      <w:bookmarkEnd w:id="59"/>
    </w:p>
    <w:p>
      <w:pPr>
        <w:pStyle w:val="Compact"/>
        <w:numPr>
          <w:ilvl w:val="0"/>
          <w:numId w:val="1004"/>
        </w:numPr>
        <w:jc w:val="both"/>
        <w:keepNext w:val="0"/>
        <w:keepLines w:val="0"/>
        <w:widowControl w:val="1"/>
      </w:pPr>
      <w:bookmarkStart w:id="61"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0">
        <w:r>
          <w:rPr>
            <w:rStyle w:val="Hyperlink"/>
          </w:rPr>
          <w:t xml:space="preserve">[CVF]</w:t>
        </w:r>
      </w:hyperlink>
      <w:bookmarkEnd w:id="61"/>
    </w:p>
    <w:p>
      <w:pPr>
        <w:pStyle w:val="Compact"/>
        <w:numPr>
          <w:ilvl w:val="0"/>
          <w:numId w:val="1004"/>
        </w:numPr>
        <w:jc w:val="both"/>
        <w:keepNext w:val="0"/>
        <w:keepLines w:val="0"/>
        <w:widowControl w:val="1"/>
      </w:pPr>
      <w:bookmarkStart w:id="63"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2">
        <w:r>
          <w:rPr>
            <w:rStyle w:val="Hyperlink"/>
          </w:rPr>
          <w:t xml:space="preserve">[ACL Anthology]</w:t>
        </w:r>
      </w:hyperlink>
      <w:bookmarkEnd w:id="63"/>
    </w:p>
    <w:p>
      <w:pPr>
        <w:pStyle w:val="Compact"/>
        <w:numPr>
          <w:ilvl w:val="0"/>
          <w:numId w:val="1004"/>
        </w:numPr>
        <w:jc w:val="both"/>
        <w:keepNext w:val="0"/>
        <w:keepLines w:val="0"/>
        <w:widowControl w:val="1"/>
      </w:pPr>
      <w:bookmarkStart w:id="65"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4">
        <w:r>
          <w:rPr>
            <w:rStyle w:val="Hyperlink"/>
          </w:rPr>
          <w:t xml:space="preserve">[ACL Anthology]</w:t>
        </w:r>
      </w:hyperlink>
      <w:bookmarkEnd w:id="65"/>
    </w:p>
    <w:p>
      <w:pPr>
        <w:pStyle w:val="Compact"/>
        <w:numPr>
          <w:ilvl w:val="0"/>
          <w:numId w:val="1004"/>
        </w:numPr>
        <w:jc w:val="both"/>
        <w:keepNext w:val="0"/>
        <w:keepLines w:val="0"/>
        <w:widowControl w:val="1"/>
      </w:pPr>
      <w:bookmarkStart w:id="67"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6">
        <w:r>
          <w:rPr>
            <w:rStyle w:val="Hyperlink"/>
          </w:rPr>
          <w:t xml:space="preserve">[OpenReview]</w:t>
        </w:r>
      </w:hyperlink>
      <w:bookmarkEnd w:id="67"/>
    </w:p>
    <w:p>
      <w:pPr>
        <w:pStyle w:val="Compact"/>
        <w:numPr>
          <w:ilvl w:val="0"/>
          <w:numId w:val="1004"/>
        </w:numPr>
        <w:jc w:val="both"/>
        <w:keepNext w:val="0"/>
        <w:keepLines w:val="0"/>
        <w:widowControl w:val="1"/>
      </w:pPr>
      <w:bookmarkStart w:id="69"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68">
        <w:r>
          <w:rPr>
            <w:rStyle w:val="Hyperlink"/>
          </w:rPr>
          <w:t xml:space="preserve">[arXiv:1611.02163]</w:t>
        </w:r>
      </w:hyperlink>
      <w:bookmarkEnd w:id="69"/>
    </w:p>
    <w:p>
      <w:pPr>
        <w:pStyle w:val="Compact"/>
        <w:numPr>
          <w:ilvl w:val="0"/>
          <w:numId w:val="1004"/>
        </w:numPr>
        <w:jc w:val="both"/>
        <w:keepNext w:val="0"/>
        <w:keepLines w:val="0"/>
        <w:widowControl w:val="1"/>
      </w:pPr>
      <w:bookmarkStart w:id="71"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0">
        <w:r>
          <w:rPr>
            <w:rStyle w:val="Hyperlink"/>
          </w:rPr>
          <w:t xml:space="preserve">[PMLR]</w:t>
        </w:r>
      </w:hyperlink>
      <w:bookmarkEnd w:id="71"/>
    </w:p>
    <w:p>
      <w:pPr>
        <w:pStyle w:val="Compact"/>
        <w:numPr>
          <w:ilvl w:val="0"/>
          <w:numId w:val="1004"/>
        </w:numPr>
        <w:jc w:val="both"/>
        <w:keepNext w:val="0"/>
        <w:keepLines w:val="0"/>
        <w:widowControl w:val="1"/>
      </w:pPr>
      <w:bookmarkStart w:id="73"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2">
        <w:r>
          <w:rPr>
            <w:rStyle w:val="Hyperlink"/>
          </w:rPr>
          <w:t xml:space="preserve">[CUP]</w:t>
        </w:r>
      </w:hyperlink>
      <w:bookmarkEnd w:id="73"/>
    </w:p>
    <w:p>
      <w:pPr>
        <w:pStyle w:val="Compact"/>
        <w:numPr>
          <w:ilvl w:val="0"/>
          <w:numId w:val="1004"/>
        </w:numPr>
        <w:jc w:val="both"/>
        <w:keepNext w:val="0"/>
        <w:keepLines w:val="0"/>
        <w:widowControl w:val="1"/>
      </w:pPr>
      <w:bookmarkStart w:id="75"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4">
        <w:r>
          <w:rPr>
            <w:rStyle w:val="Hyperlink"/>
          </w:rPr>
          <w:t xml:space="preserve">[ACM]</w:t>
        </w:r>
      </w:hyperlink>
      <w:bookmarkEnd w:id="75"/>
    </w:p>
    <w:p>
      <w:pPr>
        <w:pStyle w:val="Compact"/>
        <w:numPr>
          <w:ilvl w:val="0"/>
          <w:numId w:val="1004"/>
        </w:numPr>
        <w:jc w:val="both"/>
        <w:keepNext w:val="0"/>
        <w:keepLines w:val="0"/>
        <w:widowControl w:val="1"/>
      </w:pPr>
      <w:bookmarkStart w:id="77"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6">
        <w:r>
          <w:rPr>
            <w:rStyle w:val="Hyperlink"/>
          </w:rPr>
          <w:t xml:space="preserve">[NeurIPS]</w:t>
        </w:r>
      </w:hyperlink>
      <w:bookmarkEnd w:id="77"/>
    </w:p>
    <w:p>
      <w:pPr>
        <w:pStyle w:val="Compact"/>
        <w:numPr>
          <w:ilvl w:val="0"/>
          <w:numId w:val="1004"/>
        </w:numPr>
        <w:jc w:val="both"/>
        <w:keepNext w:val="0"/>
        <w:keepLines w:val="0"/>
        <w:widowControl w:val="1"/>
      </w:pPr>
      <w:bookmarkStart w:id="79"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78">
        <w:r>
          <w:rPr>
            <w:rStyle w:val="Hyperlink"/>
          </w:rPr>
          <w:t xml:space="preserve">[ACL Anthology]</w:t>
        </w:r>
      </w:hyperlink>
      <w:bookmarkEnd w:id="79"/>
    </w:p>
    <w:p>
      <w:pPr>
        <w:pStyle w:val="Compact"/>
        <w:numPr>
          <w:ilvl w:val="0"/>
          <w:numId w:val="1004"/>
        </w:numPr>
        <w:jc w:val="both"/>
        <w:keepNext w:val="0"/>
        <w:keepLines w:val="0"/>
        <w:widowControl w:val="1"/>
      </w:pPr>
      <w:bookmarkStart w:id="81"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0">
        <w:r>
          <w:rPr>
            <w:rStyle w:val="Hyperlink"/>
          </w:rPr>
          <w:t xml:space="preserve">[ACL Anthology]</w:t>
        </w:r>
      </w:hyperlink>
      <w:bookmarkEnd w:id="81"/>
    </w:p>
    <w:p>
      <w:pPr>
        <w:pStyle w:val="Compact"/>
        <w:numPr>
          <w:ilvl w:val="0"/>
          <w:numId w:val="1004"/>
        </w:numPr>
        <w:jc w:val="both"/>
        <w:keepNext w:val="0"/>
        <w:keepLines w:val="0"/>
        <w:widowControl w:val="1"/>
      </w:pPr>
      <w:bookmarkStart w:id="83"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2">
        <w:r>
          <w:rPr>
            <w:rStyle w:val="Hyperlink"/>
          </w:rPr>
          <w:t xml:space="preserve">[arXiv:2211.01910]</w:t>
        </w:r>
      </w:hyperlink>
      <w:bookmarkEnd w:id="83"/>
    </w:p>
    <w:p>
      <w:pPr>
        <w:pStyle w:val="Compact"/>
        <w:numPr>
          <w:ilvl w:val="0"/>
          <w:numId w:val="1004"/>
        </w:numPr>
        <w:jc w:val="both"/>
        <w:keepNext w:val="0"/>
        <w:keepLines w:val="0"/>
        <w:widowControl w:val="1"/>
      </w:pPr>
      <w:bookmarkStart w:id="85"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4">
        <w:r>
          <w:rPr>
            <w:rStyle w:val="Hyperlink"/>
          </w:rPr>
          <w:t xml:space="preserve">[OpenReview]</w:t>
        </w:r>
      </w:hyperlink>
      <w:bookmarkEnd w:id="85"/>
    </w:p>
    <w:p>
      <w:pPr>
        <w:pStyle w:val="Compact"/>
        <w:numPr>
          <w:ilvl w:val="0"/>
          <w:numId w:val="1004"/>
        </w:numPr>
        <w:jc w:val="both"/>
        <w:keepNext w:val="0"/>
        <w:keepLines w:val="0"/>
        <w:widowControl w:val="1"/>
      </w:pPr>
      <w:bookmarkStart w:id="87"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6">
        <w:r>
          <w:rPr>
            <w:rStyle w:val="Hyperlink"/>
          </w:rPr>
          <w:t xml:space="preserve">[OpenReview]</w:t>
        </w:r>
      </w:hyperlink>
      <w:bookmarkEnd w:id="87"/>
    </w:p>
    <w:p>
      <w:pPr>
        <w:pStyle w:val="Compact"/>
        <w:numPr>
          <w:ilvl w:val="0"/>
          <w:numId w:val="1004"/>
        </w:numPr>
        <w:jc w:val="both"/>
        <w:keepNext w:val="0"/>
        <w:keepLines w:val="0"/>
        <w:widowControl w:val="1"/>
      </w:pPr>
      <w:bookmarkStart w:id="89"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88">
        <w:r>
          <w:rPr>
            <w:rStyle w:val="Hyperlink"/>
          </w:rPr>
          <w:t xml:space="preserve">[arXiv]</w:t>
        </w:r>
      </w:hyperlink>
      <w:bookmarkEnd w:id="89"/>
    </w:p>
    <w:p>
      <w:pPr>
        <w:pStyle w:val="Compact"/>
        <w:numPr>
          <w:ilvl w:val="0"/>
          <w:numId w:val="1004"/>
        </w:numPr>
        <w:jc w:val="both"/>
        <w:keepNext w:val="0"/>
        <w:keepLines w:val="0"/>
        <w:widowControl w:val="1"/>
      </w:pPr>
      <w:bookmarkStart w:id="91"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0">
        <w:r>
          <w:rPr>
            <w:rStyle w:val="Hyperlink"/>
          </w:rPr>
          <w:t xml:space="preserve">[OpenReview]</w:t>
        </w:r>
      </w:hyperlink>
      <w:bookmarkEnd w:id="91"/>
    </w:p>
    <w:p>
      <w:pPr>
        <w:pStyle w:val="Compact"/>
        <w:numPr>
          <w:ilvl w:val="0"/>
          <w:numId w:val="1004"/>
        </w:numPr>
        <w:jc w:val="both"/>
        <w:keepNext w:val="0"/>
        <w:keepLines w:val="0"/>
        <w:widowControl w:val="1"/>
      </w:pPr>
      <w:bookmarkStart w:id="93"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2">
        <w:r>
          <w:rPr>
            <w:rStyle w:val="Hyperlink"/>
          </w:rPr>
          <w:t xml:space="preserve">[arXiv]</w:t>
        </w:r>
      </w:hyperlink>
      <w:bookmarkEnd w:id="93"/>
    </w:p>
    <w:p>
      <w:pPr>
        <w:pStyle w:val="Compact"/>
        <w:numPr>
          <w:ilvl w:val="0"/>
          <w:numId w:val="1004"/>
        </w:numPr>
        <w:jc w:val="both"/>
        <w:keepNext w:val="0"/>
        <w:keepLines w:val="0"/>
        <w:widowControl w:val="1"/>
      </w:pPr>
      <w:bookmarkStart w:id="95"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4">
        <w:r>
          <w:rPr>
            <w:rStyle w:val="Hyperlink"/>
          </w:rPr>
          <w:t xml:space="preserve">[ACL Anthology]</w:t>
        </w:r>
      </w:hyperlink>
      <w:bookmarkEnd w:id="95"/>
    </w:p>
    <w:p>
      <w:pPr>
        <w:pStyle w:val="Compact"/>
        <w:numPr>
          <w:ilvl w:val="0"/>
          <w:numId w:val="1004"/>
        </w:numPr>
        <w:jc w:val="both"/>
        <w:keepNext w:val="0"/>
        <w:keepLines w:val="0"/>
        <w:widowControl w:val="1"/>
      </w:pPr>
      <w:bookmarkStart w:id="97"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6">
        <w:r>
          <w:rPr>
            <w:rStyle w:val="Hyperlink"/>
          </w:rPr>
          <w:t xml:space="preserve">[OpenReview]</w:t>
        </w:r>
      </w:hyperlink>
      <w:bookmarkEnd w:id="97"/>
    </w:p>
    <w:p>
      <w:pPr>
        <w:pStyle w:val="Compact"/>
        <w:numPr>
          <w:ilvl w:val="0"/>
          <w:numId w:val="1004"/>
        </w:numPr>
        <w:jc w:val="both"/>
        <w:keepNext w:val="0"/>
        <w:keepLines w:val="0"/>
        <w:widowControl w:val="1"/>
      </w:pPr>
      <w:bookmarkStart w:id="99"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98">
        <w:r>
          <w:rPr>
            <w:rStyle w:val="Hyperlink"/>
          </w:rPr>
          <w:t xml:space="preserve">[NeurIPS]</w:t>
        </w:r>
      </w:hyperlink>
      <w:bookmarkEnd w:id="99"/>
    </w:p>
    <w:p>
      <w:pPr>
        <w:pStyle w:val="Compact"/>
        <w:numPr>
          <w:ilvl w:val="0"/>
          <w:numId w:val="1004"/>
        </w:numPr>
        <w:jc w:val="both"/>
        <w:keepNext w:val="0"/>
        <w:keepLines w:val="0"/>
        <w:widowControl w:val="1"/>
      </w:pPr>
      <w:bookmarkStart w:id="101"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0">
        <w:r>
          <w:rPr>
            <w:rStyle w:val="Hyperlink"/>
          </w:rPr>
          <w:t xml:space="preserve">[NeurIPS]</w:t>
        </w:r>
      </w:hyperlink>
      <w:bookmarkEnd w:id="101"/>
    </w:p>
    <w:p>
      <w:pPr>
        <w:pStyle w:val="Compact"/>
        <w:numPr>
          <w:ilvl w:val="0"/>
          <w:numId w:val="1004"/>
        </w:numPr>
        <w:jc w:val="both"/>
        <w:keepNext w:val="0"/>
        <w:keepLines w:val="0"/>
        <w:widowControl w:val="1"/>
      </w:pPr>
      <w:bookmarkStart w:id="103"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2">
        <w:r>
          <w:rPr>
            <w:rStyle w:val="Hyperlink"/>
          </w:rPr>
          <w:t xml:space="preserve">[PMLR]</w:t>
        </w:r>
      </w:hyperlink>
      <w:bookmarkEnd w:id="103"/>
    </w:p>
    <w:p>
      <w:pPr>
        <w:pStyle w:val="Compact"/>
        <w:numPr>
          <w:ilvl w:val="0"/>
          <w:numId w:val="1004"/>
        </w:numPr>
        <w:jc w:val="both"/>
        <w:keepNext w:val="0"/>
        <w:keepLines w:val="0"/>
        <w:widowControl w:val="1"/>
      </w:pPr>
      <w:bookmarkStart w:id="105"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4">
        <w:r>
          <w:rPr>
            <w:rStyle w:val="Hyperlink"/>
          </w:rPr>
          <w:t xml:space="preserve">[arXiv]</w:t>
        </w:r>
      </w:hyperlink>
      <w:bookmarkEnd w:id="105"/>
    </w:p>
    <w:p>
      <w:pPr>
        <w:pStyle w:val="Compact"/>
        <w:numPr>
          <w:ilvl w:val="0"/>
          <w:numId w:val="1004"/>
        </w:numPr>
        <w:jc w:val="both"/>
        <w:keepNext w:val="0"/>
        <w:keepLines w:val="0"/>
        <w:widowControl w:val="1"/>
      </w:pPr>
      <w:bookmarkStart w:id="107" w:name="ref-paretoprompt"/>
      <w:r>
        <w:t xml:space="preserve">Anonymous.</w:t>
      </w:r>
      <w:r>
        <w:t xml:space="preserve"> </w:t>
      </w:r>
      <w:r>
        <w:rPr>
          <w:i/>
          <w:iCs/>
        </w:rPr>
        <w:t xml:space="preserve">Pareto prompt optimization.</w:t>
      </w:r>
      <w:r>
        <w:t xml:space="preserve"> </w:t>
      </w:r>
      <w:r>
        <w:t xml:space="preserve">ICLR, 2025.</w:t>
      </w:r>
      <w:r>
        <w:t xml:space="preserve"> </w:t>
      </w:r>
      <w:hyperlink r:id="rId106">
        <w:r>
          <w:rPr>
            <w:rStyle w:val="Hyperlink"/>
          </w:rPr>
          <w:t xml:space="preserve">[OpenReview]</w:t>
        </w:r>
      </w:hyperlink>
      <w:bookmarkEnd w:id="107"/>
    </w:p>
    <w:p>
      <w:pPr>
        <w:pStyle w:val="Compact"/>
        <w:numPr>
          <w:ilvl w:val="0"/>
          <w:numId w:val="1004"/>
        </w:numPr>
        <w:jc w:val="both"/>
        <w:keepNext w:val="0"/>
        <w:keepLines w:val="0"/>
        <w:widowControl w:val="1"/>
      </w:pPr>
      <w:bookmarkStart w:id="109"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08">
        <w:r>
          <w:rPr>
            <w:rStyle w:val="Hyperlink"/>
          </w:rPr>
          <w:t xml:space="preserve">[arXiv]</w:t>
        </w:r>
      </w:hyperlink>
      <w:bookmarkEnd w:id="109"/>
    </w:p>
    <w:p>
      <w:pPr>
        <w:pStyle w:val="Compact"/>
        <w:numPr>
          <w:ilvl w:val="0"/>
          <w:numId w:val="1004"/>
        </w:numPr>
        <w:jc w:val="both"/>
        <w:keepNext w:val="0"/>
        <w:keepLines w:val="0"/>
        <w:widowControl w:val="1"/>
      </w:pPr>
      <w:bookmarkStart w:id="111"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0">
        <w:r>
          <w:rPr>
            <w:rStyle w:val="Hyperlink"/>
          </w:rPr>
          <w:t xml:space="preserve">[arXiv]</w:t>
        </w:r>
      </w:hyperlink>
      <w:bookmarkEnd w:id="111"/>
    </w:p>
    <w:p>
      <w:pPr>
        <w:pStyle w:val="Compact"/>
        <w:numPr>
          <w:ilvl w:val="0"/>
          <w:numId w:val="1004"/>
        </w:numPr>
        <w:jc w:val="both"/>
        <w:keepNext w:val="0"/>
        <w:keepLines w:val="0"/>
        <w:widowControl w:val="1"/>
      </w:pPr>
      <w:bookmarkStart w:id="113"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2">
        <w:r>
          <w:rPr>
            <w:rStyle w:val="Hyperlink"/>
          </w:rPr>
          <w:t xml:space="preserve">[arXiv]</w:t>
        </w:r>
      </w:hyperlink>
      <w:bookmarkEnd w:id="113"/>
    </w:p>
    <w:p>
      <w:pPr>
        <w:pStyle w:val="Compact"/>
        <w:numPr>
          <w:ilvl w:val="0"/>
          <w:numId w:val="1004"/>
        </w:numPr>
        <w:jc w:val="both"/>
        <w:keepNext w:val="0"/>
        <w:keepLines w:val="0"/>
        <w:widowControl w:val="1"/>
      </w:pPr>
      <w:bookmarkStart w:id="115"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4">
        <w:r>
          <w:rPr>
            <w:rStyle w:val="Hyperlink"/>
          </w:rPr>
          <w:t xml:space="preserve">[arXiv]</w:t>
        </w:r>
      </w:hyperlink>
      <w:bookmarkEnd w:id="115"/>
    </w:p>
    <w:p>
      <w:pPr>
        <w:pStyle w:val="Compact"/>
        <w:numPr>
          <w:ilvl w:val="0"/>
          <w:numId w:val="1004"/>
        </w:numPr>
        <w:jc w:val="both"/>
        <w:keepNext w:val="0"/>
        <w:keepLines w:val="0"/>
        <w:widowControl w:val="1"/>
      </w:pPr>
      <w:bookmarkStart w:id="117" w:name="ref-strongcollapse"/>
      <w:r>
        <w:t xml:space="preserve">Anonymous.</w:t>
      </w:r>
      <w:r>
        <w:t xml:space="preserve"> </w:t>
      </w:r>
      <w:r>
        <w:rPr>
          <w:i/>
          <w:iCs/>
        </w:rPr>
        <w:t xml:space="preserve">Strong model collapse.</w:t>
      </w:r>
      <w:r>
        <w:t xml:space="preserve"> </w:t>
      </w:r>
      <w:r>
        <w:t xml:space="preserve">ICLR, 2025.</w:t>
      </w:r>
      <w:r>
        <w:t xml:space="preserve"> </w:t>
      </w:r>
      <w:hyperlink r:id="rId116">
        <w:r>
          <w:rPr>
            <w:rStyle w:val="Hyperlink"/>
          </w:rPr>
          <w:t xml:space="preserve">[ICLR 2025]</w:t>
        </w:r>
      </w:hyperlink>
      <w:bookmarkEnd w:id="117"/>
    </w:p>
    <w:p>
      <w:pPr>
        <w:pStyle w:val="Compact"/>
        <w:numPr>
          <w:ilvl w:val="0"/>
          <w:numId w:val="1004"/>
        </w:numPr>
        <w:jc w:val="both"/>
        <w:keepNext w:val="0"/>
        <w:keepLines w:val="0"/>
        <w:widowControl w:val="1"/>
      </w:pPr>
      <w:bookmarkStart w:id="119"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18">
        <w:r>
          <w:rPr>
            <w:rStyle w:val="Hyperlink"/>
          </w:rPr>
          <w:t xml:space="preserve">[arXiv]</w:t>
        </w:r>
      </w:hyperlink>
      <w:bookmarkEnd w:id="119"/>
    </w:p>
    <w:p>
      <w:pPr>
        <w:pStyle w:val="Compact"/>
        <w:numPr>
          <w:ilvl w:val="0"/>
          <w:numId w:val="1004"/>
        </w:numPr>
        <w:jc w:val="both"/>
        <w:keepNext w:val="0"/>
        <w:keepLines w:val="0"/>
        <w:widowControl w:val="1"/>
      </w:pPr>
      <w:bookmarkStart w:id="121"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0">
        <w:r>
          <w:rPr>
            <w:rStyle w:val="Hyperlink"/>
          </w:rPr>
          <w:t xml:space="preserve">[arXiv]</w:t>
        </w:r>
      </w:hyperlink>
      <w:bookmarkEnd w:id="121"/>
    </w:p>
    <w:p>
      <w:pPr>
        <w:pStyle w:val="Compact"/>
        <w:numPr>
          <w:ilvl w:val="0"/>
          <w:numId w:val="1004"/>
        </w:numPr>
        <w:jc w:val="both"/>
        <w:keepNext w:val="0"/>
        <w:keepLines w:val="0"/>
        <w:widowControl w:val="1"/>
      </w:pPr>
      <w:bookmarkStart w:id="123"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2">
        <w:r>
          <w:rPr>
            <w:rStyle w:val="Hyperlink"/>
          </w:rPr>
          <w:t xml:space="preserve">[arXiv]</w:t>
        </w:r>
      </w:hyperlink>
      <w:bookmarkEnd w:id="123"/>
    </w:p>
    <w:p>
      <w:pPr>
        <w:pStyle w:val="Compact"/>
        <w:numPr>
          <w:ilvl w:val="0"/>
          <w:numId w:val="1004"/>
        </w:numPr>
        <w:jc w:val="both"/>
        <w:keepNext w:val="0"/>
        <w:keepLines w:val="0"/>
        <w:widowControl w:val="1"/>
      </w:pPr>
      <w:bookmarkStart w:id="125"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4">
        <w:r>
          <w:rPr>
            <w:rStyle w:val="Hyperlink"/>
          </w:rPr>
          <w:t xml:space="preserve">[OpenReview]</w:t>
        </w:r>
      </w:hyperlink>
      <w:bookmarkEnd w:id="125"/>
    </w:p>
    <w:p>
      <w:pPr>
        <w:pStyle w:val="Compact"/>
        <w:numPr>
          <w:ilvl w:val="0"/>
          <w:numId w:val="1004"/>
        </w:numPr>
        <w:jc w:val="both"/>
        <w:keepNext w:val="0"/>
        <w:keepLines w:val="0"/>
        <w:widowControl w:val="1"/>
      </w:pPr>
      <w:bookmarkStart w:id="127"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6">
        <w:r>
          <w:rPr>
            <w:rStyle w:val="Hyperlink"/>
          </w:rPr>
          <w:t xml:space="preserve">[arXiv]</w:t>
        </w:r>
      </w:hyperlink>
      <w:bookmarkEnd w:id="127"/>
    </w:p>
    <w:bookmarkEnd w:id="128"/>
    <w:bookmarkStart w:id="130"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@misc{apartsin2026adversarial,</w:t>
      </w:r>
      <w:r>
        <w:br/>
      </w:r>
      <w:r>
        <w:rPr>
          <w:rStyle w:val="VerbatimChar"/>
        </w:rPr>
        <w:t xml:space="preserve">  title  = {Adversarial Prompt Debugging for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4">
        <w:r>
          <w:rPr>
            <w:rStyle w:val="Hyperlink"/>
          </w:rPr>
          <w:t xml:space="preserve">github.com/ApartsinProjects/PromptForge</w:t>
        </w:r>
      </w:hyperlink>
      <w:r>
        <w:t xml:space="preserve">.</w:t>
      </w:r>
      <w:r>
        <w:t xml:space="preserve"> </w:t>
      </w:r>
      <w:r>
        <w:t xml:space="preserve">Word version:</w:t>
      </w:r>
      <w:r>
        <w:t xml:space="preserve"> </w:t>
      </w:r>
      <w:hyperlink r:id="rId129">
        <w:r>
          <w:rPr>
            <w:rStyle w:val="Hyperlink"/>
          </w:rPr>
          <w:t xml:space="preserve">attrforge.docx</w:t>
        </w:r>
      </w:hyperlink>
      <w:r>
        <w:t xml:space="preserve">.</w:t>
      </w:r>
    </w:p>
    <w:bookmarkEnd w:id="13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9" Type="http://schemas.openxmlformats.org/officeDocument/2006/relationships/hyperlink" Target="attrforge.docx" TargetMode="External"/><Relationship Id="rId78" Type="http://schemas.openxmlformats.org/officeDocument/2006/relationships/hyperlink" Target="https://aclanthology.org/2022.findings-emnlp.269/" TargetMode="External"/><Relationship Id="rId80" Type="http://schemas.openxmlformats.org/officeDocument/2006/relationships/hyperlink" Target="https://aclanthology.org/2022.naacl-main.341/" TargetMode="External"/><Relationship Id="rId64" Type="http://schemas.openxmlformats.org/officeDocument/2006/relationships/hyperlink" Target="https://aclanthology.org/2023.acl-long.754/" TargetMode="External"/><Relationship Id="rId62" Type="http://schemas.openxmlformats.org/officeDocument/2006/relationships/hyperlink" Target="https://aclanthology.org/2023.acl-long.806/" TargetMode="External"/><Relationship Id="rId94" Type="http://schemas.openxmlformats.org/officeDocument/2006/relationships/hyperlink" Target="https://aclanthology.org/2023.emnlp-main.153/" TargetMode="External"/><Relationship Id="rId58" Type="http://schemas.openxmlformats.org/officeDocument/2006/relationships/hyperlink" Target="https://arxiv.org/abs/1606.03498" TargetMode="External"/><Relationship Id="rId68" Type="http://schemas.openxmlformats.org/officeDocument/2006/relationships/hyperlink" Target="https://arxiv.org/abs/1611.02163" TargetMode="External"/><Relationship Id="rId82" Type="http://schemas.openxmlformats.org/officeDocument/2006/relationships/hyperlink" Target="https://arxiv.org/abs/2211.01910" TargetMode="External"/><Relationship Id="rId88" Type="http://schemas.openxmlformats.org/officeDocument/2006/relationships/hyperlink" Target="https://arxiv.org/abs/2309.16797" TargetMode="External"/><Relationship Id="rId92" Type="http://schemas.openxmlformats.org/officeDocument/2006/relationships/hyperlink" Target="https://arxiv.org/abs/2406.07496" TargetMode="External"/><Relationship Id="rId118" Type="http://schemas.openxmlformats.org/officeDocument/2006/relationships/hyperlink" Target="https://arxiv.org/abs/2410.12954" TargetMode="External"/><Relationship Id="rId126" Type="http://schemas.openxmlformats.org/officeDocument/2006/relationships/hyperlink" Target="https://arxiv.org/abs/2412.18645" TargetMode="External"/><Relationship Id="rId122" Type="http://schemas.openxmlformats.org/officeDocument/2006/relationships/hyperlink" Target="https://arxiv.org/abs/2502.15654" TargetMode="External"/><Relationship Id="rId104" Type="http://schemas.openxmlformats.org/officeDocument/2006/relationships/hyperlink" Target="https://arxiv.org/abs/2507.19457" TargetMode="External"/><Relationship Id="rId114" Type="http://schemas.openxmlformats.org/officeDocument/2006/relationships/hyperlink" Target="https://arxiv.org/abs/2509.23252" TargetMode="External"/><Relationship Id="rId112" Type="http://schemas.openxmlformats.org/officeDocument/2006/relationships/hyperlink" Target="https://arxiv.org/abs/2510.01171" TargetMode="External"/><Relationship Id="rId108" Type="http://schemas.openxmlformats.org/officeDocument/2006/relationships/hyperlink" Target="https://arxiv.org/abs/2510.06538" TargetMode="External"/><Relationship Id="rId110" Type="http://schemas.openxmlformats.org/officeDocument/2006/relationships/hyperlink" Target="https://arxiv.org/abs/2510.12697" TargetMode="External"/><Relationship Id="rId120" Type="http://schemas.openxmlformats.org/officeDocument/2006/relationships/hyperlink" Target="https://arxiv.org/abs/2511.01490" TargetMode="External"/><Relationship Id="rId74" Type="http://schemas.openxmlformats.org/officeDocument/2006/relationships/hyperlink" Target="https://dl.acm.org/doi/abs/10.1145/3477495.3531863" TargetMode="External"/><Relationship Id="rId54" Type="http://schemas.openxmlformats.org/officeDocument/2006/relationships/hyperlink" Target="https://github.com/ApartsinProjects/PromptForge" TargetMode="External"/><Relationship Id="rId60" Type="http://schemas.openxmlformats.org/officeDocument/2006/relationships/hyperlink" Target="https://openaccess.thecvf.com/content_CVPR_2019/html/Mao_Mode_Seeking_Generative_Adversarial_Networks_for_Diverse_Image_Synthesis_CVPR_2019_paper.html" TargetMode="External"/><Relationship Id="rId96" Type="http://schemas.openxmlformats.org/officeDocument/2006/relationships/hyperlink" Target="https://openreview.net/forum?id=1PL1NIMMrw" TargetMode="External"/><Relationship Id="rId84" Type="http://schemas.openxmlformats.org/officeDocument/2006/relationships/hyperlink" Target="https://openreview.net/forum?id=Bb4VGOWELI" TargetMode="External"/><Relationship Id="rId116" Type="http://schemas.openxmlformats.org/officeDocument/2006/relationships/hyperlink" Target="https://openreview.net/forum?id=GnLAFEzZsj" TargetMode="External"/><Relationship Id="rId106" Type="http://schemas.openxmlformats.org/officeDocument/2006/relationships/hyperlink" Target="https://openreview.net/forum?id=HGCk5aaSvE" TargetMode="External"/><Relationship Id="rId124" Type="http://schemas.openxmlformats.org/officeDocument/2006/relationships/hyperlink" Target="https://openreview.net/forum?id=IBnCO8gtLA" TargetMode="External"/><Relationship Id="rId86" Type="http://schemas.openxmlformats.org/officeDocument/2006/relationships/hyperlink" Target="https://openreview.net/forum?id=ZG3RaNIsO8" TargetMode="External"/><Relationship Id="rId90" Type="http://schemas.openxmlformats.org/officeDocument/2006/relationships/hyperlink" Target="https://openreview.net/forum?id=sY5N0zY5Od" TargetMode="External"/><Relationship Id="rId66" Type="http://schemas.openxmlformats.org/officeDocument/2006/relationships/hyperlink" Target="https://openreview.net/forum?id=uccHPGDlao" TargetMode="External"/><Relationship Id="rId102" Type="http://schemas.openxmlformats.org/officeDocument/2006/relationships/hyperlink" Target="https://proceedings.mlr.press/v119/naeem20a.html" TargetMode="External"/><Relationship Id="rId70" Type="http://schemas.openxmlformats.org/officeDocument/2006/relationships/hyperlink" Target="https://proceedings.mlr.press/v70/arjovsky17a.html" TargetMode="External"/><Relationship Id="rId98" Type="http://schemas.openxmlformats.org/officeDocument/2006/relationships/hyperlink" Target="https://proceedings.neurips.cc/paper/2017/hash/8a1d694707eb0fefe65871369074926d-Abstract.html" TargetMode="External"/><Relationship Id="rId56" Type="http://schemas.openxmlformats.org/officeDocument/2006/relationships/hyperlink" Target="https://proceedings.neurips.cc/paper/2018/hash/288cc0ff022877bd3df94bc9360b9c5d-Abstract.html" TargetMode="External"/><Relationship Id="rId100" Type="http://schemas.openxmlformats.org/officeDocument/2006/relationships/hyperlink" Target="https://proceedings.neurips.cc/paper/2018/hash/f7696a9b362ac5a51c3dc8f098b73923-Abstract.html" TargetMode="External"/><Relationship Id="rId76" Type="http://schemas.openxmlformats.org/officeDocument/2006/relationships/hyperlink" Target="https://proceedings.neurips.cc/paper_files/paper/2022/hash/0346c148ba1c21c6b4780a961ea141dc-Abstract-Conference.html" TargetMode="External"/><Relationship Id="rId72" Type="http://schemas.openxmlformats.org/officeDocument/2006/relationships/hyperlink" Target="https://www.cambridge.org/core/books/density-ratio-estimation-in-machine-learning/BCBEA6AEAADD66569B1E85DDDEAA764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9" Type="http://schemas.openxmlformats.org/officeDocument/2006/relationships/hyperlink" Target="attrforge.docx" TargetMode="External"/><Relationship Id="rId78" Type="http://schemas.openxmlformats.org/officeDocument/2006/relationships/hyperlink" Target="https://aclanthology.org/2022.findings-emnlp.269/" TargetMode="External"/><Relationship Id="rId80" Type="http://schemas.openxmlformats.org/officeDocument/2006/relationships/hyperlink" Target="https://aclanthology.org/2022.naacl-main.341/" TargetMode="External"/><Relationship Id="rId64" Type="http://schemas.openxmlformats.org/officeDocument/2006/relationships/hyperlink" Target="https://aclanthology.org/2023.acl-long.754/" TargetMode="External"/><Relationship Id="rId62" Type="http://schemas.openxmlformats.org/officeDocument/2006/relationships/hyperlink" Target="https://aclanthology.org/2023.acl-long.806/" TargetMode="External"/><Relationship Id="rId94" Type="http://schemas.openxmlformats.org/officeDocument/2006/relationships/hyperlink" Target="https://aclanthology.org/2023.emnlp-main.153/" TargetMode="External"/><Relationship Id="rId58" Type="http://schemas.openxmlformats.org/officeDocument/2006/relationships/hyperlink" Target="https://arxiv.org/abs/1606.03498" TargetMode="External"/><Relationship Id="rId68" Type="http://schemas.openxmlformats.org/officeDocument/2006/relationships/hyperlink" Target="https://arxiv.org/abs/1611.02163" TargetMode="External"/><Relationship Id="rId82" Type="http://schemas.openxmlformats.org/officeDocument/2006/relationships/hyperlink" Target="https://arxiv.org/abs/2211.01910" TargetMode="External"/><Relationship Id="rId88" Type="http://schemas.openxmlformats.org/officeDocument/2006/relationships/hyperlink" Target="https://arxiv.org/abs/2309.16797" TargetMode="External"/><Relationship Id="rId92" Type="http://schemas.openxmlformats.org/officeDocument/2006/relationships/hyperlink" Target="https://arxiv.org/abs/2406.07496" TargetMode="External"/><Relationship Id="rId118" Type="http://schemas.openxmlformats.org/officeDocument/2006/relationships/hyperlink" Target="https://arxiv.org/abs/2410.12954" TargetMode="External"/><Relationship Id="rId126" Type="http://schemas.openxmlformats.org/officeDocument/2006/relationships/hyperlink" Target="https://arxiv.org/abs/2412.18645" TargetMode="External"/><Relationship Id="rId122" Type="http://schemas.openxmlformats.org/officeDocument/2006/relationships/hyperlink" Target="https://arxiv.org/abs/2502.15654" TargetMode="External"/><Relationship Id="rId104" Type="http://schemas.openxmlformats.org/officeDocument/2006/relationships/hyperlink" Target="https://arxiv.org/abs/2507.19457" TargetMode="External"/><Relationship Id="rId114" Type="http://schemas.openxmlformats.org/officeDocument/2006/relationships/hyperlink" Target="https://arxiv.org/abs/2509.23252" TargetMode="External"/><Relationship Id="rId112" Type="http://schemas.openxmlformats.org/officeDocument/2006/relationships/hyperlink" Target="https://arxiv.org/abs/2510.01171" TargetMode="External"/><Relationship Id="rId108" Type="http://schemas.openxmlformats.org/officeDocument/2006/relationships/hyperlink" Target="https://arxiv.org/abs/2510.06538" TargetMode="External"/><Relationship Id="rId110" Type="http://schemas.openxmlformats.org/officeDocument/2006/relationships/hyperlink" Target="https://arxiv.org/abs/2510.12697" TargetMode="External"/><Relationship Id="rId120" Type="http://schemas.openxmlformats.org/officeDocument/2006/relationships/hyperlink" Target="https://arxiv.org/abs/2511.01490" TargetMode="External"/><Relationship Id="rId74" Type="http://schemas.openxmlformats.org/officeDocument/2006/relationships/hyperlink" Target="https://dl.acm.org/doi/abs/10.1145/3477495.3531863" TargetMode="External"/><Relationship Id="rId54" Type="http://schemas.openxmlformats.org/officeDocument/2006/relationships/hyperlink" Target="https://github.com/ApartsinProjects/PromptForge" TargetMode="External"/><Relationship Id="rId60" Type="http://schemas.openxmlformats.org/officeDocument/2006/relationships/hyperlink" Target="https://openaccess.thecvf.com/content_CVPR_2019/html/Mao_Mode_Seeking_Generative_Adversarial_Networks_for_Diverse_Image_Synthesis_CVPR_2019_paper.html" TargetMode="External"/><Relationship Id="rId96" Type="http://schemas.openxmlformats.org/officeDocument/2006/relationships/hyperlink" Target="https://openreview.net/forum?id=1PL1NIMMrw" TargetMode="External"/><Relationship Id="rId84" Type="http://schemas.openxmlformats.org/officeDocument/2006/relationships/hyperlink" Target="https://openreview.net/forum?id=Bb4VGOWELI" TargetMode="External"/><Relationship Id="rId116" Type="http://schemas.openxmlformats.org/officeDocument/2006/relationships/hyperlink" Target="https://openreview.net/forum?id=GnLAFEzZsj" TargetMode="External"/><Relationship Id="rId106" Type="http://schemas.openxmlformats.org/officeDocument/2006/relationships/hyperlink" Target="https://openreview.net/forum?id=HGCk5aaSvE" TargetMode="External"/><Relationship Id="rId124" Type="http://schemas.openxmlformats.org/officeDocument/2006/relationships/hyperlink" Target="https://openreview.net/forum?id=IBnCO8gtLA" TargetMode="External"/><Relationship Id="rId86" Type="http://schemas.openxmlformats.org/officeDocument/2006/relationships/hyperlink" Target="https://openreview.net/forum?id=ZG3RaNIsO8" TargetMode="External"/><Relationship Id="rId90" Type="http://schemas.openxmlformats.org/officeDocument/2006/relationships/hyperlink" Target="https://openreview.net/forum?id=sY5N0zY5Od" TargetMode="External"/><Relationship Id="rId66" Type="http://schemas.openxmlformats.org/officeDocument/2006/relationships/hyperlink" Target="https://openreview.net/forum?id=uccHPGDlao" TargetMode="External"/><Relationship Id="rId102" Type="http://schemas.openxmlformats.org/officeDocument/2006/relationships/hyperlink" Target="https://proceedings.mlr.press/v119/naeem20a.html" TargetMode="External"/><Relationship Id="rId70" Type="http://schemas.openxmlformats.org/officeDocument/2006/relationships/hyperlink" Target="https://proceedings.mlr.press/v70/arjovsky17a.html" TargetMode="External"/><Relationship Id="rId98" Type="http://schemas.openxmlformats.org/officeDocument/2006/relationships/hyperlink" Target="https://proceedings.neurips.cc/paper/2017/hash/8a1d694707eb0fefe65871369074926d-Abstract.html" TargetMode="External"/><Relationship Id="rId56" Type="http://schemas.openxmlformats.org/officeDocument/2006/relationships/hyperlink" Target="https://proceedings.neurips.cc/paper/2018/hash/288cc0ff022877bd3df94bc9360b9c5d-Abstract.html" TargetMode="External"/><Relationship Id="rId100" Type="http://schemas.openxmlformats.org/officeDocument/2006/relationships/hyperlink" Target="https://proceedings.neurips.cc/paper/2018/hash/f7696a9b362ac5a51c3dc8f098b73923-Abstract.html" TargetMode="External"/><Relationship Id="rId76" Type="http://schemas.openxmlformats.org/officeDocument/2006/relationships/hyperlink" Target="https://proceedings.neurips.cc/paper_files/paper/2022/hash/0346c148ba1c21c6b4780a961ea141dc-Abstract-Conference.html" TargetMode="External"/><Relationship Id="rId72"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2026-06-01T08:23:18Z</dcterms:created>
  <dcterms:modified xsi:type="dcterms:W3CDTF">2026-06-01T08:23:18Z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