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p>
      <w:pPr>
        <w:pStyle w:val="FirstParagraph"/>
        <w:jc w:val="both"/>
        <w:keepNext w:val="0"/>
        <w:keepLines w:val="0"/>
        <w:widowControl w:val="1"/>
      </w:pPr>
      <w:hyperlink r:id="rId9">
        <w:r>
          <w:rPr>
            <w:rStyle w:val="Hyperlink"/>
          </w:rPr>
          <w:t xml:space="preserve">Download .docx</w:t>
        </w:r>
      </w:hyperlink>
    </w:p>
    <w:bookmarkStart w:id="10"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v0.7 · 2026</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We adapt four classical GAN mode-collapse defenses (PacGAN, MSGAN, ban-list training, density-ratio coverage) into a multi-critic LLM prompt-debugging loop and combine them with three baseline LLM critics (attribute verifier, realism discriminator, diversity auditor) in a single open-source harness. On a customer-support intent classification task with</w:t>
      </w:r>
      <w:r>
        <w:t xml:space="preserve"> </w:t>
      </w:r>
      <w:r>
        <w:rPr>
          <w:rStyle w:val="VerbatimChar"/>
        </w:rPr>
        <w:t xml:space="preserve">gpt-4o-mini</w:t>
      </w:r>
      <w:r>
        <w:t xml:space="preserve"> </w:t>
      </w:r>
      <w:r>
        <w:t xml:space="preserve">across three random seeds,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gap is statistically indistinguishable from zero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when the same batches are read by sentence-transformer embeddings. We argue the cost of the GAN-style adversaries is real under a keyword-driven downstream classifier and not detectable under an embedding-based one, and we report this as the central diversity-utility finding rather than the more dramatic but unsupported "reversal" we initially expected. We also contribute a post-hoc adversary audit protocol that re-runs every critic against every condition's final batch with re-seeded RNG and a real-vs-real null reference (defusing the tautological-firing failure mode of naive ablation tables), a complaint-grammar contract that lets future work add new critics without breaking the protocol, and two honest negative findings (loop-internal realism discriminator drifts away from chance through iteration; Coverage Hole AUROC remains at</w:t>
      </w:r>
      <w:r>
        <w:t xml:space="preserve"> </w:t>
      </w:r>
      <m:oMath>
        <m:r>
          <m:t>1.00</m:t>
        </m:r>
      </m:oMath>
      <w:r>
        <w:t xml:space="preserve"> </w:t>
      </w:r>
      <w:r>
        <w:t xml:space="preserve">on every condition).</w:t>
      </w:r>
    </w:p>
    <w:bookmarkEnd w:id="11"/>
    <w:bookmarkStart w:id="12"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but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honest finding is not that the tradeoff</w:t>
      </w:r>
      <w:r>
        <w:t xml:space="preserve"> </w:t>
      </w:r>
      <w:r>
        <w:rPr>
          <w:i/>
          <w:iCs/>
        </w:rPr>
        <w:t xml:space="preserve">reverses</w:t>
      </w:r>
      <w:r>
        <w:t xml:space="preserve">, but that it</w:t>
      </w:r>
      <w:r>
        <w:t xml:space="preserve"> </w:t>
      </w:r>
      <w:r>
        <w:rPr>
          <w:i/>
          <w:iCs/>
        </w:rPr>
        <w:t xml:space="preserve">vanishes</w:t>
      </w:r>
      <w:r>
        <w:t xml:space="preserve">: the cost is real under a low-capacity reader and not detectable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destroys keyword consistency at the unigram level; this variation lives in a sub-manifold of the sentence-transformer's embedding space that the deeper representation tolerates rather than reads as noise. Direct measurements support that the GAN-style adversaries are functioning as designed: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(an honest negative finding); the attribute-match rate stays below 10%; the post-hoc Pack Discriminator audit shows iterated conditions cluster near the real-vs-real null reference. These signals are invisible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Our contributions are: (1) a multi-objective prompt-debugging framework with structured named-complaint feedback, length-budgeted rewrites, and a per-critic ablation contract (Section 4); (2) four GAN-inspired mode-collapse adversaries adapted to the prompt-debugging setting (Pack Discriminator, Mode-Seeking ratio, Mode Hunter with persistent banned-phrasing memory, and Coverage Hole Finder via density-ratio estimation; Section 5); (3) a post-hoc adversary audit protocol that runs every critic on every condition's final batch with re-seeded RNG and a real-vs-real null reference, breaking the tautological-firing failure mode of naive ablations (Section 8); (4) a representation-dependent diversity-utility tradeoff as the main empirical finding (Section 7); and (5) a complete open-source harness with a multi-classifier downstream evaluator, three backends, per-iteration manifests, and a complaint-grammar contract.</w:t>
      </w:r>
    </w:p>
    <w:bookmarkEnd w:id="12"/>
    <w:bookmarkStart w:id="23" w:name="sec-related"/>
    <w:p>
      <w:pPr>
        <w:pStyle w:val="Heading2"/>
        <w:keepNext/>
        <w:keepLines/>
        <w:widowControl w:val="1"/>
      </w:pPr>
      <w:r>
        <w:t xml:space="preserve">2</w:t>
      </w:r>
      <w:r>
        <w:t xml:space="preserve">Related work</w:t>
      </w:r>
    </w:p>
    <w:bookmarkStart w:id="13"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3"/>
    <w:bookmarkStart w:id="14"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4"/>
    <w:bookmarkStart w:id="15"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5"/>
    <w:bookmarkStart w:id="16"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6"/>
    <w:bookmarkStart w:id="17"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7"/>
    <w:bookmarkStart w:id="18"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8"/>
    <w:bookmarkStart w:id="19"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9"/>
    <w:bookmarkStart w:id="20"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20"/>
    <w:bookmarkStart w:id="21"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1"/>
    <w:bookmarkStart w:id="22"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2"/>
    <w:bookmarkEnd w:id="23"/>
    <w:bookmarkStart w:id="24"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4"/>
    <w:bookmarkStart w:id="29"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5"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5"/>
    <w:bookmarkStart w:id="26"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6"/>
    <w:bookmarkStart w:id="27"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7"/>
    <w:bookmarkStart w:id="28"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8"/>
    <w:bookmarkEnd w:id="29"/>
    <w:bookmarkStart w:id="34"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30"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30"/>
    <w:bookmarkStart w:id="31"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1"/>
    <w:bookmarkStart w:id="32"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2"/>
    <w:bookmarkStart w:id="33"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3"/>
    <w:bookmarkEnd w:id="34"/>
    <w:bookmarkStart w:id="39" w:name="sec-experiments"/>
    <w:p>
      <w:pPr>
        <w:pStyle w:val="Heading2"/>
        <w:keepNext/>
        <w:keepLines/>
        <w:widowControl w:val="1"/>
      </w:pPr>
      <w:r>
        <w:t xml:space="preserve">6</w:t>
      </w:r>
      <w:r>
        <w:t xml:space="preserve">Experimental setup</w:t>
      </w:r>
    </w:p>
    <w:bookmarkStart w:id="35"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5"/>
    <w:bookmarkStart w:id="36"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21 condition-runs total). The simulator backend remains in the repository as a deterministic harness validator and a CI-friendly offline mode; it is not used for headline numbers.</w:t>
      </w:r>
    </w:p>
    <w:bookmarkEnd w:id="36"/>
    <w:bookmarkStart w:id="37"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w:t>
      </w:r>
    </w:p>
    <w:tbl>
      <w:tblPr>
        <w:tblStyle w:val="Table"/>
        <w:tblW w:type="pct" w:w="5000"/>
        <w:jc w:val="center"/>
        <w:tblLook w:firstRow="1" w:lastRow="0" w:firstColumn="0" w:lastColumn="0" w:noHBand="0" w:noVBand="0" w:val="0020"/>
        <w:tblCaption w:val="Table 1: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7"/>
    <w:bookmarkStart w:id="38"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8"/>
    <w:bookmarkEnd w:id="39"/>
    <w:bookmarkStart w:id="45" w:name="sec-results"/>
    <w:p>
      <w:pPr>
        <w:pStyle w:val="Heading2"/>
        <w:keepNext/>
        <w:keepLines/>
        <w:widowControl w:val="1"/>
      </w:pPr>
      <w:r>
        <w:t xml:space="preserve">7</w:t>
      </w:r>
      <w:r>
        <w:t xml:space="preserve">Results</w:t>
      </w:r>
    </w:p>
    <w:bookmarkStart w:id="40" w:name="Xd6ecf73e398069f412ff59b3fb4a53fba6e3980"/>
    <w:p>
      <w:pPr>
        <w:pStyle w:val="Heading3"/>
        <w:keepNext/>
        <w:keepLines/>
        <w:widowControl w:val="1"/>
      </w:pPr>
      <w:r>
        <w:t xml:space="preserve">7.1</w:t>
      </w:r>
      <w:r>
        <w:t xml:space="preserve">Headline finding: adding 4 GAN adversaries to a 3-critic loop drops downstream F1 by 0.18</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w:t>
      </w:r>
    </w:p>
    <w:tbl>
      <w:tblPr>
        <w:tblStyle w:val="Table"/>
        <w:tblW w:type="pct" w:w="5000"/>
        <w:jc w:val="center"/>
        <w:tblLook w:firstRow="1" w:lastRow="0" w:firstColumn="0" w:lastColumn="0" w:noHBand="0" w:noVBand="0" w:val="0020"/>
        <w:tblCaption w:val="Table 2: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2.</w:t>
      </w:r>
      <w:r>
        <w:t xml:space="preserve"> </w:t>
      </w:r>
      <w:r>
        <w:rPr>
          <w:b/>
          <w:bCs/>
        </w:rPr>
        <w:t xml:space="preserve">(i)</w:t>
      </w:r>
      <w:r>
        <w:t xml:space="preserve"> </w:t>
      </w:r>
      <w:r>
        <w:t xml:space="preserve">The classical three-critic loop (</w:t>
      </w:r>
      <w:r>
        <w:rPr>
          <w:rStyle w:val="VerbatimChar"/>
        </w:rPr>
        <w:t xml:space="preserve">full_classic</w:t>
      </w:r>
      <w:r>
        <w:t xml:space="preserve">) achieves the best downstream macro F1 (</w:t>
      </w:r>
      <m:oMath>
        <m:r>
          <m:t>0.58</m:t>
        </m:r>
        <m:r>
          <m:rPr>
            <m:sty m:val="p"/>
          </m:rPr>
          <m:t>±</m:t>
        </m:r>
        <m:r>
          <m:t>0.05</m:t>
        </m:r>
      </m:oMath>
      <w:r>
        <w:t xml:space="preserve">); adding the four GAN-style adversaries (</w:t>
      </w:r>
      <w:r>
        <w:rPr>
          <w:rStyle w:val="VerbatimChar"/>
        </w:rPr>
        <w:t xml:space="preserve">full_attrforge</w:t>
      </w:r>
      <w:r>
        <w:t xml:space="preserve">) drops macro F1 to</w:t>
      </w:r>
      <w:r>
        <w:t xml:space="preserve"> </w:t>
      </w:r>
      <m:oMath>
        <m:r>
          <m:t>0.40</m:t>
        </m:r>
        <m:r>
          <m:rPr>
            <m:sty m:val="p"/>
          </m:rPr>
          <m:t>±</m:t>
        </m:r>
        <m:r>
          <m:t>0.06</m:t>
        </m:r>
      </m:oMath>
      <w:r>
        <w:t xml:space="preserve">, a</w:t>
      </w:r>
      <w:r>
        <w:t xml:space="preserve"> </w:t>
      </w:r>
      <m:oMath>
        <m:r>
          <m:t>0.18</m:t>
        </m:r>
      </m:oMath>
      <w:r>
        <w:t xml:space="preserve"> </w:t>
      </w:r>
      <w:r>
        <w:t xml:space="preserve">gap that is more than three times the cross-seed standard deviation.</w:t>
      </w:r>
      <w:r>
        <w:t xml:space="preserve"> </w:t>
      </w:r>
      <w:r>
        <w:rPr>
          <w:b/>
          <w:bCs/>
        </w:rPr>
        <w:t xml:space="preserve">(ii)</w:t>
      </w:r>
      <w:r>
        <w:t xml:space="preserve"> </w:t>
      </w:r>
      <w:r>
        <w:t xml:space="preserve">The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shockingly low at</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actually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40"/>
    <w:bookmarkStart w:id="41" w:name="Xc473a98b2b9bff62d7358977afe4fab2bccf298"/>
    <w:p>
      <w:pPr>
        <w:pStyle w:val="Heading3"/>
        <w:keepNext/>
        <w:keepLines/>
        <w:widowControl w:val="1"/>
      </w:pPr>
      <w:r>
        <w:t xml:space="preserve">7.2</w:t>
      </w:r>
      <w:r>
        <w:t xml:space="preserve">The tradeoff is classifier-dependent (and reverses with sentence-transformer features)</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The ranking of full_classic vs full_attrforge reverses between TF-IDF (where the 3-critic loop wins) and sentence-transformer embeddings (where the 7-critic loop wins). The intermediate-capacity character -gram classifier sits roughly between the two.</w:t>
      </w:r>
    </w:p>
    <w:p>
      <w:pPr>
        <w:pStyle w:val="BodyText"/>
        <w:jc w:val="both"/>
        <w:keepNext w:val="0"/>
        <w:keepLines w:val="0"/>
        <w:widowControl w:val="1"/>
      </w:pPr>
      <w:r>
        <w:t xml:space="preserve">Table 2b: Multi-classifier downstream macro F1 (mean ± std across 3 seeds). Bold cells are the best per-classifier column by mean. Under TF-IDF word features the 7-critic loop is reliably below the 3-critic loop across all 3 seeds (paired-t</w:t>
      </w:r>
      <w:r>
        <w:t xml:space="preserve"> </w:t>
      </w:r>
      <m:oMath>
        <m:r>
          <m:t>p</m:t>
        </m:r>
        <m:r>
          <m:rPr>
            <m:sty m:val="p"/>
          </m:rPr>
          <m:t>=</m:t>
        </m:r>
        <m:r>
          <m:t>0.09</m:t>
        </m:r>
      </m:oMath>
      <w:r>
        <w:t xml:space="preserve">, Wilcoxon</w:t>
      </w:r>
      <w:r>
        <w:t xml:space="preserve"> </w:t>
      </w:r>
      <m:oMath>
        <m:r>
          <m:t>p</m:t>
        </m:r>
        <m:r>
          <m:rPr>
            <m:sty m:val="p"/>
          </m:rPr>
          <m:t>=</m:t>
        </m:r>
        <m:r>
          <m:t>0.25</m:t>
        </m:r>
      </m:oMath>
      <w:r>
        <w:t xml:space="preserve">,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on the diff; underpowered but directional). Under sentence-transformer features the same comparison is statistically indistinguishable from zero (paired-t</w:t>
      </w:r>
      <w:r>
        <w:t xml:space="preserve"> </w:t>
      </w:r>
      <m:oMath>
        <m:r>
          <m:t>p</m:t>
        </m:r>
        <m:r>
          <m:rPr>
            <m:sty m:val="p"/>
          </m:rPr>
          <m:t>=</m:t>
        </m:r>
        <m:r>
          <m:t>0.66</m:t>
        </m:r>
      </m:oMath>
      <w:r>
        <w:t xml:space="preserve">, Wilcoxon</w:t>
      </w:r>
      <w:r>
        <w:t xml:space="preserve"> </w:t>
      </w:r>
      <m:oMath>
        <m:r>
          <m:t>p</m:t>
        </m:r>
        <m:r>
          <m:rPr>
            <m:sty m:val="p"/>
          </m:rPr>
          <m:t>=</m:t>
        </m:r>
        <m:r>
          <m:t>0.75</m:t>
        </m:r>
      </m:oMath>
      <w:r>
        <w:t xml:space="preserve">, CI</w:t>
      </w:r>
      <w:r>
        <w:t xml:space="preserve"> </w:t>
      </w:r>
      <m:oMath>
        <m:r>
          <m:rPr>
            <m:sty m:val="p"/>
          </m:rPr>
          <m:t>[</m:t>
        </m:r>
        <m:r>
          <m:rPr>
            <m:sty m:val="p"/>
          </m:rPr>
          <m:t>−</m:t>
        </m:r>
        <m:r>
          <m:t>0.07</m:t>
        </m:r>
        <m:r>
          <m:rPr>
            <m:sty m:val="p"/>
          </m:rPr>
          <m:t>,</m:t>
        </m:r>
        <m:r>
          <m:rPr>
            <m:sty m:val="p"/>
          </m:rPr>
          <m:t>+</m:t>
        </m:r>
        <m:r>
          <m:t>0.18</m:t>
        </m:r>
        <m:r>
          <m:rPr>
            <m:sty m:val="p"/>
          </m:rPr>
          <m:t>]</m:t>
        </m:r>
      </m:oMath>
      <w:r>
        <w:t xml:space="preserve">).</w:t>
      </w:r>
    </w:p>
    <w:tbl>
      <w:tblPr>
        <w:tblStyle w:val="Table"/>
        <w:tblW w:type="pct" w:w="5000"/>
        <w:jc w:val="center"/>
        <w:tblLook w:firstRow="1" w:lastRow="0" w:firstColumn="0" w:lastColumn="0" w:noHBand="0" w:noVBand="0" w:val="0020"/>
        <w:tblCaption w:val="Table 2b: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disagree about the ranking only under TF-IDF word features, where the 7-critic loop is systematically penalized. Under sentence-transformer features the 3-critic and 7-critic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still scores higher by mean (</w:t>
      </w:r>
      <m:oMath>
        <m:r>
          <m:t>0.52</m:t>
        </m:r>
      </m:oMath>
      <w:r>
        <w:t xml:space="preserve"> </w:t>
      </w:r>
      <w:r>
        <w:t xml:space="preserve">vs</w:t>
      </w:r>
      <w:r>
        <w:t xml:space="preserve"> </w:t>
      </w:r>
      <m:oMath>
        <m:r>
          <m:t>0.46</m:t>
        </m:r>
      </m:oMath>
      <w:r>
        <w:t xml:space="preserve">), but the gap is smaller than on word features. The strongest claim we can responsibly make from</w:t>
      </w:r>
      <w:r>
        <w:t xml:space="preserve"> </w:t>
      </w:r>
      <m:oMath>
        <m:r>
          <m:t>N</m:t>
        </m:r>
        <m:r>
          <m:rPr>
            <m:sty m:val="p"/>
          </m:rPr>
          <m:t>=</m:t>
        </m:r>
        <m:r>
          <m:t>3</m:t>
        </m:r>
      </m:oMath>
      <w:r>
        <w:t xml:space="preserve"> </w:t>
      </w:r>
      <w:r>
        <w:t xml:space="preserve">seeds is:</w:t>
      </w:r>
      <w:r>
        <w:t xml:space="preserve"> </w:t>
      </w:r>
      <w:r>
        <w:rPr>
          <w:b/>
          <w:bCs/>
        </w:rPr>
        <w:t xml:space="preserve">the cost of the GAN adversaries to a low-capacity classifier vanishes when the downstream reader has access to dense embeddings, but we cannot conclude from these data that the adversaries help</w:t>
      </w:r>
      <w:r>
        <w:t xml:space="preserve">. The classifier-dependence itself is the contribution: at the noise floor of a 10-item test set, single-classifier ablation tables produce ordering judgments that do not survive a classifier swap.</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1"/>
    <w:bookmarkStart w:id="42"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2"/>
    <w:bookmarkStart w:id="43"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3"/>
    <w:bookmarkStart w:id="44"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4"/>
    <w:bookmarkEnd w:id="45"/>
    <w:bookmarkStart w:id="46"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6"/>
    <w:bookmarkStart w:id="53" w:name="sec-discussion"/>
    <w:p>
      <w:pPr>
        <w:pStyle w:val="Heading2"/>
        <w:keepNext/>
        <w:keepLines/>
        <w:widowControl w:val="1"/>
      </w:pPr>
      <w:r>
        <w:t xml:space="preserve">9</w:t>
      </w:r>
      <w:r>
        <w:t xml:space="preserve">Discussion</w:t>
      </w:r>
    </w:p>
    <w:bookmarkStart w:id="47"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7"/>
    <w:bookmarkStart w:id="48"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8"/>
    <w:bookmarkStart w:id="49"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9"/>
    <w:bookmarkStart w:id="50"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50"/>
    <w:bookmarkStart w:id="51"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1"/>
    <w:bookmarkStart w:id="52"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2"/>
    <w:bookmarkEnd w:id="53"/>
    <w:bookmarkStart w:id="54"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4"/>
    <w:bookmarkStart w:id="56"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55">
        <w:r>
          <w:rPr>
            <w:rStyle w:val="Hyperlink"/>
          </w:rPr>
          <w:t xml:space="preserve">github.com/ApartsinProjects/PromptForge</w:t>
        </w:r>
      </w:hyperlink>
      <w:r>
        <w:t xml:space="preserve">). Reproducing every result is one Bash invocation plus a backend flag.</w:t>
      </w:r>
    </w:p>
    <w:bookmarkEnd w:id="56"/>
    <w:bookmarkStart w:id="129"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8"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7">
        <w:r>
          <w:rPr>
            <w:rStyle w:val="Hyperlink"/>
          </w:rPr>
          <w:t xml:space="preserve">[NeurIPS]</w:t>
        </w:r>
      </w:hyperlink>
      <w:bookmarkEnd w:id="58"/>
    </w:p>
    <w:p>
      <w:pPr>
        <w:pStyle w:val="Compact"/>
        <w:numPr>
          <w:ilvl w:val="0"/>
          <w:numId w:val="1004"/>
        </w:numPr>
        <w:jc w:val="both"/>
        <w:keepNext w:val="0"/>
        <w:keepLines w:val="0"/>
        <w:widowControl w:val="1"/>
      </w:pPr>
      <w:bookmarkStart w:id="60"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9">
        <w:r>
          <w:rPr>
            <w:rStyle w:val="Hyperlink"/>
          </w:rPr>
          <w:t xml:space="preserve">[arXiv:1606.03498]</w:t>
        </w:r>
      </w:hyperlink>
      <w:bookmarkEnd w:id="60"/>
    </w:p>
    <w:p>
      <w:pPr>
        <w:pStyle w:val="Compact"/>
        <w:numPr>
          <w:ilvl w:val="0"/>
          <w:numId w:val="1004"/>
        </w:numPr>
        <w:jc w:val="both"/>
        <w:keepNext w:val="0"/>
        <w:keepLines w:val="0"/>
        <w:widowControl w:val="1"/>
      </w:pPr>
      <w:bookmarkStart w:id="62"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1">
        <w:r>
          <w:rPr>
            <w:rStyle w:val="Hyperlink"/>
          </w:rPr>
          <w:t xml:space="preserve">[CVF]</w:t>
        </w:r>
      </w:hyperlink>
      <w:bookmarkEnd w:id="62"/>
    </w:p>
    <w:p>
      <w:pPr>
        <w:pStyle w:val="Compact"/>
        <w:numPr>
          <w:ilvl w:val="0"/>
          <w:numId w:val="1004"/>
        </w:numPr>
        <w:jc w:val="both"/>
        <w:keepNext w:val="0"/>
        <w:keepLines w:val="0"/>
        <w:widowControl w:val="1"/>
      </w:pPr>
      <w:bookmarkStart w:id="64"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3">
        <w:r>
          <w:rPr>
            <w:rStyle w:val="Hyperlink"/>
          </w:rPr>
          <w:t xml:space="preserve">[ACL Anthology]</w:t>
        </w:r>
      </w:hyperlink>
      <w:bookmarkEnd w:id="64"/>
    </w:p>
    <w:p>
      <w:pPr>
        <w:pStyle w:val="Compact"/>
        <w:numPr>
          <w:ilvl w:val="0"/>
          <w:numId w:val="1004"/>
        </w:numPr>
        <w:jc w:val="both"/>
        <w:keepNext w:val="0"/>
        <w:keepLines w:val="0"/>
        <w:widowControl w:val="1"/>
      </w:pPr>
      <w:bookmarkStart w:id="66"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5">
        <w:r>
          <w:rPr>
            <w:rStyle w:val="Hyperlink"/>
          </w:rPr>
          <w:t xml:space="preserve">[ACL Anthology]</w:t>
        </w:r>
      </w:hyperlink>
      <w:bookmarkEnd w:id="66"/>
    </w:p>
    <w:p>
      <w:pPr>
        <w:pStyle w:val="Compact"/>
        <w:numPr>
          <w:ilvl w:val="0"/>
          <w:numId w:val="1004"/>
        </w:numPr>
        <w:jc w:val="both"/>
        <w:keepNext w:val="0"/>
        <w:keepLines w:val="0"/>
        <w:widowControl w:val="1"/>
      </w:pPr>
      <w:bookmarkStart w:id="68"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7">
        <w:r>
          <w:rPr>
            <w:rStyle w:val="Hyperlink"/>
          </w:rPr>
          <w:t xml:space="preserve">[OpenReview]</w:t>
        </w:r>
      </w:hyperlink>
      <w:bookmarkEnd w:id="68"/>
    </w:p>
    <w:p>
      <w:pPr>
        <w:pStyle w:val="Compact"/>
        <w:numPr>
          <w:ilvl w:val="0"/>
          <w:numId w:val="1004"/>
        </w:numPr>
        <w:jc w:val="both"/>
        <w:keepNext w:val="0"/>
        <w:keepLines w:val="0"/>
        <w:widowControl w:val="1"/>
      </w:pPr>
      <w:bookmarkStart w:id="70"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9">
        <w:r>
          <w:rPr>
            <w:rStyle w:val="Hyperlink"/>
          </w:rPr>
          <w:t xml:space="preserve">[arXiv:1611.02163]</w:t>
        </w:r>
      </w:hyperlink>
      <w:bookmarkEnd w:id="70"/>
    </w:p>
    <w:p>
      <w:pPr>
        <w:pStyle w:val="Compact"/>
        <w:numPr>
          <w:ilvl w:val="0"/>
          <w:numId w:val="1004"/>
        </w:numPr>
        <w:jc w:val="both"/>
        <w:keepNext w:val="0"/>
        <w:keepLines w:val="0"/>
        <w:widowControl w:val="1"/>
      </w:pPr>
      <w:bookmarkStart w:id="72"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1">
        <w:r>
          <w:rPr>
            <w:rStyle w:val="Hyperlink"/>
          </w:rPr>
          <w:t xml:space="preserve">[PMLR]</w:t>
        </w:r>
      </w:hyperlink>
      <w:bookmarkEnd w:id="72"/>
    </w:p>
    <w:p>
      <w:pPr>
        <w:pStyle w:val="Compact"/>
        <w:numPr>
          <w:ilvl w:val="0"/>
          <w:numId w:val="1004"/>
        </w:numPr>
        <w:jc w:val="both"/>
        <w:keepNext w:val="0"/>
        <w:keepLines w:val="0"/>
        <w:widowControl w:val="1"/>
      </w:pPr>
      <w:bookmarkStart w:id="74"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3">
        <w:r>
          <w:rPr>
            <w:rStyle w:val="Hyperlink"/>
          </w:rPr>
          <w:t xml:space="preserve">[CUP]</w:t>
        </w:r>
      </w:hyperlink>
      <w:bookmarkEnd w:id="74"/>
    </w:p>
    <w:p>
      <w:pPr>
        <w:pStyle w:val="Compact"/>
        <w:numPr>
          <w:ilvl w:val="0"/>
          <w:numId w:val="1004"/>
        </w:numPr>
        <w:jc w:val="both"/>
        <w:keepNext w:val="0"/>
        <w:keepLines w:val="0"/>
        <w:widowControl w:val="1"/>
      </w:pPr>
      <w:bookmarkStart w:id="76"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5">
        <w:r>
          <w:rPr>
            <w:rStyle w:val="Hyperlink"/>
          </w:rPr>
          <w:t xml:space="preserve">[ACM]</w:t>
        </w:r>
      </w:hyperlink>
      <w:bookmarkEnd w:id="76"/>
    </w:p>
    <w:p>
      <w:pPr>
        <w:pStyle w:val="Compact"/>
        <w:numPr>
          <w:ilvl w:val="0"/>
          <w:numId w:val="1004"/>
        </w:numPr>
        <w:jc w:val="both"/>
        <w:keepNext w:val="0"/>
        <w:keepLines w:val="0"/>
        <w:widowControl w:val="1"/>
      </w:pPr>
      <w:bookmarkStart w:id="78"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7">
        <w:r>
          <w:rPr>
            <w:rStyle w:val="Hyperlink"/>
          </w:rPr>
          <w:t xml:space="preserve">[NeurIPS]</w:t>
        </w:r>
      </w:hyperlink>
      <w:bookmarkEnd w:id="78"/>
    </w:p>
    <w:p>
      <w:pPr>
        <w:pStyle w:val="Compact"/>
        <w:numPr>
          <w:ilvl w:val="0"/>
          <w:numId w:val="1004"/>
        </w:numPr>
        <w:jc w:val="both"/>
        <w:keepNext w:val="0"/>
        <w:keepLines w:val="0"/>
        <w:widowControl w:val="1"/>
      </w:pPr>
      <w:bookmarkStart w:id="80"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9">
        <w:r>
          <w:rPr>
            <w:rStyle w:val="Hyperlink"/>
          </w:rPr>
          <w:t xml:space="preserve">[ACL Anthology]</w:t>
        </w:r>
      </w:hyperlink>
      <w:bookmarkEnd w:id="80"/>
    </w:p>
    <w:p>
      <w:pPr>
        <w:pStyle w:val="Compact"/>
        <w:numPr>
          <w:ilvl w:val="0"/>
          <w:numId w:val="1004"/>
        </w:numPr>
        <w:jc w:val="both"/>
        <w:keepNext w:val="0"/>
        <w:keepLines w:val="0"/>
        <w:widowControl w:val="1"/>
      </w:pPr>
      <w:bookmarkStart w:id="82"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1">
        <w:r>
          <w:rPr>
            <w:rStyle w:val="Hyperlink"/>
          </w:rPr>
          <w:t xml:space="preserve">[ACL Anthology]</w:t>
        </w:r>
      </w:hyperlink>
      <w:bookmarkEnd w:id="82"/>
    </w:p>
    <w:p>
      <w:pPr>
        <w:pStyle w:val="Compact"/>
        <w:numPr>
          <w:ilvl w:val="0"/>
          <w:numId w:val="1004"/>
        </w:numPr>
        <w:jc w:val="both"/>
        <w:keepNext w:val="0"/>
        <w:keepLines w:val="0"/>
        <w:widowControl w:val="1"/>
      </w:pPr>
      <w:bookmarkStart w:id="84"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3">
        <w:r>
          <w:rPr>
            <w:rStyle w:val="Hyperlink"/>
          </w:rPr>
          <w:t xml:space="preserve">[arXiv:2211.01910]</w:t>
        </w:r>
      </w:hyperlink>
      <w:bookmarkEnd w:id="84"/>
    </w:p>
    <w:p>
      <w:pPr>
        <w:pStyle w:val="Compact"/>
        <w:numPr>
          <w:ilvl w:val="0"/>
          <w:numId w:val="1004"/>
        </w:numPr>
        <w:jc w:val="both"/>
        <w:keepNext w:val="0"/>
        <w:keepLines w:val="0"/>
        <w:widowControl w:val="1"/>
      </w:pPr>
      <w:bookmarkStart w:id="86"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5">
        <w:r>
          <w:rPr>
            <w:rStyle w:val="Hyperlink"/>
          </w:rPr>
          <w:t xml:space="preserve">[OpenReview]</w:t>
        </w:r>
      </w:hyperlink>
      <w:bookmarkEnd w:id="86"/>
    </w:p>
    <w:p>
      <w:pPr>
        <w:pStyle w:val="Compact"/>
        <w:numPr>
          <w:ilvl w:val="0"/>
          <w:numId w:val="1004"/>
        </w:numPr>
        <w:jc w:val="both"/>
        <w:keepNext w:val="0"/>
        <w:keepLines w:val="0"/>
        <w:widowControl w:val="1"/>
      </w:pPr>
      <w:bookmarkStart w:id="88"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7">
        <w:r>
          <w:rPr>
            <w:rStyle w:val="Hyperlink"/>
          </w:rPr>
          <w:t xml:space="preserve">[OpenReview]</w:t>
        </w:r>
      </w:hyperlink>
      <w:bookmarkEnd w:id="88"/>
    </w:p>
    <w:p>
      <w:pPr>
        <w:pStyle w:val="Compact"/>
        <w:numPr>
          <w:ilvl w:val="0"/>
          <w:numId w:val="1004"/>
        </w:numPr>
        <w:jc w:val="both"/>
        <w:keepNext w:val="0"/>
        <w:keepLines w:val="0"/>
        <w:widowControl w:val="1"/>
      </w:pPr>
      <w:bookmarkStart w:id="90"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9">
        <w:r>
          <w:rPr>
            <w:rStyle w:val="Hyperlink"/>
          </w:rPr>
          <w:t xml:space="preserve">[arXiv]</w:t>
        </w:r>
      </w:hyperlink>
      <w:bookmarkEnd w:id="90"/>
    </w:p>
    <w:p>
      <w:pPr>
        <w:pStyle w:val="Compact"/>
        <w:numPr>
          <w:ilvl w:val="0"/>
          <w:numId w:val="1004"/>
        </w:numPr>
        <w:jc w:val="both"/>
        <w:keepNext w:val="0"/>
        <w:keepLines w:val="0"/>
        <w:widowControl w:val="1"/>
      </w:pPr>
      <w:bookmarkStart w:id="92"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1">
        <w:r>
          <w:rPr>
            <w:rStyle w:val="Hyperlink"/>
          </w:rPr>
          <w:t xml:space="preserve">[OpenReview]</w:t>
        </w:r>
      </w:hyperlink>
      <w:bookmarkEnd w:id="92"/>
    </w:p>
    <w:p>
      <w:pPr>
        <w:pStyle w:val="Compact"/>
        <w:numPr>
          <w:ilvl w:val="0"/>
          <w:numId w:val="1004"/>
        </w:numPr>
        <w:jc w:val="both"/>
        <w:keepNext w:val="0"/>
        <w:keepLines w:val="0"/>
        <w:widowControl w:val="1"/>
      </w:pPr>
      <w:bookmarkStart w:id="94"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3">
        <w:r>
          <w:rPr>
            <w:rStyle w:val="Hyperlink"/>
          </w:rPr>
          <w:t xml:space="preserve">[arXiv]</w:t>
        </w:r>
      </w:hyperlink>
      <w:bookmarkEnd w:id="94"/>
    </w:p>
    <w:p>
      <w:pPr>
        <w:pStyle w:val="Compact"/>
        <w:numPr>
          <w:ilvl w:val="0"/>
          <w:numId w:val="1004"/>
        </w:numPr>
        <w:jc w:val="both"/>
        <w:keepNext w:val="0"/>
        <w:keepLines w:val="0"/>
        <w:widowControl w:val="1"/>
      </w:pPr>
      <w:bookmarkStart w:id="96"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5">
        <w:r>
          <w:rPr>
            <w:rStyle w:val="Hyperlink"/>
          </w:rPr>
          <w:t xml:space="preserve">[ACL Anthology]</w:t>
        </w:r>
      </w:hyperlink>
      <w:bookmarkEnd w:id="96"/>
    </w:p>
    <w:p>
      <w:pPr>
        <w:pStyle w:val="Compact"/>
        <w:numPr>
          <w:ilvl w:val="0"/>
          <w:numId w:val="1004"/>
        </w:numPr>
        <w:jc w:val="both"/>
        <w:keepNext w:val="0"/>
        <w:keepLines w:val="0"/>
        <w:widowControl w:val="1"/>
      </w:pPr>
      <w:bookmarkStart w:id="98"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7">
        <w:r>
          <w:rPr>
            <w:rStyle w:val="Hyperlink"/>
          </w:rPr>
          <w:t xml:space="preserve">[OpenReview]</w:t>
        </w:r>
      </w:hyperlink>
      <w:bookmarkEnd w:id="98"/>
    </w:p>
    <w:p>
      <w:pPr>
        <w:pStyle w:val="Compact"/>
        <w:numPr>
          <w:ilvl w:val="0"/>
          <w:numId w:val="1004"/>
        </w:numPr>
        <w:jc w:val="both"/>
        <w:keepNext w:val="0"/>
        <w:keepLines w:val="0"/>
        <w:widowControl w:val="1"/>
      </w:pPr>
      <w:bookmarkStart w:id="100"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9">
        <w:r>
          <w:rPr>
            <w:rStyle w:val="Hyperlink"/>
          </w:rPr>
          <w:t xml:space="preserve">[NeurIPS]</w:t>
        </w:r>
      </w:hyperlink>
      <w:bookmarkEnd w:id="100"/>
    </w:p>
    <w:p>
      <w:pPr>
        <w:pStyle w:val="Compact"/>
        <w:numPr>
          <w:ilvl w:val="0"/>
          <w:numId w:val="1004"/>
        </w:numPr>
        <w:jc w:val="both"/>
        <w:keepNext w:val="0"/>
        <w:keepLines w:val="0"/>
        <w:widowControl w:val="1"/>
      </w:pPr>
      <w:bookmarkStart w:id="102"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1">
        <w:r>
          <w:rPr>
            <w:rStyle w:val="Hyperlink"/>
          </w:rPr>
          <w:t xml:space="preserve">[NeurIPS]</w:t>
        </w:r>
      </w:hyperlink>
      <w:bookmarkEnd w:id="102"/>
    </w:p>
    <w:p>
      <w:pPr>
        <w:pStyle w:val="Compact"/>
        <w:numPr>
          <w:ilvl w:val="0"/>
          <w:numId w:val="1004"/>
        </w:numPr>
        <w:jc w:val="both"/>
        <w:keepNext w:val="0"/>
        <w:keepLines w:val="0"/>
        <w:widowControl w:val="1"/>
      </w:pPr>
      <w:bookmarkStart w:id="104"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3">
        <w:r>
          <w:rPr>
            <w:rStyle w:val="Hyperlink"/>
          </w:rPr>
          <w:t xml:space="preserve">[PMLR]</w:t>
        </w:r>
      </w:hyperlink>
      <w:bookmarkEnd w:id="104"/>
    </w:p>
    <w:p>
      <w:pPr>
        <w:pStyle w:val="Compact"/>
        <w:numPr>
          <w:ilvl w:val="0"/>
          <w:numId w:val="1004"/>
        </w:numPr>
        <w:jc w:val="both"/>
        <w:keepNext w:val="0"/>
        <w:keepLines w:val="0"/>
        <w:widowControl w:val="1"/>
      </w:pPr>
      <w:bookmarkStart w:id="106"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5">
        <w:r>
          <w:rPr>
            <w:rStyle w:val="Hyperlink"/>
          </w:rPr>
          <w:t xml:space="preserve">[arXiv]</w:t>
        </w:r>
      </w:hyperlink>
      <w:bookmarkEnd w:id="106"/>
    </w:p>
    <w:p>
      <w:pPr>
        <w:pStyle w:val="Compact"/>
        <w:numPr>
          <w:ilvl w:val="0"/>
          <w:numId w:val="1004"/>
        </w:numPr>
        <w:jc w:val="both"/>
        <w:keepNext w:val="0"/>
        <w:keepLines w:val="0"/>
        <w:widowControl w:val="1"/>
      </w:pPr>
      <w:bookmarkStart w:id="108" w:name="ref-paretoprompt"/>
      <w:r>
        <w:t xml:space="preserve">Anonymous.</w:t>
      </w:r>
      <w:r>
        <w:t xml:space="preserve"> </w:t>
      </w:r>
      <w:r>
        <w:rPr>
          <w:i/>
          <w:iCs/>
        </w:rPr>
        <w:t xml:space="preserve">Pareto prompt optimization.</w:t>
      </w:r>
      <w:r>
        <w:t xml:space="preserve"> </w:t>
      </w:r>
      <w:r>
        <w:t xml:space="preserve">ICLR, 2025.</w:t>
      </w:r>
      <w:r>
        <w:t xml:space="preserve"> </w:t>
      </w:r>
      <w:hyperlink r:id="rId107">
        <w:r>
          <w:rPr>
            <w:rStyle w:val="Hyperlink"/>
          </w:rPr>
          <w:t xml:space="preserve">[OpenReview]</w:t>
        </w:r>
      </w:hyperlink>
      <w:bookmarkEnd w:id="108"/>
    </w:p>
    <w:p>
      <w:pPr>
        <w:pStyle w:val="Compact"/>
        <w:numPr>
          <w:ilvl w:val="0"/>
          <w:numId w:val="1004"/>
        </w:numPr>
        <w:jc w:val="both"/>
        <w:keepNext w:val="0"/>
        <w:keepLines w:val="0"/>
        <w:widowControl w:val="1"/>
      </w:pPr>
      <w:bookmarkStart w:id="110"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09">
        <w:r>
          <w:rPr>
            <w:rStyle w:val="Hyperlink"/>
          </w:rPr>
          <w:t xml:space="preserve">[arXiv]</w:t>
        </w:r>
      </w:hyperlink>
      <w:bookmarkEnd w:id="110"/>
    </w:p>
    <w:p>
      <w:pPr>
        <w:pStyle w:val="Compact"/>
        <w:numPr>
          <w:ilvl w:val="0"/>
          <w:numId w:val="1004"/>
        </w:numPr>
        <w:jc w:val="both"/>
        <w:keepNext w:val="0"/>
        <w:keepLines w:val="0"/>
        <w:widowControl w:val="1"/>
      </w:pPr>
      <w:bookmarkStart w:id="112"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1">
        <w:r>
          <w:rPr>
            <w:rStyle w:val="Hyperlink"/>
          </w:rPr>
          <w:t xml:space="preserve">[arXiv]</w:t>
        </w:r>
      </w:hyperlink>
      <w:bookmarkEnd w:id="112"/>
    </w:p>
    <w:p>
      <w:pPr>
        <w:pStyle w:val="Compact"/>
        <w:numPr>
          <w:ilvl w:val="0"/>
          <w:numId w:val="1004"/>
        </w:numPr>
        <w:jc w:val="both"/>
        <w:keepNext w:val="0"/>
        <w:keepLines w:val="0"/>
        <w:widowControl w:val="1"/>
      </w:pPr>
      <w:bookmarkStart w:id="114"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3">
        <w:r>
          <w:rPr>
            <w:rStyle w:val="Hyperlink"/>
          </w:rPr>
          <w:t xml:space="preserve">[arXiv]</w:t>
        </w:r>
      </w:hyperlink>
      <w:bookmarkEnd w:id="114"/>
    </w:p>
    <w:p>
      <w:pPr>
        <w:pStyle w:val="Compact"/>
        <w:numPr>
          <w:ilvl w:val="0"/>
          <w:numId w:val="1004"/>
        </w:numPr>
        <w:jc w:val="both"/>
        <w:keepNext w:val="0"/>
        <w:keepLines w:val="0"/>
        <w:widowControl w:val="1"/>
      </w:pPr>
      <w:bookmarkStart w:id="116"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5">
        <w:r>
          <w:rPr>
            <w:rStyle w:val="Hyperlink"/>
          </w:rPr>
          <w:t xml:space="preserve">[arXiv]</w:t>
        </w:r>
      </w:hyperlink>
      <w:bookmarkEnd w:id="116"/>
    </w:p>
    <w:p>
      <w:pPr>
        <w:pStyle w:val="Compact"/>
        <w:numPr>
          <w:ilvl w:val="0"/>
          <w:numId w:val="1004"/>
        </w:numPr>
        <w:jc w:val="both"/>
        <w:keepNext w:val="0"/>
        <w:keepLines w:val="0"/>
        <w:widowControl w:val="1"/>
      </w:pPr>
      <w:bookmarkStart w:id="118" w:name="ref-strongcollapse"/>
      <w:r>
        <w:t xml:space="preserve">Anonymous.</w:t>
      </w:r>
      <w:r>
        <w:t xml:space="preserve"> </w:t>
      </w:r>
      <w:r>
        <w:rPr>
          <w:i/>
          <w:iCs/>
        </w:rPr>
        <w:t xml:space="preserve">Strong model collapse.</w:t>
      </w:r>
      <w:r>
        <w:t xml:space="preserve"> </w:t>
      </w:r>
      <w:r>
        <w:t xml:space="preserve">ICLR, 2025.</w:t>
      </w:r>
      <w:r>
        <w:t xml:space="preserve"> </w:t>
      </w:r>
      <w:hyperlink r:id="rId117">
        <w:r>
          <w:rPr>
            <w:rStyle w:val="Hyperlink"/>
          </w:rPr>
          <w:t xml:space="preserve">[ICLR 2025]</w:t>
        </w:r>
      </w:hyperlink>
      <w:bookmarkEnd w:id="118"/>
    </w:p>
    <w:p>
      <w:pPr>
        <w:pStyle w:val="Compact"/>
        <w:numPr>
          <w:ilvl w:val="0"/>
          <w:numId w:val="1004"/>
        </w:numPr>
        <w:jc w:val="both"/>
        <w:keepNext w:val="0"/>
        <w:keepLines w:val="0"/>
        <w:widowControl w:val="1"/>
      </w:pPr>
      <w:bookmarkStart w:id="120"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19">
        <w:r>
          <w:rPr>
            <w:rStyle w:val="Hyperlink"/>
          </w:rPr>
          <w:t xml:space="preserve">[arXiv]</w:t>
        </w:r>
      </w:hyperlink>
      <w:bookmarkEnd w:id="120"/>
    </w:p>
    <w:p>
      <w:pPr>
        <w:pStyle w:val="Compact"/>
        <w:numPr>
          <w:ilvl w:val="0"/>
          <w:numId w:val="1004"/>
        </w:numPr>
        <w:jc w:val="both"/>
        <w:keepNext w:val="0"/>
        <w:keepLines w:val="0"/>
        <w:widowControl w:val="1"/>
      </w:pPr>
      <w:bookmarkStart w:id="122"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1">
        <w:r>
          <w:rPr>
            <w:rStyle w:val="Hyperlink"/>
          </w:rPr>
          <w:t xml:space="preserve">[arXiv]</w:t>
        </w:r>
      </w:hyperlink>
      <w:bookmarkEnd w:id="122"/>
    </w:p>
    <w:p>
      <w:pPr>
        <w:pStyle w:val="Compact"/>
        <w:numPr>
          <w:ilvl w:val="0"/>
          <w:numId w:val="1004"/>
        </w:numPr>
        <w:jc w:val="both"/>
        <w:keepNext w:val="0"/>
        <w:keepLines w:val="0"/>
        <w:widowControl w:val="1"/>
      </w:pPr>
      <w:bookmarkStart w:id="124"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3">
        <w:r>
          <w:rPr>
            <w:rStyle w:val="Hyperlink"/>
          </w:rPr>
          <w:t xml:space="preserve">[arXiv]</w:t>
        </w:r>
      </w:hyperlink>
      <w:bookmarkEnd w:id="124"/>
    </w:p>
    <w:p>
      <w:pPr>
        <w:pStyle w:val="Compact"/>
        <w:numPr>
          <w:ilvl w:val="0"/>
          <w:numId w:val="1004"/>
        </w:numPr>
        <w:jc w:val="both"/>
        <w:keepNext w:val="0"/>
        <w:keepLines w:val="0"/>
        <w:widowControl w:val="1"/>
      </w:pPr>
      <w:bookmarkStart w:id="126"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5">
        <w:r>
          <w:rPr>
            <w:rStyle w:val="Hyperlink"/>
          </w:rPr>
          <w:t xml:space="preserve">[OpenReview]</w:t>
        </w:r>
      </w:hyperlink>
      <w:bookmarkEnd w:id="126"/>
    </w:p>
    <w:p>
      <w:pPr>
        <w:pStyle w:val="Compact"/>
        <w:numPr>
          <w:ilvl w:val="0"/>
          <w:numId w:val="1004"/>
        </w:numPr>
        <w:jc w:val="both"/>
        <w:keepNext w:val="0"/>
        <w:keepLines w:val="0"/>
        <w:widowControl w:val="1"/>
      </w:pPr>
      <w:bookmarkStart w:id="128"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7">
        <w:r>
          <w:rPr>
            <w:rStyle w:val="Hyperlink"/>
          </w:rPr>
          <w:t xml:space="preserve">[arXiv]</w:t>
        </w:r>
      </w:hyperlink>
      <w:bookmarkEnd w:id="128"/>
    </w:p>
    <w:bookmarkEnd w:id="129"/>
    <w:bookmarkStart w:id="130"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@misc{apartsin2026attrforge,</w:t>
      </w:r>
      <w:r>
        <w:br/>
      </w:r>
      <w:r>
        <w:rPr>
          <w:rStyle w:val="VerbatimChar"/>
        </w:rPr>
        <w:t xml:space="preserve">  title  = {More Critics, Worse Data? {GAN}-Style Adversaries Expose a</w:t>
      </w:r>
      <w:r>
        <w:br/>
      </w:r>
      <w:r>
        <w:rPr>
          <w:rStyle w:val="VerbatimChar"/>
        </w:rPr>
        <w:t xml:space="preserve">            Diversity-Discriminability Tradeoff in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{Research preview,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5">
        <w:r>
          <w:rPr>
            <w:rStyle w:val="Hyperlink"/>
          </w:rPr>
          <w:t xml:space="preserve">github.com/ApartsinProjects/PromptForge</w:t>
        </w:r>
      </w:hyperlink>
      <w:r>
        <w:t xml:space="preserve">.</w:t>
      </w:r>
      <w:r>
        <w:t xml:space="preserve"> </w:t>
      </w:r>
      <w:r>
        <w:t xml:space="preserve">Word version:</w:t>
      </w:r>
      <w:r>
        <w:t xml:space="preserve"> </w:t>
      </w:r>
      <w:hyperlink r:id="rId9">
        <w:r>
          <w:rPr>
            <w:rStyle w:val="Hyperlink"/>
          </w:rPr>
          <w:t xml:space="preserve">attrforge.docx</w:t>
        </w:r>
      </w:hyperlink>
      <w:r>
        <w:t xml:space="preserve">.</w:t>
      </w:r>
    </w:p>
    <w:bookmarkEnd w:id="130"/>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79" Type="http://schemas.openxmlformats.org/officeDocument/2006/relationships/hyperlink" Target="https://aclanthology.org/2022.findings-emnlp.269/" TargetMode="External"/><Relationship Id="rId81" Type="http://schemas.openxmlformats.org/officeDocument/2006/relationships/hyperlink" Target="https://aclanthology.org/2022.naacl-main.341/" TargetMode="External"/><Relationship Id="rId65" Type="http://schemas.openxmlformats.org/officeDocument/2006/relationships/hyperlink" Target="https://aclanthology.org/2023.acl-long.754/" TargetMode="External"/><Relationship Id="rId63" Type="http://schemas.openxmlformats.org/officeDocument/2006/relationships/hyperlink" Target="https://aclanthology.org/2023.acl-long.806/" TargetMode="External"/><Relationship Id="rId95" Type="http://schemas.openxmlformats.org/officeDocument/2006/relationships/hyperlink" Target="https://aclanthology.org/2023.emnlp-main.153/" TargetMode="External"/><Relationship Id="rId59" Type="http://schemas.openxmlformats.org/officeDocument/2006/relationships/hyperlink" Target="https://arxiv.org/abs/1606.03498" TargetMode="External"/><Relationship Id="rId69" Type="http://schemas.openxmlformats.org/officeDocument/2006/relationships/hyperlink" Target="https://arxiv.org/abs/1611.02163" TargetMode="External"/><Relationship Id="rId83" Type="http://schemas.openxmlformats.org/officeDocument/2006/relationships/hyperlink" Target="https://arxiv.org/abs/2211.01910" TargetMode="External"/><Relationship Id="rId89" Type="http://schemas.openxmlformats.org/officeDocument/2006/relationships/hyperlink" Target="https://arxiv.org/abs/2309.16797" TargetMode="External"/><Relationship Id="rId93" Type="http://schemas.openxmlformats.org/officeDocument/2006/relationships/hyperlink" Target="https://arxiv.org/abs/2406.07496" TargetMode="External"/><Relationship Id="rId119" Type="http://schemas.openxmlformats.org/officeDocument/2006/relationships/hyperlink" Target="https://arxiv.org/abs/2410.12954" TargetMode="External"/><Relationship Id="rId127" Type="http://schemas.openxmlformats.org/officeDocument/2006/relationships/hyperlink" Target="https://arxiv.org/abs/2412.18645" TargetMode="External"/><Relationship Id="rId123" Type="http://schemas.openxmlformats.org/officeDocument/2006/relationships/hyperlink" Target="https://arxiv.org/abs/2502.15654" TargetMode="External"/><Relationship Id="rId105" Type="http://schemas.openxmlformats.org/officeDocument/2006/relationships/hyperlink" Target="https://arxiv.org/abs/2507.19457" TargetMode="External"/><Relationship Id="rId115" Type="http://schemas.openxmlformats.org/officeDocument/2006/relationships/hyperlink" Target="https://arxiv.org/abs/2509.23252" TargetMode="External"/><Relationship Id="rId113" Type="http://schemas.openxmlformats.org/officeDocument/2006/relationships/hyperlink" Target="https://arxiv.org/abs/2510.01171" TargetMode="External"/><Relationship Id="rId109" Type="http://schemas.openxmlformats.org/officeDocument/2006/relationships/hyperlink" Target="https://arxiv.org/abs/2510.06538" TargetMode="External"/><Relationship Id="rId111" Type="http://schemas.openxmlformats.org/officeDocument/2006/relationships/hyperlink" Target="https://arxiv.org/abs/2510.12697" TargetMode="External"/><Relationship Id="rId121" Type="http://schemas.openxmlformats.org/officeDocument/2006/relationships/hyperlink" Target="https://arxiv.org/abs/2511.01490" TargetMode="External"/><Relationship Id="rId75" Type="http://schemas.openxmlformats.org/officeDocument/2006/relationships/hyperlink" Target="https://dl.acm.org/doi/abs/10.1145/3477495.3531863" TargetMode="External"/><Relationship Id="rId55" Type="http://schemas.openxmlformats.org/officeDocument/2006/relationships/hyperlink" Target="https://github.com/ApartsinProjects/PromptForge" TargetMode="External"/><Relationship Id="rId61" Type="http://schemas.openxmlformats.org/officeDocument/2006/relationships/hyperlink" Target="https://openaccess.thecvf.com/content_CVPR_2019/html/Mao_Mode_Seeking_Generative_Adversarial_Networks_for_Diverse_Image_Synthesis_CVPR_2019_paper.html" TargetMode="External"/><Relationship Id="rId97" Type="http://schemas.openxmlformats.org/officeDocument/2006/relationships/hyperlink" Target="https://openreview.net/forum?id=1PL1NIMMrw" TargetMode="External"/><Relationship Id="rId85" Type="http://schemas.openxmlformats.org/officeDocument/2006/relationships/hyperlink" Target="https://openreview.net/forum?id=Bb4VGOWELI" TargetMode="External"/><Relationship Id="rId117" Type="http://schemas.openxmlformats.org/officeDocument/2006/relationships/hyperlink" Target="https://openreview.net/forum?id=GnLAFEzZsj" TargetMode="External"/><Relationship Id="rId107" Type="http://schemas.openxmlformats.org/officeDocument/2006/relationships/hyperlink" Target="https://openreview.net/forum?id=HGCk5aaSvE" TargetMode="External"/><Relationship Id="rId125" Type="http://schemas.openxmlformats.org/officeDocument/2006/relationships/hyperlink" Target="https://openreview.net/forum?id=IBnCO8gtLA" TargetMode="External"/><Relationship Id="rId87" Type="http://schemas.openxmlformats.org/officeDocument/2006/relationships/hyperlink" Target="https://openreview.net/forum?id=ZG3RaNIsO8" TargetMode="External"/><Relationship Id="rId91" Type="http://schemas.openxmlformats.org/officeDocument/2006/relationships/hyperlink" Target="https://openreview.net/forum?id=sY5N0zY5Od" TargetMode="External"/><Relationship Id="rId67" Type="http://schemas.openxmlformats.org/officeDocument/2006/relationships/hyperlink" Target="https://openreview.net/forum?id=uccHPGDlao" TargetMode="External"/><Relationship Id="rId103" Type="http://schemas.openxmlformats.org/officeDocument/2006/relationships/hyperlink" Target="https://proceedings.mlr.press/v119/naeem20a.html" TargetMode="External"/><Relationship Id="rId71" Type="http://schemas.openxmlformats.org/officeDocument/2006/relationships/hyperlink" Target="https://proceedings.mlr.press/v70/arjovsky17a.html" TargetMode="External"/><Relationship Id="rId99" Type="http://schemas.openxmlformats.org/officeDocument/2006/relationships/hyperlink" Target="https://proceedings.neurips.cc/paper/2017/hash/8a1d694707eb0fefe65871369074926d-Abstract.html" TargetMode="External"/><Relationship Id="rId57" Type="http://schemas.openxmlformats.org/officeDocument/2006/relationships/hyperlink" Target="https://proceedings.neurips.cc/paper/2018/hash/288cc0ff022877bd3df94bc9360b9c5d-Abstract.html" TargetMode="External"/><Relationship Id="rId101" Type="http://schemas.openxmlformats.org/officeDocument/2006/relationships/hyperlink" Target="https://proceedings.neurips.cc/paper/2018/hash/f7696a9b362ac5a51c3dc8f098b73923-Abstract.html" TargetMode="External"/><Relationship Id="rId77" Type="http://schemas.openxmlformats.org/officeDocument/2006/relationships/hyperlink" Target="https://proceedings.neurips.cc/paper_files/paper/2022/hash/0346c148ba1c21c6b4780a961ea141dc-Abstract-Conference.html" TargetMode="External"/><Relationship Id="rId73" Type="http://schemas.openxmlformats.org/officeDocument/2006/relationships/hyperlink" Target="https://www.cambridge.org/core/books/density-ratio-estimation-in-machine-learning/BCBEA6AEAADD66569B1E85DDDEAA7648"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79" Type="http://schemas.openxmlformats.org/officeDocument/2006/relationships/hyperlink" Target="https://aclanthology.org/2022.findings-emnlp.269/" TargetMode="External"/><Relationship Id="rId81" Type="http://schemas.openxmlformats.org/officeDocument/2006/relationships/hyperlink" Target="https://aclanthology.org/2022.naacl-main.341/" TargetMode="External"/><Relationship Id="rId65" Type="http://schemas.openxmlformats.org/officeDocument/2006/relationships/hyperlink" Target="https://aclanthology.org/2023.acl-long.754/" TargetMode="External"/><Relationship Id="rId63" Type="http://schemas.openxmlformats.org/officeDocument/2006/relationships/hyperlink" Target="https://aclanthology.org/2023.acl-long.806/" TargetMode="External"/><Relationship Id="rId95" Type="http://schemas.openxmlformats.org/officeDocument/2006/relationships/hyperlink" Target="https://aclanthology.org/2023.emnlp-main.153/" TargetMode="External"/><Relationship Id="rId59" Type="http://schemas.openxmlformats.org/officeDocument/2006/relationships/hyperlink" Target="https://arxiv.org/abs/1606.03498" TargetMode="External"/><Relationship Id="rId69" Type="http://schemas.openxmlformats.org/officeDocument/2006/relationships/hyperlink" Target="https://arxiv.org/abs/1611.02163" TargetMode="External"/><Relationship Id="rId83" Type="http://schemas.openxmlformats.org/officeDocument/2006/relationships/hyperlink" Target="https://arxiv.org/abs/2211.01910" TargetMode="External"/><Relationship Id="rId89" Type="http://schemas.openxmlformats.org/officeDocument/2006/relationships/hyperlink" Target="https://arxiv.org/abs/2309.16797" TargetMode="External"/><Relationship Id="rId93" Type="http://schemas.openxmlformats.org/officeDocument/2006/relationships/hyperlink" Target="https://arxiv.org/abs/2406.07496" TargetMode="External"/><Relationship Id="rId119" Type="http://schemas.openxmlformats.org/officeDocument/2006/relationships/hyperlink" Target="https://arxiv.org/abs/2410.12954" TargetMode="External"/><Relationship Id="rId127" Type="http://schemas.openxmlformats.org/officeDocument/2006/relationships/hyperlink" Target="https://arxiv.org/abs/2412.18645" TargetMode="External"/><Relationship Id="rId123" Type="http://schemas.openxmlformats.org/officeDocument/2006/relationships/hyperlink" Target="https://arxiv.org/abs/2502.15654" TargetMode="External"/><Relationship Id="rId105" Type="http://schemas.openxmlformats.org/officeDocument/2006/relationships/hyperlink" Target="https://arxiv.org/abs/2507.19457" TargetMode="External"/><Relationship Id="rId115" Type="http://schemas.openxmlformats.org/officeDocument/2006/relationships/hyperlink" Target="https://arxiv.org/abs/2509.23252" TargetMode="External"/><Relationship Id="rId113" Type="http://schemas.openxmlformats.org/officeDocument/2006/relationships/hyperlink" Target="https://arxiv.org/abs/2510.01171" TargetMode="External"/><Relationship Id="rId109" Type="http://schemas.openxmlformats.org/officeDocument/2006/relationships/hyperlink" Target="https://arxiv.org/abs/2510.06538" TargetMode="External"/><Relationship Id="rId111" Type="http://schemas.openxmlformats.org/officeDocument/2006/relationships/hyperlink" Target="https://arxiv.org/abs/2510.12697" TargetMode="External"/><Relationship Id="rId121" Type="http://schemas.openxmlformats.org/officeDocument/2006/relationships/hyperlink" Target="https://arxiv.org/abs/2511.01490" TargetMode="External"/><Relationship Id="rId75" Type="http://schemas.openxmlformats.org/officeDocument/2006/relationships/hyperlink" Target="https://dl.acm.org/doi/abs/10.1145/3477495.3531863" TargetMode="External"/><Relationship Id="rId55" Type="http://schemas.openxmlformats.org/officeDocument/2006/relationships/hyperlink" Target="https://github.com/ApartsinProjects/PromptForge" TargetMode="External"/><Relationship Id="rId61" Type="http://schemas.openxmlformats.org/officeDocument/2006/relationships/hyperlink" Target="https://openaccess.thecvf.com/content_CVPR_2019/html/Mao_Mode_Seeking_Generative_Adversarial_Networks_for_Diverse_Image_Synthesis_CVPR_2019_paper.html" TargetMode="External"/><Relationship Id="rId97" Type="http://schemas.openxmlformats.org/officeDocument/2006/relationships/hyperlink" Target="https://openreview.net/forum?id=1PL1NIMMrw" TargetMode="External"/><Relationship Id="rId85" Type="http://schemas.openxmlformats.org/officeDocument/2006/relationships/hyperlink" Target="https://openreview.net/forum?id=Bb4VGOWELI" TargetMode="External"/><Relationship Id="rId117" Type="http://schemas.openxmlformats.org/officeDocument/2006/relationships/hyperlink" Target="https://openreview.net/forum?id=GnLAFEzZsj" TargetMode="External"/><Relationship Id="rId107" Type="http://schemas.openxmlformats.org/officeDocument/2006/relationships/hyperlink" Target="https://openreview.net/forum?id=HGCk5aaSvE" TargetMode="External"/><Relationship Id="rId125" Type="http://schemas.openxmlformats.org/officeDocument/2006/relationships/hyperlink" Target="https://openreview.net/forum?id=IBnCO8gtLA" TargetMode="External"/><Relationship Id="rId87" Type="http://schemas.openxmlformats.org/officeDocument/2006/relationships/hyperlink" Target="https://openreview.net/forum?id=ZG3RaNIsO8" TargetMode="External"/><Relationship Id="rId91" Type="http://schemas.openxmlformats.org/officeDocument/2006/relationships/hyperlink" Target="https://openreview.net/forum?id=sY5N0zY5Od" TargetMode="External"/><Relationship Id="rId67" Type="http://schemas.openxmlformats.org/officeDocument/2006/relationships/hyperlink" Target="https://openreview.net/forum?id=uccHPGDlao" TargetMode="External"/><Relationship Id="rId103" Type="http://schemas.openxmlformats.org/officeDocument/2006/relationships/hyperlink" Target="https://proceedings.mlr.press/v119/naeem20a.html" TargetMode="External"/><Relationship Id="rId71" Type="http://schemas.openxmlformats.org/officeDocument/2006/relationships/hyperlink" Target="https://proceedings.mlr.press/v70/arjovsky17a.html" TargetMode="External"/><Relationship Id="rId99" Type="http://schemas.openxmlformats.org/officeDocument/2006/relationships/hyperlink" Target="https://proceedings.neurips.cc/paper/2017/hash/8a1d694707eb0fefe65871369074926d-Abstract.html" TargetMode="External"/><Relationship Id="rId57" Type="http://schemas.openxmlformats.org/officeDocument/2006/relationships/hyperlink" Target="https://proceedings.neurips.cc/paper/2018/hash/288cc0ff022877bd3df94bc9360b9c5d-Abstract.html" TargetMode="External"/><Relationship Id="rId101" Type="http://schemas.openxmlformats.org/officeDocument/2006/relationships/hyperlink" Target="https://proceedings.neurips.cc/paper/2018/hash/f7696a9b362ac5a51c3dc8f098b73923-Abstract.html" TargetMode="External"/><Relationship Id="rId77" Type="http://schemas.openxmlformats.org/officeDocument/2006/relationships/hyperlink" Target="https://proceedings.neurips.cc/paper_files/paper/2022/hash/0346c148ba1c21c6b4780a961ea141dc-Abstract-Conference.html" TargetMode="External"/><Relationship Id="rId73"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2026-06-01T08:14:35Z</dcterms:created>
  <dcterms:modified xsi:type="dcterms:W3CDTF">2026-06-01T08:14:35Z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