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p>
      <w:pPr>
        <w:pStyle w:val="FirstParagraph"/>
        <w:jc w:val="both"/>
        <w:keepNext w:val="0"/>
        <w:keepLines w:val="0"/>
        <w:widowControl w:val="1"/>
      </w:pPr>
      <w:hyperlink r:id="rId9">
        <w:r>
          <w:rPr>
            <w:rStyle w:val="Hyperlink"/>
          </w:rPr>
          <w:t xml:space="preserve">.docx</w:t>
        </w:r>
      </w:hyperlink>
    </w:p>
    <w:bookmarkStart w:id="10" w:name="X3c3319ed218187af625634b911eeefc8cbe4094"/>
    <w:p>
      <w:pPr>
        <w:pStyle w:val="Title"/>
        <w:spacing w:before="0" w:after="160"/>
        <w:jc w:val="center"/>
        <w:keepNext/>
        <w:keepLines/>
        <w:widowControl w:val="1"/>
      </w:pPr>
      <w:r>
        <w:t xml:space="preserve">It Depends on the Classifier: GAN-Style Adversaries in LLM Prompt Debugging Are Penalised by a TF-IDF Reader and Tolerated by a Sentence-Transformer Reader</w:t>
      </w:r>
    </w:p>
    <w:p>
      <w:pPr>
        <w:pStyle w:val="Subtitle"/>
        <w:spacing w:before="0" w:after="40"/>
        <w:jc w:val="center"/>
        <w:keepNext/>
        <w:keepLines/>
        <w:widowControl w:val="1"/>
      </w:pPr>
      <w:r>
        <w:t xml:space="preserve">We adapt four GAN mode-collapse defenses (PacGAN, MSGAN, ban-list, density-ratio coverage) into a multi-critic LLM prompt-debugging loop. The seven-critic loop scores 0.18 macro F1 below a three-critic baseline when the downstream classifier is TF-IDF word features (directional 3/3 seeds; 95% bootstrap CI excludes zero; underpowered paired t p=0.09 at N=3). The gap disappears when the downstream classifier is a sentence-transformer (mean diff +0.04; CI [-0.07, 0.18] includes zero; not significant). We document this representation-dependent reading of the diversity-utility tradeoff and the post-hoc adversary audit protocol that makes it measurable.</w:t>
      </w:r>
    </w:p>
    <w:p>
      <w:pPr>
        <w:pStyle w:val="Subtitle"/>
        <w:spacing w:before="0" w:after="160"/>
        <w:jc w:val="center"/>
        <w:keepNext w:val="0"/>
        <w:keepLines/>
        <w:widowControl w:val="1"/>
      </w:pPr>
      <w:r>
        <w:rPr>
          <w:b/>
          <w:bCs/>
          <w:sz w:val="20"/>
        </w:rPr>
        <w:t xml:space="preserve">Alexander Apartsin</w:t>
      </w:r>
      <w:r>
        <w:rPr>
          <w:sz w:val="20"/>
          <w:vertAlign w:val="superscript"/>
        </w:rPr>
        <w:t xml:space="preserve">1</w:t>
      </w:r>
      <w:r>
        <w:rPr>
          <w:sz w:val="20"/>
        </w:rPr>
        <w:t xml:space="preserve"> </w:t>
      </w:r>
      <w:r>
        <w:rPr>
          <w:sz w:val="20"/>
        </w:rPr>
        <w:t xml:space="preserve"> </w:t>
      </w:r>
      <w:r>
        <w:rPr>
          <w:sz w:val="20"/>
        </w:rPr>
        <w:t xml:space="preserve"> </w:t>
      </w:r>
      <w:r>
        <w:rPr>
          <w:b/>
          <w:bCs/>
          <w:sz w:val="20"/>
        </w:rPr>
        <w:t xml:space="preserve">Yehudit Aperstein</w:t>
      </w:r>
      <w:r>
        <w:rPr>
          <w:sz w:val="20"/>
          <w:vertAlign w:val="superscript"/>
        </w:rPr>
        <w:t xml:space="preserve">2</w:t>
      </w:r>
    </w:p>
    <w:p>
      <w:pPr>
        <w:pStyle w:val="BodyText"/>
        <w:jc w:val="both"/>
        <w:keepNext w:val="0"/>
        <w:keepLines w:val="0"/>
        <w:widowControl w:val="1"/>
      </w:pPr>
      <w:r>
        <w:rPr>
          <w:vertAlign w:val="superscript"/>
        </w:rPr>
        <w:t xml:space="preserve">1</w:t>
      </w:r>
      <w:r>
        <w:t xml:space="preserve">Holon Institute of Technology, Israel  </w:t>
      </w:r>
      <w:r>
        <w:t xml:space="preserve"> </w:t>
      </w:r>
      <w:r>
        <w:rPr>
          <w:vertAlign w:val="superscript"/>
        </w:rPr>
        <w:t xml:space="preserve">2</w:t>
      </w:r>
      <w:r>
        <w:t xml:space="preserve">Afeka College of Engineering, Israel</w:t>
      </w:r>
    </w:p>
    <w:p>
      <w:pPr>
        <w:pStyle w:val="BodyText"/>
        <w:jc w:val="both"/>
        <w:keepNext w:val="0"/>
        <w:keepLines w:val="0"/>
        <w:widowControl w:val="1"/>
      </w:pPr>
      <w:r>
        <w:t xml:space="preserve">v0.6 · 2026</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The diversity vs utility tradeoff in LLM-generated synthetic data is widely understood as a single-axis question: more variety, harder to classify. We show that whether that intuition holds depends on the capacity of the downstream classifier used to read the data. We adapt four classical GAN mode-collapse defenses (PacGAN, MSGAN, ban-list training, density-ratio coverage) into a multi-critic prompt-debugging loop combining them with three baseline LLM critics (attribute verifier, per-sample realism discriminator, diversity auditor), giving us a 3-critic baseline and a 7-critic loop that share the same harness and the same generator (</w:t>
      </w:r>
      <w:r>
        <w:rPr>
          <w:rStyle w:val="VerbatimChar"/>
        </w:rPr>
        <w:t xml:space="preserve">gpt-4o-mini</w:t>
      </w:r>
      <w:r>
        <w:t xml:space="preserve">).</w:t>
      </w:r>
    </w:p>
    <w:p>
      <w:pPr>
        <w:pStyle w:val="BodyText"/>
        <w:jc w:val="both"/>
        <w:keepNext w:val="0"/>
        <w:keepLines w:val="0"/>
        <w:widowControl w:val="1"/>
      </w:pPr>
      <w:r>
        <w:t xml:space="preserve">Across 3 random seeds on a customer-support intent classification task, the gap between the 3-critic and 7-critic loops is mediated by the downstream classifier (Section 7). With TF-IDF word features and logistic regression, the 3-critic loop achieves macro F1</w:t>
      </w:r>
      <w:r>
        <w:t xml:space="preserve"> </w:t>
      </w:r>
      <w:r>
        <w:rPr>
          <w:b/>
          <w:bCs/>
        </w:rPr>
        <w:t xml:space="preserve">0.58 ± 0.05</w:t>
      </w:r>
      <w:r>
        <w:t xml:space="preserve"> </w:t>
      </w:r>
      <w:r>
        <w:t xml:space="preserve">on the held-out real test set; adding the 4 GAN-style adversaries drops F1 to</w:t>
      </w:r>
      <w:r>
        <w:t xml:space="preserve"> </w:t>
      </w:r>
      <w:r>
        <w:rPr>
          <w:b/>
          <w:bCs/>
        </w:rPr>
        <w:t xml:space="preserve">0.40 ± 0.06</w:t>
      </w:r>
      <w:r>
        <w:t xml:space="preserve"> </w:t>
      </w:r>
      <w:r>
        <w:t xml:space="preserve">(mean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conventional paired-t</w:t>
      </w:r>
      <w:r>
        <w:t xml:space="preserve"> </w:t>
      </w:r>
      <m:oMath>
        <m:r>
          <m:t>p</m:t>
        </m:r>
        <m:r>
          <m:rPr>
            <m:sty m:val="p"/>
          </m:rPr>
          <m:t>=</m:t>
        </m:r>
        <m:r>
          <m:t>0.09</m:t>
        </m:r>
      </m:oMath>
      <w:r>
        <w:t xml:space="preserve"> </w:t>
      </w:r>
      <w:r>
        <w:t xml:space="preserve">and Wilcoxon</w:t>
      </w:r>
      <w:r>
        <w:t xml:space="preserve"> </w:t>
      </w:r>
      <m:oMath>
        <m:r>
          <m:t>p</m:t>
        </m:r>
        <m:r>
          <m:rPr>
            <m:sty m:val="p"/>
          </m:rPr>
          <m:t>=</m:t>
        </m:r>
        <m:r>
          <m:t>0.25</m:t>
        </m:r>
      </m:oMath>
      <w:r>
        <w:t xml:space="preserve"> </w:t>
      </w:r>
      <w:r>
        <w:t xml:space="preserve">at</w:t>
      </w:r>
      <w:r>
        <w:t xml:space="preserve"> </w:t>
      </w:r>
      <m:oMath>
        <m:r>
          <m:t>N</m:t>
        </m:r>
        <m:r>
          <m:rPr>
            <m:sty m:val="p"/>
          </m:rPr>
          <m:t>=</m:t>
        </m:r>
        <m:r>
          <m:t>3</m:t>
        </m:r>
      </m:oMath>
      <w:r>
        <w:t xml:space="preserve">). All three seeds show the gap in the same direction.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 paired-t</w:t>
      </w:r>
      <w:r>
        <w:t xml:space="preserve"> </w:t>
      </w:r>
      <m:oMath>
        <m:r>
          <m:t>p</m:t>
        </m:r>
        <m:r>
          <m:rPr>
            <m:sty m:val="p"/>
          </m:rPr>
          <m:t>=</m:t>
        </m:r>
        <m:r>
          <m:t>0.66</m:t>
        </m:r>
      </m:oMath>
      <w:r>
        <w:t xml:space="preserve">, Wilcoxon</w:t>
      </w:r>
      <w:r>
        <w:t xml:space="preserve"> </w:t>
      </w:r>
      <m:oMath>
        <m:r>
          <m:t>p</m:t>
        </m:r>
        <m:r>
          <m:rPr>
            <m:sty m:val="p"/>
          </m:rPr>
          <m:t>=</m:t>
        </m:r>
        <m:r>
          <m:t>0.75</m:t>
        </m:r>
      </m:oMath>
      <w:r>
        <w:t xml:space="preserve">) is statistically indistinguishable from zero. The honest reading is that the 7-critic loop carries a measurable cost under a keyword-driven downstream reader and a cost that disappears under an embedding-based reader:</w:t>
      </w:r>
      <w:r>
        <w:t xml:space="preserve"> </w:t>
      </w:r>
      <w:r>
        <w:rPr>
          <w:i/>
          <w:iCs/>
        </w:rPr>
        <w:t xml:space="preserve">the disadvantage flips into a tie, not a reversal</w:t>
      </w:r>
      <w:r>
        <w:t xml:space="preserve">.</w:t>
      </w:r>
    </w:p>
    <w:p>
      <w:pPr>
        <w:pStyle w:val="BodyText"/>
        <w:jc w:val="both"/>
        <w:keepNext w:val="0"/>
        <w:keepLines w:val="0"/>
        <w:widowControl w:val="1"/>
      </w:pPr>
      <w:r>
        <w:t xml:space="preserve">Beyond this main result we release: (i) an open-source seven-critic harness with a single-flag-per-critic ablation contract; (ii) a</w:t>
      </w:r>
      <w:r>
        <w:t xml:space="preserve"> </w:t>
      </w:r>
      <w:r>
        <w:rPr>
          <w:i/>
          <w:iCs/>
        </w:rPr>
        <w:t xml:space="preserve">post-hoc adversary audit</w:t>
      </w:r>
      <w:r>
        <w:t xml:space="preserve"> </w:t>
      </w:r>
      <w:r>
        <w:t xml:space="preserve">that re-runs every critic against every condition's final batch with re-seeded RNG and a real-vs-real null reference, breaking the tautological-firing failure mode of naive ablation tables; (iii) a complaint-grammar contract that lets future work add new critics without breaking the protocol; (iv) two honest negative findings (loop-internal realism discriminator drifts</w:t>
      </w:r>
      <w:r>
        <w:t xml:space="preserve"> </w:t>
      </w:r>
      <w:r>
        <w:rPr>
          <w:i/>
          <w:iCs/>
        </w:rPr>
        <w:t xml:space="preserve">away</w:t>
      </w:r>
      <w:r>
        <w:t xml:space="preserve"> </w:t>
      </w:r>
      <w:r>
        <w:t xml:space="preserve">from chance under iteration; the Coverage Hole Finder's density-ratio classifier remains at AUROC</w:t>
      </w:r>
      <w:r>
        <w:t xml:space="preserve"> </w:t>
      </w:r>
      <m:oMath>
        <m:r>
          <m:t>1.00</m:t>
        </m:r>
      </m:oMath>
      <w:r>
        <w:t xml:space="preserve"> </w:t>
      </w:r>
      <w:r>
        <w:t xml:space="preserve">across all conditions); and (v) per-iteration on-disk manifests sufficient for byte-for-byte reproduction.</w:t>
      </w:r>
    </w:p>
    <w:bookmarkEnd w:id="11"/>
    <w:bookmarkStart w:id="12"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2"/>
    <w:bookmarkStart w:id="13"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rPr>
          <w:b/>
          <w:bCs/>
        </w:rPr>
        <w:t xml:space="preserve">A multi-objective prompt-debugging framework</w:t>
      </w:r>
      <w:r>
        <w:t xml:space="preserve"> </w:t>
      </w:r>
      <w:r>
        <w:t xml:space="preserve">with structured named-complaint feedback, length-budgeted rewrites, and ablation flags per critic (Section 4).</w:t>
      </w:r>
    </w:p>
    <w:p>
      <w:pPr>
        <w:pStyle w:val="Compact"/>
        <w:numPr>
          <w:ilvl w:val="0"/>
          <w:numId w:val="1002"/>
        </w:numPr>
        <w:jc w:val="both"/>
        <w:keepNext w:val="0"/>
        <w:keepLines w:val="0"/>
        <w:widowControl w:val="1"/>
      </w:pPr>
      <w:r>
        <w:rPr>
          <w:b/>
          <w:bCs/>
        </w:rPr>
        <w:t xml:space="preserve">Four GAN-inspired mode-collapse adversaries</w:t>
      </w:r>
      <w:r>
        <w:t xml:space="preserve"> </w:t>
      </w:r>
      <w:r>
        <w:t xml:space="preserve">adapted to the prompt-debugging setting: Pack Discriminator (PacGAN analog), Mode-Seeking ratio (MSGAN analog), Mode Hunter with persistent banned-phrasing memory, and Coverage Hole Finder via density-ratio estimation (Section 5).</w:t>
      </w:r>
    </w:p>
    <w:p>
      <w:pPr>
        <w:pStyle w:val="Compact"/>
        <w:numPr>
          <w:ilvl w:val="0"/>
          <w:numId w:val="1002"/>
        </w:numPr>
        <w:jc w:val="both"/>
        <w:keepNext w:val="0"/>
        <w:keepLines w:val="0"/>
        <w:widowControl w:val="1"/>
      </w:pPr>
      <w:r>
        <w:rPr>
          <w:b/>
          <w:bCs/>
        </w:rPr>
        <w:t xml:space="preserve">A post-hoc adversary audit protocol</w:t>
      </w:r>
      <w:r>
        <w:t xml:space="preserve"> </w:t>
      </w:r>
      <w:r>
        <w:t xml:space="preserve">that runs every critic on every condition's final batch with re-seeded RNG and a real-vs-real null reference, breaking the tautological-firing failure mode of naive ablations (Section 8).</w:t>
      </w:r>
    </w:p>
    <w:p>
      <w:pPr>
        <w:pStyle w:val="Compact"/>
        <w:numPr>
          <w:ilvl w:val="0"/>
          <w:numId w:val="1002"/>
        </w:numPr>
        <w:jc w:val="both"/>
        <w:keepNext w:val="0"/>
        <w:keepLines w:val="0"/>
        <w:widowControl w:val="1"/>
      </w:pPr>
      <w:r>
        <w:rPr>
          <w:b/>
          <w:bCs/>
        </w:rPr>
        <w:t xml:space="preserve">A representation-dependent diversity-utility tradeoff</w:t>
      </w:r>
      <w:r>
        <w:t xml:space="preserve"> </w:t>
      </w:r>
      <w:r>
        <w:t xml:space="preserve">as the main empirical finding (Section 7): the same synthetic-data batches yield opposite condition rankings under TF-IDF vs sentence-transformer downstream classifiers. With TF-IDF, the 7-critic loop drops macro F1 by 0.18 over the 3-critic loop; with sentence-transformer embeddings, the 7-critic loop produces the best F1 of all conditions. We argue this is the right baseline for train-on-synth / test-on-real reporting: multi-classifier evaluation, not single-classifier evaluation.</w:t>
      </w:r>
    </w:p>
    <w:p>
      <w:pPr>
        <w:pStyle w:val="Compact"/>
        <w:numPr>
          <w:ilvl w:val="0"/>
          <w:numId w:val="1002"/>
        </w:numPr>
        <w:jc w:val="both"/>
        <w:keepNext w:val="0"/>
        <w:keepLines w:val="0"/>
        <w:widowControl w:val="1"/>
      </w:pPr>
      <w:r>
        <w:rPr>
          <w:b/>
          <w:bCs/>
        </w:rPr>
        <w:t xml:space="preserve">A complete open-source harness</w:t>
      </w:r>
      <w:r>
        <w:t xml:space="preserve"> </w:t>
      </w:r>
      <w:r>
        <w:t xml:space="preserve">with a downstream evaluator that ships three classifier choices by default, three backends (OpenAI, Anthropic, deterministic simulator), per-iteration on-disk manifests, and a complaint-grammar contract that lets future work add new critics without breaking the audit protocol.</w:t>
      </w:r>
    </w:p>
    <w:bookmarkEnd w:id="13"/>
    <w:bookmarkStart w:id="24" w:name="sec-related"/>
    <w:p>
      <w:pPr>
        <w:pStyle w:val="Heading2"/>
        <w:keepNext/>
        <w:keepLines/>
        <w:widowControl w:val="1"/>
      </w:pPr>
      <w:r>
        <w:t xml:space="preserve">2</w:t>
      </w:r>
      <w:r>
        <w:t xml:space="preserve">Related work</w:t>
      </w:r>
    </w:p>
    <w:bookmarkStart w:id="14"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4"/>
    <w:bookmarkStart w:id="15"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5"/>
    <w:bookmarkStart w:id="16"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6"/>
    <w:bookmarkStart w:id="17"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7"/>
    <w:bookmarkStart w:id="18"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8"/>
    <w:bookmarkStart w:id="19"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9"/>
    <w:bookmarkStart w:id="20"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20"/>
    <w:bookmarkStart w:id="21"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1"/>
    <w:bookmarkStart w:id="22"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2"/>
    <w:bookmarkStart w:id="23"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3"/>
    <w:bookmarkEnd w:id="24"/>
    <w:bookmarkStart w:id="25"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5"/>
    <w:bookmarkStart w:id="30"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6"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6"/>
    <w:bookmarkStart w:id="27"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7"/>
    <w:bookmarkStart w:id="28"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8"/>
    <w:bookmarkStart w:id="29"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9"/>
    <w:bookmarkEnd w:id="30"/>
    <w:bookmarkStart w:id="35"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1"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1"/>
    <w:bookmarkStart w:id="32"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2"/>
    <w:bookmarkStart w:id="33"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3"/>
    <w:bookmarkStart w:id="34"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4"/>
    <w:bookmarkEnd w:id="35"/>
    <w:bookmarkStart w:id="40" w:name="sec-experiments"/>
    <w:p>
      <w:pPr>
        <w:pStyle w:val="Heading2"/>
        <w:keepNext/>
        <w:keepLines/>
        <w:widowControl w:val="1"/>
      </w:pPr>
      <w:r>
        <w:t xml:space="preserve">6</w:t>
      </w:r>
      <w:r>
        <w:t xml:space="preserve">Experimental setup</w:t>
      </w:r>
    </w:p>
    <w:bookmarkStart w:id="36"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6"/>
    <w:bookmarkStart w:id="37"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Which backend produced which numbers</w:t>
      </w:r>
      <w:r>
        <w:t xml:space="preserve"> </w:t>
      </w: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total 21 condition-runs). The simulator backend remains in the repository as a deterministic harness validator and a CI-friendly offline mode; it is not used for headline numbers. A previous draft of this paper used simulator numbers; the present revision is the live-LLM run.</w:t>
      </w:r>
    </w:p>
    <w:bookmarkEnd w:id="37"/>
    <w:bookmarkStart w:id="38"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8"/>
    <w:bookmarkStart w:id="39"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9"/>
    <w:bookmarkEnd w:id="40"/>
    <w:bookmarkStart w:id="46" w:name="sec-results"/>
    <w:p>
      <w:pPr>
        <w:pStyle w:val="Heading2"/>
        <w:keepNext/>
        <w:keepLines/>
        <w:widowControl w:val="1"/>
      </w:pPr>
      <w:r>
        <w:t xml:space="preserve">7</w:t>
      </w:r>
      <w:r>
        <w:t xml:space="preserve">Results</w:t>
      </w:r>
    </w:p>
    <w:bookmarkStart w:id="41" w:name="Xd6ecf73e398069f412ff59b3fb4a53fba6e3980"/>
    <w:p>
      <w:pPr>
        <w:pStyle w:val="Heading3"/>
        <w:keepNext/>
        <w:keepLines/>
        <w:widowControl w:val="1"/>
      </w:pPr>
      <w:r>
        <w:t xml:space="preserve">7.1</w:t>
      </w:r>
      <w:r>
        <w:t xml:space="preserve">Headline finding: adding 4 GAN adversaries to a 3-critic loop drops downstream F1 by 0.18</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The classical three-critic loop (</w:t>
      </w:r>
      <w:r>
        <w:rPr>
          <w:rStyle w:val="VerbatimChar"/>
        </w:rPr>
        <w:t xml:space="preserve">full_classic</w:t>
      </w:r>
      <w:r>
        <w:t xml:space="preserve">) achieves the best downstream macro F1 (</w:t>
      </w:r>
      <m:oMath>
        <m:r>
          <m:t>0.58</m:t>
        </m:r>
        <m:r>
          <m:rPr>
            <m:sty m:val="p"/>
          </m:rPr>
          <m:t>±</m:t>
        </m:r>
        <m:r>
          <m:t>0.05</m:t>
        </m:r>
      </m:oMath>
      <w:r>
        <w:t xml:space="preserve">); adding the four GAN-style adversaries (</w:t>
      </w:r>
      <w:r>
        <w:rPr>
          <w:rStyle w:val="VerbatimChar"/>
        </w:rPr>
        <w:t xml:space="preserve">full_attrforge</w:t>
      </w:r>
      <w:r>
        <w:t xml:space="preserve">) drops macro F1 to</w:t>
      </w:r>
      <w:r>
        <w:t xml:space="preserve"> </w:t>
      </w:r>
      <m:oMath>
        <m:r>
          <m:t>0.40</m:t>
        </m:r>
        <m:r>
          <m:rPr>
            <m:sty m:val="p"/>
          </m:rPr>
          <m:t>±</m:t>
        </m:r>
        <m:r>
          <m:t>0.06</m:t>
        </m:r>
      </m:oMath>
      <w:r>
        <w:t xml:space="preserve">, a</w:t>
      </w:r>
      <w:r>
        <w:t xml:space="preserve"> </w:t>
      </w:r>
      <m:oMath>
        <m:r>
          <m:t>0.18</m:t>
        </m:r>
      </m:oMath>
      <w:r>
        <w:t xml:space="preserve"> </w:t>
      </w:r>
      <w:r>
        <w:t xml:space="preserve">gap that is more than three times the cross-seed standard deviation.</w:t>
      </w:r>
      <w:r>
        <w:t xml:space="preserve"> </w:t>
      </w:r>
      <w:r>
        <w:rPr>
          <w:b/>
          <w:bCs/>
        </w:rPr>
        <w:t xml:space="preserve">(ii)</w:t>
      </w:r>
      <w:r>
        <w:t xml:space="preserve"> </w:t>
      </w:r>
      <w:r>
        <w:t xml:space="preserve">The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shockingly low at</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actually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41"/>
    <w:bookmarkStart w:id="42" w:name="Xc473a98b2b9bff62d7358977afe4fab2bccf298"/>
    <w:p>
      <w:pPr>
        <w:pStyle w:val="Heading3"/>
        <w:keepNext/>
        <w:keepLines/>
        <w:widowControl w:val="1"/>
      </w:pPr>
      <w:r>
        <w:t xml:space="preserve">7.2</w:t>
      </w:r>
      <w:r>
        <w:t xml:space="preserve">The tradeoff is classifier-dependent (and reverses with sentence-transformer features)</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The ranking of full_classic vs full_attrforge reverses between TF-IDF (where the 3-critic loop wins) and sentence-transformer embeddings (where the 7-critic loop wins). The intermediate-capacity character -gram classifier sits roughly between the two.</w:t>
      </w:r>
    </w:p>
    <w:p>
      <w:pPr>
        <w:pStyle w:val="BodyText"/>
        <w:jc w:val="both"/>
        <w:keepNext w:val="0"/>
        <w:keepLines w:val="0"/>
        <w:widowControl w:val="1"/>
      </w:pPr>
      <w:r>
        <w:t xml:space="preserve">Table 2b: Multi-classifier downstream macro F1 (mean ± std across 3 seeds). Bold cells are the best per-classifier column by mean. Under TF-IDF word features the 7-critic loop is reliably below the 3-critic loop across all 3 seeds (paired-t</w:t>
      </w:r>
      <w:r>
        <w:t xml:space="preserve"> </w:t>
      </w:r>
      <m:oMath>
        <m:r>
          <m:t>p</m:t>
        </m:r>
        <m:r>
          <m:rPr>
            <m:sty m:val="p"/>
          </m:rPr>
          <m:t>=</m:t>
        </m:r>
        <m:r>
          <m:t>0.09</m:t>
        </m:r>
      </m:oMath>
      <w:r>
        <w:t xml:space="preserve">, Wilcoxon</w:t>
      </w:r>
      <w:r>
        <w:t xml:space="preserve"> </w:t>
      </w:r>
      <m:oMath>
        <m:r>
          <m:t>p</m:t>
        </m:r>
        <m:r>
          <m:rPr>
            <m:sty m:val="p"/>
          </m:rPr>
          <m:t>=</m:t>
        </m:r>
        <m:r>
          <m:t>0.25</m:t>
        </m:r>
      </m:oMath>
      <w:r>
        <w:t xml:space="preserve">,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on the diff; underpowered but directional). Under sentence-transformer features the same comparison is statistically indistinguishable from zero (paired-t</w:t>
      </w:r>
      <w:r>
        <w:t xml:space="preserve"> </w:t>
      </w:r>
      <m:oMath>
        <m:r>
          <m:t>p</m:t>
        </m:r>
        <m:r>
          <m:rPr>
            <m:sty m:val="p"/>
          </m:rPr>
          <m:t>=</m:t>
        </m:r>
        <m:r>
          <m:t>0.66</m:t>
        </m:r>
      </m:oMath>
      <w:r>
        <w:t xml:space="preserve">, Wilcoxon</w:t>
      </w:r>
      <w:r>
        <w:t xml:space="preserve"> </w:t>
      </w:r>
      <m:oMath>
        <m:r>
          <m:t>p</m:t>
        </m:r>
        <m:r>
          <m:rPr>
            <m:sty m:val="p"/>
          </m:rPr>
          <m:t>=</m:t>
        </m:r>
        <m:r>
          <m:t>0.75</m:t>
        </m:r>
      </m:oMath>
      <w:r>
        <w:t xml:space="preserve">, CI</w:t>
      </w:r>
      <w:r>
        <w:t xml:space="preserve"> </w:t>
      </w:r>
      <m:oMath>
        <m:r>
          <m:rPr>
            <m:sty m:val="p"/>
          </m:rPr>
          <m:t>[</m:t>
        </m:r>
        <m:r>
          <m:rPr>
            <m:sty m:val="p"/>
          </m:rPr>
          <m:t>−</m:t>
        </m:r>
        <m:r>
          <m:t>0.07</m:t>
        </m:r>
        <m:r>
          <m:rPr>
            <m:sty m:val="p"/>
          </m:rPr>
          <m:t>,</m:t>
        </m:r>
        <m:r>
          <m:rPr>
            <m:sty m:val="p"/>
          </m:rPr>
          <m:t>+</m:t>
        </m:r>
        <m:r>
          <m:t>0.18</m:t>
        </m:r>
        <m:r>
          <m:rPr>
            <m:sty m:val="p"/>
          </m:rPr>
          <m:t>]</m:t>
        </m:r>
      </m:oMath>
      <w:r>
        <w:t xml:space="preserve">).</w:t>
      </w:r>
    </w:p>
    <w:tbl>
      <w:tblPr>
        <w:tblStyle w:val="Table"/>
        <w:tblW w:type="pct" w:w="5000"/>
        <w:jc w:val="center"/>
        <w:tblLook w:firstRow="1" w:lastRow="0" w:firstColumn="0" w:lastColumn="0" w:noHBand="0" w:noVBand="0" w:val="0020"/>
        <w:tblCaption w:val="Table 2b: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2"/>
    <w:bookmarkStart w:id="43"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3"/>
    <w:bookmarkStart w:id="44"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4"/>
    <w:bookmarkStart w:id="45"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5"/>
    <w:bookmarkEnd w:id="46"/>
    <w:bookmarkStart w:id="47"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4"/>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7"/>
    <w:bookmarkStart w:id="54" w:name="sec-discussion"/>
    <w:p>
      <w:pPr>
        <w:pStyle w:val="Heading2"/>
        <w:keepNext/>
        <w:keepLines/>
        <w:widowControl w:val="1"/>
      </w:pPr>
      <w:r>
        <w:t xml:space="preserve">9</w:t>
      </w:r>
      <w:r>
        <w:t xml:space="preserve">Discussion</w:t>
      </w:r>
    </w:p>
    <w:bookmarkStart w:id="48"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8"/>
    <w:bookmarkStart w:id="49"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9"/>
    <w:bookmarkStart w:id="50"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50"/>
    <w:bookmarkStart w:id="51"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1"/>
    <w:bookmarkStart w:id="52"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2"/>
    <w:bookmarkStart w:id="53"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3"/>
    <w:bookmarkEnd w:id="54"/>
    <w:bookmarkStart w:id="55"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5"/>
    <w:bookmarkStart w:id="57"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56">
        <w:r>
          <w:rPr>
            <w:rStyle w:val="Hyperlink"/>
          </w:rPr>
          <w:t xml:space="preserve">github.com/ApartsinProjects/PromptForge</w:t>
        </w:r>
      </w:hyperlink>
      <w:r>
        <w:t xml:space="preserve">). Reproducing every result is one Bash invocation plus a backend flag.</w:t>
      </w:r>
    </w:p>
    <w:bookmarkEnd w:id="57"/>
    <w:bookmarkStart w:id="130"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59"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8">
        <w:r>
          <w:rPr>
            <w:rStyle w:val="Hyperlink"/>
          </w:rPr>
          <w:t xml:space="preserve">[NeurIPS]</w:t>
        </w:r>
      </w:hyperlink>
      <w:bookmarkEnd w:id="59"/>
    </w:p>
    <w:p>
      <w:pPr>
        <w:pStyle w:val="Compact"/>
        <w:numPr>
          <w:ilvl w:val="0"/>
          <w:numId w:val="1006"/>
        </w:numPr>
        <w:jc w:val="both"/>
        <w:keepNext w:val="0"/>
        <w:keepLines w:val="0"/>
        <w:widowControl w:val="1"/>
      </w:pPr>
      <w:bookmarkStart w:id="61"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60">
        <w:r>
          <w:rPr>
            <w:rStyle w:val="Hyperlink"/>
          </w:rPr>
          <w:t xml:space="preserve">[arXiv:1606.03498]</w:t>
        </w:r>
      </w:hyperlink>
      <w:bookmarkEnd w:id="61"/>
    </w:p>
    <w:p>
      <w:pPr>
        <w:pStyle w:val="Compact"/>
        <w:numPr>
          <w:ilvl w:val="0"/>
          <w:numId w:val="1006"/>
        </w:numPr>
        <w:jc w:val="both"/>
        <w:keepNext w:val="0"/>
        <w:keepLines w:val="0"/>
        <w:widowControl w:val="1"/>
      </w:pPr>
      <w:bookmarkStart w:id="63"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2">
        <w:r>
          <w:rPr>
            <w:rStyle w:val="Hyperlink"/>
          </w:rPr>
          <w:t xml:space="preserve">[CVF]</w:t>
        </w:r>
      </w:hyperlink>
      <w:bookmarkEnd w:id="63"/>
    </w:p>
    <w:p>
      <w:pPr>
        <w:pStyle w:val="Compact"/>
        <w:numPr>
          <w:ilvl w:val="0"/>
          <w:numId w:val="1006"/>
        </w:numPr>
        <w:jc w:val="both"/>
        <w:keepNext w:val="0"/>
        <w:keepLines w:val="0"/>
        <w:widowControl w:val="1"/>
      </w:pPr>
      <w:bookmarkStart w:id="65"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4">
        <w:r>
          <w:rPr>
            <w:rStyle w:val="Hyperlink"/>
          </w:rPr>
          <w:t xml:space="preserve">[ACL Anthology]</w:t>
        </w:r>
      </w:hyperlink>
      <w:bookmarkEnd w:id="65"/>
    </w:p>
    <w:p>
      <w:pPr>
        <w:pStyle w:val="Compact"/>
        <w:numPr>
          <w:ilvl w:val="0"/>
          <w:numId w:val="1006"/>
        </w:numPr>
        <w:jc w:val="both"/>
        <w:keepNext w:val="0"/>
        <w:keepLines w:val="0"/>
        <w:widowControl w:val="1"/>
      </w:pPr>
      <w:bookmarkStart w:id="67"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6">
        <w:r>
          <w:rPr>
            <w:rStyle w:val="Hyperlink"/>
          </w:rPr>
          <w:t xml:space="preserve">[ACL Anthology]</w:t>
        </w:r>
      </w:hyperlink>
      <w:bookmarkEnd w:id="67"/>
    </w:p>
    <w:p>
      <w:pPr>
        <w:pStyle w:val="Compact"/>
        <w:numPr>
          <w:ilvl w:val="0"/>
          <w:numId w:val="1006"/>
        </w:numPr>
        <w:jc w:val="both"/>
        <w:keepNext w:val="0"/>
        <w:keepLines w:val="0"/>
        <w:widowControl w:val="1"/>
      </w:pPr>
      <w:bookmarkStart w:id="69"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8">
        <w:r>
          <w:rPr>
            <w:rStyle w:val="Hyperlink"/>
          </w:rPr>
          <w:t xml:space="preserve">[OpenReview]</w:t>
        </w:r>
      </w:hyperlink>
      <w:bookmarkEnd w:id="69"/>
    </w:p>
    <w:p>
      <w:pPr>
        <w:pStyle w:val="Compact"/>
        <w:numPr>
          <w:ilvl w:val="0"/>
          <w:numId w:val="1006"/>
        </w:numPr>
        <w:jc w:val="both"/>
        <w:keepNext w:val="0"/>
        <w:keepLines w:val="0"/>
        <w:widowControl w:val="1"/>
      </w:pPr>
      <w:bookmarkStart w:id="71"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70">
        <w:r>
          <w:rPr>
            <w:rStyle w:val="Hyperlink"/>
          </w:rPr>
          <w:t xml:space="preserve">[arXiv:1611.02163]</w:t>
        </w:r>
      </w:hyperlink>
      <w:bookmarkEnd w:id="71"/>
    </w:p>
    <w:p>
      <w:pPr>
        <w:pStyle w:val="Compact"/>
        <w:numPr>
          <w:ilvl w:val="0"/>
          <w:numId w:val="1006"/>
        </w:numPr>
        <w:jc w:val="both"/>
        <w:keepNext w:val="0"/>
        <w:keepLines w:val="0"/>
        <w:widowControl w:val="1"/>
      </w:pPr>
      <w:bookmarkStart w:id="73"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2">
        <w:r>
          <w:rPr>
            <w:rStyle w:val="Hyperlink"/>
          </w:rPr>
          <w:t xml:space="preserve">[PMLR]</w:t>
        </w:r>
      </w:hyperlink>
      <w:bookmarkEnd w:id="73"/>
    </w:p>
    <w:p>
      <w:pPr>
        <w:pStyle w:val="Compact"/>
        <w:numPr>
          <w:ilvl w:val="0"/>
          <w:numId w:val="1006"/>
        </w:numPr>
        <w:jc w:val="both"/>
        <w:keepNext w:val="0"/>
        <w:keepLines w:val="0"/>
        <w:widowControl w:val="1"/>
      </w:pPr>
      <w:bookmarkStart w:id="75"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4">
        <w:r>
          <w:rPr>
            <w:rStyle w:val="Hyperlink"/>
          </w:rPr>
          <w:t xml:space="preserve">[CUP]</w:t>
        </w:r>
      </w:hyperlink>
      <w:bookmarkEnd w:id="75"/>
    </w:p>
    <w:p>
      <w:pPr>
        <w:pStyle w:val="Compact"/>
        <w:numPr>
          <w:ilvl w:val="0"/>
          <w:numId w:val="1006"/>
        </w:numPr>
        <w:jc w:val="both"/>
        <w:keepNext w:val="0"/>
        <w:keepLines w:val="0"/>
        <w:widowControl w:val="1"/>
      </w:pPr>
      <w:bookmarkStart w:id="77"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6">
        <w:r>
          <w:rPr>
            <w:rStyle w:val="Hyperlink"/>
          </w:rPr>
          <w:t xml:space="preserve">[ACM]</w:t>
        </w:r>
      </w:hyperlink>
      <w:bookmarkEnd w:id="77"/>
    </w:p>
    <w:p>
      <w:pPr>
        <w:pStyle w:val="Compact"/>
        <w:numPr>
          <w:ilvl w:val="0"/>
          <w:numId w:val="1006"/>
        </w:numPr>
        <w:jc w:val="both"/>
        <w:keepNext w:val="0"/>
        <w:keepLines w:val="0"/>
        <w:widowControl w:val="1"/>
      </w:pPr>
      <w:bookmarkStart w:id="79"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8">
        <w:r>
          <w:rPr>
            <w:rStyle w:val="Hyperlink"/>
          </w:rPr>
          <w:t xml:space="preserve">[NeurIPS]</w:t>
        </w:r>
      </w:hyperlink>
      <w:bookmarkEnd w:id="79"/>
    </w:p>
    <w:p>
      <w:pPr>
        <w:pStyle w:val="Compact"/>
        <w:numPr>
          <w:ilvl w:val="0"/>
          <w:numId w:val="1006"/>
        </w:numPr>
        <w:jc w:val="both"/>
        <w:keepNext w:val="0"/>
        <w:keepLines w:val="0"/>
        <w:widowControl w:val="1"/>
      </w:pPr>
      <w:bookmarkStart w:id="81"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80">
        <w:r>
          <w:rPr>
            <w:rStyle w:val="Hyperlink"/>
          </w:rPr>
          <w:t xml:space="preserve">[ACL Anthology]</w:t>
        </w:r>
      </w:hyperlink>
      <w:bookmarkEnd w:id="81"/>
    </w:p>
    <w:p>
      <w:pPr>
        <w:pStyle w:val="Compact"/>
        <w:numPr>
          <w:ilvl w:val="0"/>
          <w:numId w:val="1006"/>
        </w:numPr>
        <w:jc w:val="both"/>
        <w:keepNext w:val="0"/>
        <w:keepLines w:val="0"/>
        <w:widowControl w:val="1"/>
      </w:pPr>
      <w:bookmarkStart w:id="83"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2">
        <w:r>
          <w:rPr>
            <w:rStyle w:val="Hyperlink"/>
          </w:rPr>
          <w:t xml:space="preserve">[ACL Anthology]</w:t>
        </w:r>
      </w:hyperlink>
      <w:bookmarkEnd w:id="83"/>
    </w:p>
    <w:p>
      <w:pPr>
        <w:pStyle w:val="Compact"/>
        <w:numPr>
          <w:ilvl w:val="0"/>
          <w:numId w:val="1006"/>
        </w:numPr>
        <w:jc w:val="both"/>
        <w:keepNext w:val="0"/>
        <w:keepLines w:val="0"/>
        <w:widowControl w:val="1"/>
      </w:pPr>
      <w:bookmarkStart w:id="85"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4">
        <w:r>
          <w:rPr>
            <w:rStyle w:val="Hyperlink"/>
          </w:rPr>
          <w:t xml:space="preserve">[arXiv:2211.01910]</w:t>
        </w:r>
      </w:hyperlink>
      <w:bookmarkEnd w:id="85"/>
    </w:p>
    <w:p>
      <w:pPr>
        <w:pStyle w:val="Compact"/>
        <w:numPr>
          <w:ilvl w:val="0"/>
          <w:numId w:val="1006"/>
        </w:numPr>
        <w:jc w:val="both"/>
        <w:keepNext w:val="0"/>
        <w:keepLines w:val="0"/>
        <w:widowControl w:val="1"/>
      </w:pPr>
      <w:bookmarkStart w:id="87"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6">
        <w:r>
          <w:rPr>
            <w:rStyle w:val="Hyperlink"/>
          </w:rPr>
          <w:t xml:space="preserve">[OpenReview]</w:t>
        </w:r>
      </w:hyperlink>
      <w:bookmarkEnd w:id="87"/>
    </w:p>
    <w:p>
      <w:pPr>
        <w:pStyle w:val="Compact"/>
        <w:numPr>
          <w:ilvl w:val="0"/>
          <w:numId w:val="1006"/>
        </w:numPr>
        <w:jc w:val="both"/>
        <w:keepNext w:val="0"/>
        <w:keepLines w:val="0"/>
        <w:widowControl w:val="1"/>
      </w:pPr>
      <w:bookmarkStart w:id="89"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8">
        <w:r>
          <w:rPr>
            <w:rStyle w:val="Hyperlink"/>
          </w:rPr>
          <w:t xml:space="preserve">[OpenReview]</w:t>
        </w:r>
      </w:hyperlink>
      <w:bookmarkEnd w:id="89"/>
    </w:p>
    <w:p>
      <w:pPr>
        <w:pStyle w:val="Compact"/>
        <w:numPr>
          <w:ilvl w:val="0"/>
          <w:numId w:val="1006"/>
        </w:numPr>
        <w:jc w:val="both"/>
        <w:keepNext w:val="0"/>
        <w:keepLines w:val="0"/>
        <w:widowControl w:val="1"/>
      </w:pPr>
      <w:bookmarkStart w:id="91"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90">
        <w:r>
          <w:rPr>
            <w:rStyle w:val="Hyperlink"/>
          </w:rPr>
          <w:t xml:space="preserve">[arXiv]</w:t>
        </w:r>
      </w:hyperlink>
      <w:bookmarkEnd w:id="91"/>
    </w:p>
    <w:p>
      <w:pPr>
        <w:pStyle w:val="Compact"/>
        <w:numPr>
          <w:ilvl w:val="0"/>
          <w:numId w:val="1006"/>
        </w:numPr>
        <w:jc w:val="both"/>
        <w:keepNext w:val="0"/>
        <w:keepLines w:val="0"/>
        <w:widowControl w:val="1"/>
      </w:pPr>
      <w:bookmarkStart w:id="93"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2">
        <w:r>
          <w:rPr>
            <w:rStyle w:val="Hyperlink"/>
          </w:rPr>
          <w:t xml:space="preserve">[OpenReview]</w:t>
        </w:r>
      </w:hyperlink>
      <w:bookmarkEnd w:id="93"/>
    </w:p>
    <w:p>
      <w:pPr>
        <w:pStyle w:val="Compact"/>
        <w:numPr>
          <w:ilvl w:val="0"/>
          <w:numId w:val="1006"/>
        </w:numPr>
        <w:jc w:val="both"/>
        <w:keepNext w:val="0"/>
        <w:keepLines w:val="0"/>
        <w:widowControl w:val="1"/>
      </w:pPr>
      <w:bookmarkStart w:id="95"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4">
        <w:r>
          <w:rPr>
            <w:rStyle w:val="Hyperlink"/>
          </w:rPr>
          <w:t xml:space="preserve">[arXiv]</w:t>
        </w:r>
      </w:hyperlink>
      <w:bookmarkEnd w:id="95"/>
    </w:p>
    <w:p>
      <w:pPr>
        <w:pStyle w:val="Compact"/>
        <w:numPr>
          <w:ilvl w:val="0"/>
          <w:numId w:val="1006"/>
        </w:numPr>
        <w:jc w:val="both"/>
        <w:keepNext w:val="0"/>
        <w:keepLines w:val="0"/>
        <w:widowControl w:val="1"/>
      </w:pPr>
      <w:bookmarkStart w:id="97"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6">
        <w:r>
          <w:rPr>
            <w:rStyle w:val="Hyperlink"/>
          </w:rPr>
          <w:t xml:space="preserve">[ACL Anthology]</w:t>
        </w:r>
      </w:hyperlink>
      <w:bookmarkEnd w:id="97"/>
    </w:p>
    <w:p>
      <w:pPr>
        <w:pStyle w:val="Compact"/>
        <w:numPr>
          <w:ilvl w:val="0"/>
          <w:numId w:val="1006"/>
        </w:numPr>
        <w:jc w:val="both"/>
        <w:keepNext w:val="0"/>
        <w:keepLines w:val="0"/>
        <w:widowControl w:val="1"/>
      </w:pPr>
      <w:bookmarkStart w:id="99"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8">
        <w:r>
          <w:rPr>
            <w:rStyle w:val="Hyperlink"/>
          </w:rPr>
          <w:t xml:space="preserve">[OpenReview]</w:t>
        </w:r>
      </w:hyperlink>
      <w:bookmarkEnd w:id="99"/>
    </w:p>
    <w:p>
      <w:pPr>
        <w:pStyle w:val="Compact"/>
        <w:numPr>
          <w:ilvl w:val="0"/>
          <w:numId w:val="1006"/>
        </w:numPr>
        <w:jc w:val="both"/>
        <w:keepNext w:val="0"/>
        <w:keepLines w:val="0"/>
        <w:widowControl w:val="1"/>
      </w:pPr>
      <w:bookmarkStart w:id="101"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00">
        <w:r>
          <w:rPr>
            <w:rStyle w:val="Hyperlink"/>
          </w:rPr>
          <w:t xml:space="preserve">[NeurIPS]</w:t>
        </w:r>
      </w:hyperlink>
      <w:bookmarkEnd w:id="101"/>
    </w:p>
    <w:p>
      <w:pPr>
        <w:pStyle w:val="Compact"/>
        <w:numPr>
          <w:ilvl w:val="0"/>
          <w:numId w:val="1006"/>
        </w:numPr>
        <w:jc w:val="both"/>
        <w:keepNext w:val="0"/>
        <w:keepLines w:val="0"/>
        <w:widowControl w:val="1"/>
      </w:pPr>
      <w:bookmarkStart w:id="103"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2">
        <w:r>
          <w:rPr>
            <w:rStyle w:val="Hyperlink"/>
          </w:rPr>
          <w:t xml:space="preserve">[NeurIPS]</w:t>
        </w:r>
      </w:hyperlink>
      <w:bookmarkEnd w:id="103"/>
    </w:p>
    <w:p>
      <w:pPr>
        <w:pStyle w:val="Compact"/>
        <w:numPr>
          <w:ilvl w:val="0"/>
          <w:numId w:val="1006"/>
        </w:numPr>
        <w:jc w:val="both"/>
        <w:keepNext w:val="0"/>
        <w:keepLines w:val="0"/>
        <w:widowControl w:val="1"/>
      </w:pPr>
      <w:bookmarkStart w:id="105"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4">
        <w:r>
          <w:rPr>
            <w:rStyle w:val="Hyperlink"/>
          </w:rPr>
          <w:t xml:space="preserve">[PMLR]</w:t>
        </w:r>
      </w:hyperlink>
      <w:bookmarkEnd w:id="105"/>
    </w:p>
    <w:p>
      <w:pPr>
        <w:pStyle w:val="Compact"/>
        <w:numPr>
          <w:ilvl w:val="0"/>
          <w:numId w:val="1006"/>
        </w:numPr>
        <w:jc w:val="both"/>
        <w:keepNext w:val="0"/>
        <w:keepLines w:val="0"/>
        <w:widowControl w:val="1"/>
      </w:pPr>
      <w:bookmarkStart w:id="107"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6">
        <w:r>
          <w:rPr>
            <w:rStyle w:val="Hyperlink"/>
          </w:rPr>
          <w:t xml:space="preserve">[arXiv]</w:t>
        </w:r>
      </w:hyperlink>
      <w:bookmarkEnd w:id="107"/>
    </w:p>
    <w:p>
      <w:pPr>
        <w:pStyle w:val="Compact"/>
        <w:numPr>
          <w:ilvl w:val="0"/>
          <w:numId w:val="1006"/>
        </w:numPr>
        <w:jc w:val="both"/>
        <w:keepNext w:val="0"/>
        <w:keepLines w:val="0"/>
        <w:widowControl w:val="1"/>
      </w:pPr>
      <w:bookmarkStart w:id="109" w:name="ref-paretoprompt"/>
      <w:r>
        <w:t xml:space="preserve">Anonymous.</w:t>
      </w:r>
      <w:r>
        <w:t xml:space="preserve"> </w:t>
      </w:r>
      <w:r>
        <w:rPr>
          <w:i/>
          <w:iCs/>
        </w:rPr>
        <w:t xml:space="preserve">Pareto prompt optimization.</w:t>
      </w:r>
      <w:r>
        <w:t xml:space="preserve"> </w:t>
      </w:r>
      <w:r>
        <w:t xml:space="preserve">ICLR, 2025.</w:t>
      </w:r>
      <w:r>
        <w:t xml:space="preserve"> </w:t>
      </w:r>
      <w:hyperlink r:id="rId108">
        <w:r>
          <w:rPr>
            <w:rStyle w:val="Hyperlink"/>
          </w:rPr>
          <w:t xml:space="preserve">[OpenReview]</w:t>
        </w:r>
      </w:hyperlink>
      <w:bookmarkEnd w:id="109"/>
    </w:p>
    <w:p>
      <w:pPr>
        <w:pStyle w:val="Compact"/>
        <w:numPr>
          <w:ilvl w:val="0"/>
          <w:numId w:val="1006"/>
        </w:numPr>
        <w:jc w:val="both"/>
        <w:keepNext w:val="0"/>
        <w:keepLines w:val="0"/>
        <w:widowControl w:val="1"/>
      </w:pPr>
      <w:bookmarkStart w:id="111"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10">
        <w:r>
          <w:rPr>
            <w:rStyle w:val="Hyperlink"/>
          </w:rPr>
          <w:t xml:space="preserve">[arXiv]</w:t>
        </w:r>
      </w:hyperlink>
      <w:bookmarkEnd w:id="111"/>
    </w:p>
    <w:p>
      <w:pPr>
        <w:pStyle w:val="Compact"/>
        <w:numPr>
          <w:ilvl w:val="0"/>
          <w:numId w:val="1006"/>
        </w:numPr>
        <w:jc w:val="both"/>
        <w:keepNext w:val="0"/>
        <w:keepLines w:val="0"/>
        <w:widowControl w:val="1"/>
      </w:pPr>
      <w:bookmarkStart w:id="113"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2">
        <w:r>
          <w:rPr>
            <w:rStyle w:val="Hyperlink"/>
          </w:rPr>
          <w:t xml:space="preserve">[arXiv]</w:t>
        </w:r>
      </w:hyperlink>
      <w:bookmarkEnd w:id="113"/>
    </w:p>
    <w:p>
      <w:pPr>
        <w:pStyle w:val="Compact"/>
        <w:numPr>
          <w:ilvl w:val="0"/>
          <w:numId w:val="1006"/>
        </w:numPr>
        <w:jc w:val="both"/>
        <w:keepNext w:val="0"/>
        <w:keepLines w:val="0"/>
        <w:widowControl w:val="1"/>
      </w:pPr>
      <w:bookmarkStart w:id="115"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4">
        <w:r>
          <w:rPr>
            <w:rStyle w:val="Hyperlink"/>
          </w:rPr>
          <w:t xml:space="preserve">[arXiv]</w:t>
        </w:r>
      </w:hyperlink>
      <w:bookmarkEnd w:id="115"/>
    </w:p>
    <w:p>
      <w:pPr>
        <w:pStyle w:val="Compact"/>
        <w:numPr>
          <w:ilvl w:val="0"/>
          <w:numId w:val="1006"/>
        </w:numPr>
        <w:jc w:val="both"/>
        <w:keepNext w:val="0"/>
        <w:keepLines w:val="0"/>
        <w:widowControl w:val="1"/>
      </w:pPr>
      <w:bookmarkStart w:id="117"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6">
        <w:r>
          <w:rPr>
            <w:rStyle w:val="Hyperlink"/>
          </w:rPr>
          <w:t xml:space="preserve">[arXiv]</w:t>
        </w:r>
      </w:hyperlink>
      <w:bookmarkEnd w:id="117"/>
    </w:p>
    <w:p>
      <w:pPr>
        <w:pStyle w:val="Compact"/>
        <w:numPr>
          <w:ilvl w:val="0"/>
          <w:numId w:val="1006"/>
        </w:numPr>
        <w:jc w:val="both"/>
        <w:keepNext w:val="0"/>
        <w:keepLines w:val="0"/>
        <w:widowControl w:val="1"/>
      </w:pPr>
      <w:bookmarkStart w:id="119" w:name="ref-strongcollapse"/>
      <w:r>
        <w:t xml:space="preserve">Anonymous.</w:t>
      </w:r>
      <w:r>
        <w:t xml:space="preserve"> </w:t>
      </w:r>
      <w:r>
        <w:rPr>
          <w:i/>
          <w:iCs/>
        </w:rPr>
        <w:t xml:space="preserve">Strong model collapse.</w:t>
      </w:r>
      <w:r>
        <w:t xml:space="preserve"> </w:t>
      </w:r>
      <w:r>
        <w:t xml:space="preserve">ICLR, 2025.</w:t>
      </w:r>
      <w:r>
        <w:t xml:space="preserve"> </w:t>
      </w:r>
      <w:hyperlink r:id="rId118">
        <w:r>
          <w:rPr>
            <w:rStyle w:val="Hyperlink"/>
          </w:rPr>
          <w:t xml:space="preserve">[ICLR 2025]</w:t>
        </w:r>
      </w:hyperlink>
      <w:bookmarkEnd w:id="119"/>
    </w:p>
    <w:p>
      <w:pPr>
        <w:pStyle w:val="Compact"/>
        <w:numPr>
          <w:ilvl w:val="0"/>
          <w:numId w:val="1006"/>
        </w:numPr>
        <w:jc w:val="both"/>
        <w:keepNext w:val="0"/>
        <w:keepLines w:val="0"/>
        <w:widowControl w:val="1"/>
      </w:pPr>
      <w:bookmarkStart w:id="121"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20">
        <w:r>
          <w:rPr>
            <w:rStyle w:val="Hyperlink"/>
          </w:rPr>
          <w:t xml:space="preserve">[arXiv]</w:t>
        </w:r>
      </w:hyperlink>
      <w:bookmarkEnd w:id="121"/>
    </w:p>
    <w:p>
      <w:pPr>
        <w:pStyle w:val="Compact"/>
        <w:numPr>
          <w:ilvl w:val="0"/>
          <w:numId w:val="1006"/>
        </w:numPr>
        <w:jc w:val="both"/>
        <w:keepNext w:val="0"/>
        <w:keepLines w:val="0"/>
        <w:widowControl w:val="1"/>
      </w:pPr>
      <w:bookmarkStart w:id="123"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2">
        <w:r>
          <w:rPr>
            <w:rStyle w:val="Hyperlink"/>
          </w:rPr>
          <w:t xml:space="preserve">[arXiv]</w:t>
        </w:r>
      </w:hyperlink>
      <w:bookmarkEnd w:id="123"/>
    </w:p>
    <w:p>
      <w:pPr>
        <w:pStyle w:val="Compact"/>
        <w:numPr>
          <w:ilvl w:val="0"/>
          <w:numId w:val="1006"/>
        </w:numPr>
        <w:jc w:val="both"/>
        <w:keepNext w:val="0"/>
        <w:keepLines w:val="0"/>
        <w:widowControl w:val="1"/>
      </w:pPr>
      <w:bookmarkStart w:id="125"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4">
        <w:r>
          <w:rPr>
            <w:rStyle w:val="Hyperlink"/>
          </w:rPr>
          <w:t xml:space="preserve">[arXiv]</w:t>
        </w:r>
      </w:hyperlink>
      <w:bookmarkEnd w:id="125"/>
    </w:p>
    <w:p>
      <w:pPr>
        <w:pStyle w:val="Compact"/>
        <w:numPr>
          <w:ilvl w:val="0"/>
          <w:numId w:val="1006"/>
        </w:numPr>
        <w:jc w:val="both"/>
        <w:keepNext w:val="0"/>
        <w:keepLines w:val="0"/>
        <w:widowControl w:val="1"/>
      </w:pPr>
      <w:bookmarkStart w:id="127"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6">
        <w:r>
          <w:rPr>
            <w:rStyle w:val="Hyperlink"/>
          </w:rPr>
          <w:t xml:space="preserve">[OpenReview]</w:t>
        </w:r>
      </w:hyperlink>
      <w:bookmarkEnd w:id="127"/>
    </w:p>
    <w:p>
      <w:pPr>
        <w:pStyle w:val="Compact"/>
        <w:numPr>
          <w:ilvl w:val="0"/>
          <w:numId w:val="1006"/>
        </w:numPr>
        <w:jc w:val="both"/>
        <w:keepNext w:val="0"/>
        <w:keepLines w:val="0"/>
        <w:widowControl w:val="1"/>
      </w:pPr>
      <w:bookmarkStart w:id="129"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8">
        <w:r>
          <w:rPr>
            <w:rStyle w:val="Hyperlink"/>
          </w:rPr>
          <w:t xml:space="preserve">[arXiv]</w:t>
        </w:r>
      </w:hyperlink>
      <w:bookmarkEnd w:id="129"/>
    </w:p>
    <w:bookmarkEnd w:id="130"/>
    <w:bookmarkStart w:id="131"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@misc{apartsin2026attrforge,</w:t>
      </w:r>
      <w:r>
        <w:br/>
      </w:r>
      <w:r>
        <w:rPr>
          <w:rStyle w:val="VerbatimChar"/>
        </w:rPr>
        <w:t xml:space="preserve">  title  = {More Critics, Worse Data? {GAN}-Style Adversaries Expose a</w:t>
      </w:r>
      <w:r>
        <w:br/>
      </w:r>
      <w:r>
        <w:rPr>
          <w:rStyle w:val="VerbatimChar"/>
        </w:rPr>
        <w:t xml:space="preserve">            Diversity-Discriminability Tradeoff in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{Research preview,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6">
        <w:r>
          <w:rPr>
            <w:rStyle w:val="Hyperlink"/>
          </w:rPr>
          <w:t xml:space="preserve">github.com/ApartsinProjects/PromptForge</w:t>
        </w:r>
      </w:hyperlink>
      <w:r>
        <w:t xml:space="preserve">.</w:t>
      </w:r>
      <w:r>
        <w:t xml:space="preserve"> </w:t>
      </w:r>
      <w:r>
        <w:t xml:space="preserve">Word version:</w:t>
      </w:r>
      <w:r>
        <w:t xml:space="preserve"> </w:t>
      </w:r>
      <w:hyperlink r:id="rId9">
        <w:r>
          <w:rPr>
            <w:rStyle w:val="Hyperlink"/>
          </w:rPr>
          <w:t xml:space="preserve">attrforge.docx</w:t>
        </w:r>
      </w:hyperlink>
      <w:r>
        <w:t xml:space="preserve">.</w:t>
      </w:r>
    </w:p>
    <w:bookmarkEnd w:id="13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description>We adapt four GAN mode-collapse defenses (PacGAN, MSGAN, ban-list, density-ratio coverage) into a multi-critic LLM prompt-debugging loop and document a diversity-discriminability tradeoff: adding the 4 GAN-style adversaries to a 3-critic baseline drops downstream macro F1 by 0.18 while measurably increasing surface diversity.</dc:description>
  <dc:language>en</dc:language>
  <cp:keywords/>
  <dcterms:created xsi:type="dcterms:W3CDTF">2026-06-01T08:07:33Z</dcterms:created>
  <dcterms:modified xsi:type="dcterms:W3CDTF">2026-06-01T08:07:33Z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figures/architecture.png</vt:lpwstr>
  </property>
  <property fmtid="{D5CDD505-2E9C-101B-9397-08002B2CF9AE}" pid="4" name="twitter:title">
    <vt:lpwstr>More Critics, Worse Data?</vt:lpwstr>
  </property>
  <property fmtid="{D5CDD505-2E9C-101B-9397-08002B2CF9AE}" pid="5" name="viewport">
    <vt:lpwstr>width=device-width, initial-scale=1</vt:lpwstr>
  </property>
</Properties>
</file>