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p>
      <w:pPr>
        <w:pStyle w:val="FirstParagraph"/>
        <w:jc w:val="both"/>
        <w:keepNext w:val="0"/>
        <w:keepLines w:val="0"/>
        <w:widowControl w:val="1"/>
      </w:pPr>
      <w:hyperlink r:id="rId9">
        <w:r>
          <w:rPr>
            <w:rStyle w:val="Hyperlink"/>
          </w:rPr>
          <w:t xml:space="preserve">.docx</w:t>
        </w:r>
      </w:hyperlink>
    </w:p>
    <w:bookmarkStart w:id="10" w:name="X2de609c4fadd600df4ff82e716e4156b1fe9cd0"/>
    <w:p>
      <w:pPr>
        <w:pStyle w:val="Title"/>
        <w:spacing w:before="0" w:after="160"/>
        <w:jc w:val="center"/>
        <w:keepNext/>
        <w:keepLines/>
        <w:widowControl w:val="1"/>
      </w:pPr>
      <w:r>
        <w:t xml:space="preserve">It Depends on the Classifier: GAN-Style Adversaries in LLM Prompt Debugging Reveal a Representation-Dependent Diversity-Utility Tradeoff</w:t>
      </w:r>
    </w:p>
    <w:p>
      <w:pPr>
        <w:pStyle w:val="Subtitle"/>
        <w:spacing w:before="0" w:after="40"/>
        <w:jc w:val="center"/>
        <w:keepNext/>
        <w:keepLines/>
        <w:widowControl w:val="1"/>
      </w:pPr>
      <w:r>
        <w:t xml:space="preserve">We adapt four GAN mode-collapse defenses (PacGAN, MSGAN, ban-list, density-ratio coverage) into a multi-critic LLM prompt-debugging loop. The seven-critic loop increases downstream macro F1 over a three-critic baseline (0.71 vs 0.67) when the downstream classifier is a sentence-transformer, but decreases it (0.40 vs 0.58) when the classifier is TF-IDF. We document this representation-dependent tradeoff and the post-hoc adversary audit protocol that makes it measurable.</w:t>
      </w:r>
    </w:p>
    <w:p>
      <w:pPr>
        <w:pStyle w:val="Subtitle"/>
        <w:spacing w:before="0" w:after="160"/>
        <w:jc w:val="center"/>
        <w:keepNext w:val="0"/>
        <w:keepLines/>
        <w:widowControl w:val="1"/>
      </w:pPr>
      <w:r>
        <w:rPr>
          <w:b/>
          <w:bCs/>
          <w:sz w:val="20"/>
        </w:rPr>
        <w:t xml:space="preserve">Alexander Apartsin</w:t>
      </w:r>
      <w:r>
        <w:rPr>
          <w:sz w:val="20"/>
          <w:vertAlign w:val="superscript"/>
        </w:rPr>
        <w:t xml:space="preserve">1</w:t>
      </w:r>
      <w:r>
        <w:rPr>
          <w:sz w:val="20"/>
        </w:rPr>
        <w:t xml:space="preserve"> </w:t>
      </w:r>
      <w:r>
        <w:rPr>
          <w:sz w:val="20"/>
        </w:rPr>
        <w:t xml:space="preserve"> </w:t>
      </w:r>
      <w:r>
        <w:rPr>
          <w:sz w:val="20"/>
        </w:rPr>
        <w:t xml:space="preserve"> </w:t>
      </w:r>
      <w:r>
        <w:rPr>
          <w:b/>
          <w:bCs/>
          <w:sz w:val="20"/>
        </w:rPr>
        <w:t xml:space="preserve">Yehudit Aperstein</w:t>
      </w:r>
      <w:r>
        <w:rPr>
          <w:sz w:val="20"/>
          <w:vertAlign w:val="superscript"/>
        </w:rPr>
        <w:t xml:space="preserve">2</w:t>
      </w:r>
    </w:p>
    <w:p>
      <w:pPr>
        <w:pStyle w:val="BodyText"/>
        <w:jc w:val="both"/>
        <w:keepNext w:val="0"/>
        <w:keepLines w:val="0"/>
        <w:widowControl w:val="1"/>
      </w:pPr>
      <w:r>
        <w:rPr>
          <w:vertAlign w:val="superscript"/>
        </w:rPr>
        <w:t xml:space="preserve">1</w:t>
      </w:r>
      <w:r>
        <w:t xml:space="preserve">Holon Institute of Technology, Israel  </w:t>
      </w:r>
      <w:r>
        <w:t xml:space="preserve"> </w:t>
      </w:r>
      <w:r>
        <w:rPr>
          <w:vertAlign w:val="superscript"/>
        </w:rPr>
        <w:t xml:space="preserve">2</w:t>
      </w:r>
      <w:r>
        <w:t xml:space="preserve">Afeka College of Engineering, Israel</w:t>
      </w:r>
    </w:p>
    <w:p>
      <w:pPr>
        <w:pStyle w:val="BodyText"/>
        <w:jc w:val="both"/>
        <w:keepNext w:val="0"/>
        <w:keepLines w:val="0"/>
        <w:widowControl w:val="1"/>
      </w:pPr>
      <w:r>
        <w:t xml:space="preserve">v0.6 · 2026</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diversity vs discriminability tradeoff in LLM-generated synthetic data is widely understood as a single-axis question: more variety, harder to classify. We show that the answer depends on the downstream classifier's representation capacity. We adapt four classical GAN mode-collapse defenses (PacGAN, MSGAN, ban-list training, and density-ratio coverage) into a multi-critic prompt-debugging loop combining them with three baseline LLM critics (attribute verifier, per-sample realism discriminator, diversity auditor), giving us a 3-critic baseline and a 7-critic loop that share the same harness and the same generator (</w:t>
      </w:r>
      <w:r>
        <w:rPr>
          <w:rStyle w:val="VerbatimChar"/>
        </w:rPr>
        <w:t xml:space="preserve">gpt-4o-mini</w:t>
      </w:r>
      <w:r>
        <w:t xml:space="preserve">).</w:t>
      </w:r>
    </w:p>
    <w:p>
      <w:pPr>
        <w:pStyle w:val="BodyText"/>
        <w:jc w:val="both"/>
        <w:keepNext w:val="0"/>
        <w:keepLines w:val="0"/>
        <w:widowControl w:val="1"/>
      </w:pPr>
      <w:r>
        <w:t xml:space="preserve">Across 3 random seeds on a customer-support intent classification task, the headline tradeoff</w:t>
      </w:r>
      <w:r>
        <w:t xml:space="preserve"> </w:t>
      </w:r>
      <w:r>
        <w:rPr>
          <w:i/>
          <w:iCs/>
        </w:rPr>
        <w:t xml:space="preserve">flips direction</w:t>
      </w:r>
      <w:r>
        <w:t xml:space="preserve"> </w:t>
      </w:r>
      <w:r>
        <w:t xml:space="preserve">depending on the downstream classifier (Section 7): with a TF-IDF + logistic-regression classifier, the 3-critic loop achieves</w:t>
      </w:r>
      <w:r>
        <w:t xml:space="preserve"> </w:t>
      </w:r>
      <w:r>
        <w:rPr>
          <w:b/>
          <w:bCs/>
        </w:rPr>
        <w:t xml:space="preserve">0.58 ± 0.05</w:t>
      </w:r>
      <w:r>
        <w:t xml:space="preserve"> </w:t>
      </w:r>
      <w:r>
        <w:t xml:space="preserve">macro F1 and adding the 4 GAN adversaries drops F1 to</w:t>
      </w:r>
      <w:r>
        <w:t xml:space="preserve"> </w:t>
      </w:r>
      <w:r>
        <w:rPr>
          <w:b/>
          <w:bCs/>
        </w:rPr>
        <w:t xml:space="preserve">0.40 ± 0.06</w:t>
      </w:r>
      <w:r>
        <w:t xml:space="preserve">; with sentence-transformer embeddings as features,</w:t>
      </w:r>
      <w:r>
        <w:t xml:space="preserve"> </w:t>
      </w:r>
      <w:r>
        <w:rPr>
          <w:b/>
          <w:bCs/>
        </w:rPr>
        <w:t xml:space="preserve">the 7-critic loop achieves the best macro F1 at 0.71 ± 0.08</w:t>
      </w:r>
      <w:r>
        <w:t xml:space="preserve"> </w:t>
      </w:r>
      <w:r>
        <w:t xml:space="preserve">while the 3-critic baseline drops to</w:t>
      </w:r>
      <w:r>
        <w:t xml:space="preserve"> </w:t>
      </w:r>
      <w:r>
        <w:rPr>
          <w:b/>
          <w:bCs/>
        </w:rPr>
        <w:t xml:space="preserve">0.67 ± 0.13</w:t>
      </w:r>
      <w:r>
        <w:t xml:space="preserve">. The gap on TF-IDF is consistent across all 3 seeds (paired diffs +0.23, +0.27, +0.07; 95% bootstrap CI [0.07, 0.27]; paired-t p=0.09, Wilcoxon p=0.25 at N=3). The two results together support our central empirical claim: adversarial prompt-debugging injects surface variation that a low-capacity classifier reads as</w:t>
      </w:r>
      <w:r>
        <w:t xml:space="preserve"> </w:t>
      </w:r>
      <w:r>
        <w:rPr>
          <w:i/>
          <w:iCs/>
        </w:rPr>
        <w:t xml:space="preserve">noise</w:t>
      </w:r>
      <w:r>
        <w:t xml:space="preserve"> </w:t>
      </w:r>
      <w:r>
        <w:t xml:space="preserve">destroying keyword consistency, but that a deeper representation reads as</w:t>
      </w:r>
      <w:r>
        <w:t xml:space="preserve"> </w:t>
      </w:r>
      <w:r>
        <w:rPr>
          <w:i/>
          <w:iCs/>
        </w:rPr>
        <w:t xml:space="preserve">data</w:t>
      </w:r>
      <w:r>
        <w:t xml:space="preserve"> </w:t>
      </w:r>
      <w:r>
        <w:t xml:space="preserve">covering more of the linguistic surface of real customer messages.</w:t>
      </w:r>
    </w:p>
    <w:p>
      <w:pPr>
        <w:pStyle w:val="BodyText"/>
        <w:jc w:val="both"/>
        <w:keepNext w:val="0"/>
        <w:keepLines w:val="0"/>
        <w:widowControl w:val="1"/>
      </w:pPr>
      <w:r>
        <w:t xml:space="preserve">Beyond this main result we release: (i) the open-source seven-critic harness with a single-flag-per-critic ablation contract; (ii) a</w:t>
      </w:r>
      <w:r>
        <w:t xml:space="preserve"> </w:t>
      </w:r>
      <w:r>
        <w:rPr>
          <w:i/>
          <w:iCs/>
        </w:rPr>
        <w:t xml:space="preserve">post-hoc adversary audit</w:t>
      </w:r>
      <w:r>
        <w:t xml:space="preserve"> </w:t>
      </w:r>
      <w:r>
        <w:t xml:space="preserve">that re-runs every critic against every condition's final batch with re-seeded RNG and a real-vs-real null reference, breaking the tautological-firing failure mode of naive ablation tables; (iii) a complaint-grammar contract that lets future work add new critics without breaking the protocol; (iv) two honest negative findings (loop-internal realism discriminator drifts</w:t>
      </w:r>
      <w:r>
        <w:t xml:space="preserve"> </w:t>
      </w:r>
      <w:r>
        <w:rPr>
          <w:i/>
          <w:iCs/>
        </w:rPr>
        <w:t xml:space="preserve">away</w:t>
      </w:r>
      <w:r>
        <w:t xml:space="preserve"> </w:t>
      </w:r>
      <w:r>
        <w:t xml:space="preserve">from chance under iteration; Coverage Hole Finder AUROC remains at 1.00 for every condition); and (v) per-iteration on-disk manifests sufficient for byte-for-byte reproduction.</w:t>
      </w:r>
    </w:p>
    <w:bookmarkEnd w:id="11"/>
    <w:bookmarkStart w:id="12"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2"/>
    <w:bookmarkStart w:id="13"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more subtle:</w:t>
      </w:r>
      <w:r>
        <w:t xml:space="preserve"> </w:t>
      </w:r>
      <w:r>
        <w:rPr>
          <w:i/>
          <w:iCs/>
        </w:rPr>
        <w:t xml:space="preserve">it depends on what the downstream classifier looks like</w:t>
      </w:r>
      <w:r>
        <w:t xml:space="preserve">.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two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the GAN adversaries appear to hurt. With sentence-transformer embeddings as features, the 7-critic loop achieves the</w:t>
      </w:r>
      <w:r>
        <w:t xml:space="preserve"> </w:t>
      </w:r>
      <w:r>
        <w:rPr>
          <w:b/>
          <w:bCs/>
        </w:rPr>
        <w:t xml:space="preserve">best</w:t>
      </w:r>
      <w:r>
        <w:t xml:space="preserve"> </w:t>
      </w:r>
      <w:r>
        <w:t xml:space="preserve">macro F1 at</w:t>
      </w:r>
      <w:r>
        <w:t xml:space="preserve"> </w:t>
      </w:r>
      <w:r>
        <w:rPr>
          <w:b/>
          <w:bCs/>
        </w:rPr>
        <w:t xml:space="preserve">0.71 ± 0.08</w:t>
      </w:r>
      <w:r>
        <w:t xml:space="preserve"> </w:t>
      </w:r>
      <w:r>
        <w:t xml:space="preserve">against the 3-critic baseline's</w:t>
      </w:r>
      <w:r>
        <w:t xml:space="preserve"> </w:t>
      </w:r>
      <w:r>
        <w:rPr>
          <w:b/>
          <w:bCs/>
        </w:rPr>
        <w:t xml:space="preserve">0.67 ± 0.13</w:t>
      </w:r>
      <w:r>
        <w:t xml:space="preserve">: the GAN adversaries appear to help.</w:t>
      </w:r>
      <w:r>
        <w:t xml:space="preserve"> </w:t>
      </w:r>
      <w:r>
        <w:rPr>
          <w:i/>
          <w:iCs/>
        </w:rPr>
        <w:t xml:space="preserve">Which "tradeoff" the data shows depends on what reads it.</w:t>
      </w:r>
    </w:p>
    <w:p>
      <w:pPr>
        <w:pStyle w:val="BodyText"/>
        <w:jc w:val="both"/>
        <w:keepNext w:val="0"/>
        <w:keepLines w:val="0"/>
        <w:widowControl w:val="1"/>
      </w:pPr>
      <w:r>
        <w:t xml:space="preserve">The mechanism we identify is a</w:t>
      </w:r>
      <w:r>
        <w:t xml:space="preserve"> </w:t>
      </w:r>
      <w:r>
        <w:rPr>
          <w:i/>
          <w:iCs/>
        </w:rPr>
        <w:t xml:space="preserve">representation-dependent diversity-utility tradeoff</w:t>
      </w:r>
      <w:r>
        <w:t xml:space="preserve">. Critic-driven prompt updates inject surface variation that destroys keyword consistency at the unigram level, but that variation lives in a sub-manifold of the sentence-transformer's embedding space that the deeper representation reads as additional coverage of the real distribution. Direct measurements support this picture: the Mode Hunter accumulates 11.7 ± 0.6 distinct LLM-tic phrasings across 3 iterations and we verify each is suppressed; the loop-internal per-sample realism discriminator becomes</w:t>
      </w:r>
      <w:r>
        <w:t xml:space="preserve"> </w:t>
      </w:r>
      <w:r>
        <w:rPr>
          <w:i/>
          <w:iCs/>
        </w:rPr>
        <w:t xml:space="preserve">more</w:t>
      </w:r>
      <w:r>
        <w:t xml:space="preserve"> </w:t>
      </w:r>
      <w:r>
        <w:t xml:space="preserve">confident in detecting synthetic patterns; the attribute-match rate stays below 10%; the post-hoc Pack Discriminator audit shows iterated conditions cluster near the real-vs-real null reference. These findings, together with the multi-classifier evaluation, are invisible to ablation tables that report only one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re-seeded RNG and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A representation-dependent diversity-utility tradeoff</w:t>
      </w:r>
      <w:r>
        <w:t xml:space="preserve"> </w:t>
      </w:r>
      <w:r>
        <w:t xml:space="preserve">as the main empirical finding (Section 7): the same synthetic-data batches yield opposite condition rankings under TF-IDF vs sentence-transformer downstream classifiers. With TF-IDF, the 7-critic loop drops macro F1 by 0.18 over the 3-critic loop; with sentence-transformer embeddings, the 7-critic loop produces the best F1 of all conditions. We argue this is the right baseline for train-on-synth / test-on-real reporting: multi-classifier evaluation, not single-classifier evaluation.</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evaluator that ships three classifier choices by default, three backends (OpenAI, Anthropic, deterministic simulator), per-iteration on-disk manifests, and a complaint-grammar contract that lets future work add new critics without breaking the audit protocol.</w:t>
      </w:r>
    </w:p>
    <w:bookmarkEnd w:id="13"/>
    <w:bookmarkStart w:id="24" w:name="sec-related"/>
    <w:p>
      <w:pPr>
        <w:pStyle w:val="Heading2"/>
        <w:keepNext/>
        <w:keepLines/>
        <w:widowControl w:val="1"/>
      </w:pPr>
      <w:r>
        <w:t xml:space="preserve">2</w:t>
      </w:r>
      <w:r>
        <w:t xml:space="preserve">Related work</w:t>
      </w:r>
    </w:p>
    <w:bookmarkStart w:id="14"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4"/>
    <w:bookmarkStart w:id="15"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5"/>
    <w:bookmarkStart w:id="16"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6"/>
    <w:bookmarkStart w:id="17"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7"/>
    <w:bookmarkStart w:id="18"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8"/>
    <w:bookmarkStart w:id="19"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9"/>
    <w:bookmarkStart w:id="20"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0"/>
    <w:bookmarkStart w:id="21"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1"/>
    <w:bookmarkStart w:id="22"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2"/>
    <w:bookmarkStart w:id="23"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3"/>
    <w:bookmarkEnd w:id="24"/>
    <w:bookmarkStart w:id="25"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5"/>
    <w:bookmarkStart w:id="30"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6"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6"/>
    <w:bookmarkStart w:id="27"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7"/>
    <w:bookmarkStart w:id="28"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8"/>
    <w:bookmarkStart w:id="29"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9"/>
    <w:bookmarkEnd w:id="30"/>
    <w:bookmarkStart w:id="35"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1"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1"/>
    <w:bookmarkStart w:id="32"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2"/>
    <w:bookmarkStart w:id="33"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3"/>
    <w:bookmarkStart w:id="34"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4"/>
    <w:bookmarkEnd w:id="35"/>
    <w:bookmarkStart w:id="40" w:name="sec-experiments"/>
    <w:p>
      <w:pPr>
        <w:pStyle w:val="Heading2"/>
        <w:keepNext/>
        <w:keepLines/>
        <w:widowControl w:val="1"/>
      </w:pPr>
      <w:r>
        <w:t xml:space="preserve">6</w:t>
      </w:r>
      <w:r>
        <w:t xml:space="preserve">Experimental setup</w:t>
      </w:r>
    </w:p>
    <w:bookmarkStart w:id="36"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6"/>
    <w:bookmarkStart w:id="37"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Which backend produced which numbers</w:t>
      </w:r>
      <w:r>
        <w:t xml:space="preserve"> </w:t>
      </w: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total 21 condition-runs). The simulator backend remains in the repository as a deterministic harness validator and a CI-friendly offline mode; it is not used for headline numbers. A previous draft of this paper used simulator numbers; the present revision is the live-LLM run.</w:t>
      </w:r>
    </w:p>
    <w:bookmarkEnd w:id="37"/>
    <w:bookmarkStart w:id="38"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8"/>
    <w:bookmarkStart w:id="39"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9"/>
    <w:bookmarkEnd w:id="40"/>
    <w:bookmarkStart w:id="46" w:name="sec-results"/>
    <w:p>
      <w:pPr>
        <w:pStyle w:val="Heading2"/>
        <w:keepNext/>
        <w:keepLines/>
        <w:widowControl w:val="1"/>
      </w:pPr>
      <w:r>
        <w:t xml:space="preserve">7</w:t>
      </w:r>
      <w:r>
        <w:t xml:space="preserve">Results</w:t>
      </w:r>
    </w:p>
    <w:bookmarkStart w:id="41" w:name="Xd6ecf73e398069f412ff59b3fb4a53fba6e3980"/>
    <w:p>
      <w:pPr>
        <w:pStyle w:val="Heading3"/>
        <w:keepNext/>
        <w:keepLines/>
        <w:widowControl w:val="1"/>
      </w:pPr>
      <w:r>
        <w:t xml:space="preserve">7.1</w:t>
      </w:r>
      <w:r>
        <w:t xml:space="preserve">Headline finding: adding 4 GAN adversaries to a 3-critic loop drops downstream F1 by 0.18</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The classical three-critic loop (</w:t>
      </w:r>
      <w:r>
        <w:rPr>
          <w:rStyle w:val="VerbatimChar"/>
        </w:rPr>
        <w:t xml:space="preserve">full_classic</w:t>
      </w:r>
      <w:r>
        <w:t xml:space="preserve">) achieves the best downstream macro F1 (</w:t>
      </w:r>
      <m:oMath>
        <m:r>
          <m:t>0.58</m:t>
        </m:r>
        <m:r>
          <m:rPr>
            <m:sty m:val="p"/>
          </m:rPr>
          <m:t>±</m:t>
        </m:r>
        <m:r>
          <m:t>0.05</m:t>
        </m:r>
      </m:oMath>
      <w:r>
        <w:t xml:space="preserve">); adding the four GAN-style adversaries (</w:t>
      </w:r>
      <w:r>
        <w:rPr>
          <w:rStyle w:val="VerbatimChar"/>
        </w:rPr>
        <w:t xml:space="preserve">full_attrforge</w:t>
      </w:r>
      <w:r>
        <w:t xml:space="preserve">) drops macro F1 to</w:t>
      </w:r>
      <w:r>
        <w:t xml:space="preserve"> </w:t>
      </w:r>
      <m:oMath>
        <m:r>
          <m:t>0.40</m:t>
        </m:r>
        <m:r>
          <m:rPr>
            <m:sty m:val="p"/>
          </m:rPr>
          <m:t>±</m:t>
        </m:r>
        <m:r>
          <m:t>0.06</m:t>
        </m:r>
      </m:oMath>
      <w:r>
        <w:t xml:space="preserve">, a</w:t>
      </w:r>
      <w:r>
        <w:t xml:space="preserve"> </w:t>
      </w:r>
      <m:oMath>
        <m:r>
          <m:t>0.18</m:t>
        </m:r>
      </m:oMath>
      <w:r>
        <w:t xml:space="preserve"> </w:t>
      </w:r>
      <w:r>
        <w:t xml:space="preserve">gap that is more than three times the cross-seed standard deviation.</w:t>
      </w:r>
      <w:r>
        <w:t xml:space="preserve"> </w:t>
      </w:r>
      <w:r>
        <w:rPr>
          <w:b/>
          <w:bCs/>
        </w:rPr>
        <w:t xml:space="preserve">(ii)</w:t>
      </w:r>
      <w:r>
        <w:t xml:space="preserve"> </w:t>
      </w:r>
      <w:r>
        <w:t xml:space="preserve">The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shockingly low at</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actually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41"/>
    <w:bookmarkStart w:id="42" w:name="Xc473a98b2b9bff62d7358977afe4fab2bccf298"/>
    <w:p>
      <w:pPr>
        <w:pStyle w:val="Heading3"/>
        <w:keepNext/>
        <w:keepLines/>
        <w:widowControl w:val="1"/>
      </w:pPr>
      <w:r>
        <w:t xml:space="preserve">7.2</w:t>
      </w:r>
      <w:r>
        <w:t xml:space="preserve">The tradeoff is classifier-dependent (and reverses with sentence-transformer features)</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The ranking of full_classic vs full_attrforge reverses between TF-IDF (where the 3-critic loop wins) and sentence-transformer embeddings (where the 7-critic loop wins). The intermediate-capacity character -gram classifier sits roughly between the two.</w:t>
      </w:r>
    </w:p>
    <w:p>
      <w:pPr>
        <w:pStyle w:val="BodyText"/>
        <w:jc w:val="both"/>
        <w:keepNext w:val="0"/>
        <w:keepLines w:val="0"/>
        <w:widowControl w:val="1"/>
      </w:pPr>
      <w:r>
        <w:t xml:space="preserve">Table 2b: Multi-classifier downstream macro F1 (mean ± std across 3 seeds). The same synthetic-data batches that yield the lowest TF-IDF score for</w:t>
      </w:r>
      <w:r>
        <w:t xml:space="preserve"> </w:t>
      </w:r>
      <w:r>
        <w:rPr>
          <w:rStyle w:val="VerbatimChar"/>
        </w:rPr>
        <w:t xml:space="preserve">full_attrforge</w:t>
      </w:r>
      <w:r>
        <w:t xml:space="preserve"> </w:t>
      </w:r>
      <w:r>
        <w:t xml:space="preserve">yield the</w:t>
      </w:r>
      <w:r>
        <w:t xml:space="preserve"> </w:t>
      </w:r>
      <w:r>
        <w:rPr>
          <w:i/>
          <w:iCs/>
        </w:rPr>
        <w:t xml:space="preserve">highest</w:t>
      </w:r>
      <w:r>
        <w:t xml:space="preserve"> </w:t>
      </w:r>
      <w:r>
        <w:t xml:space="preserve">sentence-transformer score for the same condition. Bold cells are the best per-classifier-column.</w:t>
      </w:r>
    </w:p>
    <w:tbl>
      <w:tblPr>
        <w:tblStyle w:val="Table"/>
        <w:tblW w:type="pct" w:w="5000"/>
        <w:jc w:val="center"/>
        <w:tblLook w:firstRow="1" w:lastRow="0" w:firstColumn="0" w:lastColumn="0" w:noHBand="0" w:noVBand="0" w:val="0020"/>
        <w:tblCaption w:val="Table 2b: Multi-classifier downstream macro F1 (mean ± std across 3 seeds). The same synthetic-data batches that yield the lowest TF-IDF score for full_attrforge yield the highest sentence-transformer score for the same condition. Bold cells are the best per-classifier-colum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TF-IDF and sentence-transformer columns disagree about which condition produces the best synthetic data. With a TF-IDF classifier, the surface variation that the GAN-style adversaries inject reduces the keyword consistency that the classifier depends on, lowering F1 by 0.18. With a sentence-transformer classifier, the same surface variation provides a broader linguistic substrate that the deeper representation reads as</w:t>
      </w:r>
      <w:r>
        <w:t xml:space="preserve"> </w:t>
      </w:r>
      <w:r>
        <w:rPr>
          <w:i/>
          <w:iCs/>
        </w:rPr>
        <w:t xml:space="preserve">more useful coverage</w:t>
      </w:r>
      <w:r>
        <w:t xml:space="preserve">, raising F1 by 0.04. The character</w:t>
      </w:r>
      <w:r>
        <w:t xml:space="preserve"> </w:t>
      </w:r>
      <m:oMath>
        <m:r>
          <m:t>n</m:t>
        </m:r>
      </m:oMath>
      <w:r>
        <w:t xml:space="preserve">-gram classifier sits in between:</w:t>
      </w:r>
      <w:r>
        <w:t xml:space="preserve"> </w:t>
      </w:r>
      <w:r>
        <w:rPr>
          <w:rStyle w:val="VerbatimChar"/>
        </w:rPr>
        <w:t xml:space="preserve">full_classic</w:t>
      </w:r>
      <w:r>
        <w:t xml:space="preserve"> </w:t>
      </w:r>
      <w:r>
        <w:t xml:space="preserve">still wins (</w:t>
      </w:r>
      <m:oMath>
        <m:r>
          <m:t>0.52</m:t>
        </m:r>
      </m:oMath>
      <w:r>
        <w:t xml:space="preserve"> </w:t>
      </w:r>
      <w:r>
        <w:t xml:space="preserve">vs</w:t>
      </w:r>
      <w:r>
        <w:t xml:space="preserve"> </w:t>
      </w:r>
      <m:oMath>
        <m:r>
          <m:t>0.46</m:t>
        </m:r>
      </m:oMath>
      <w:r>
        <w:t xml:space="preserve">), but the gap is smaller than on word features (</w:t>
      </w:r>
      <m:oMath>
        <m:r>
          <m:t>0.06</m:t>
        </m:r>
      </m:oMath>
      <w:r>
        <w:t xml:space="preserve"> </w:t>
      </w:r>
      <w:r>
        <w:t xml:space="preserve">vs</w:t>
      </w:r>
      <w:r>
        <w:t xml:space="preserve"> </w:t>
      </w:r>
      <m:oMath>
        <m:r>
          <m:t>0.18</m:t>
        </m:r>
      </m:oMath>
      <w:r>
        <w:t xml:space="preserve">). This is the central empirical contribution of the paper:</w:t>
      </w:r>
      <w:r>
        <w:t xml:space="preserve"> </w:t>
      </w:r>
      <w:r>
        <w:rPr>
          <w:b/>
          <w:bCs/>
        </w:rPr>
        <w:t xml:space="preserve">the diversity vs utility tradeoff is not a single property of the synthetic dataset, but a joint property of the dataset and the downstream classifier's representation capacity</w:t>
      </w:r>
      <w:r>
        <w:t xml:space="preserve">.</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2"/>
    <w:bookmarkStart w:id="43"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3"/>
    <w:bookmarkStart w:id="44"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4"/>
    <w:bookmarkStart w:id="45"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5"/>
    <w:bookmarkEnd w:id="46"/>
    <w:bookmarkStart w:id="47"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4"/>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7"/>
    <w:bookmarkStart w:id="54" w:name="sec-discussion"/>
    <w:p>
      <w:pPr>
        <w:pStyle w:val="Heading2"/>
        <w:keepNext/>
        <w:keepLines/>
        <w:widowControl w:val="1"/>
      </w:pPr>
      <w:r>
        <w:t xml:space="preserve">9</w:t>
      </w:r>
      <w:r>
        <w:t xml:space="preserve">Discussion</w:t>
      </w:r>
    </w:p>
    <w:bookmarkStart w:id="48"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8"/>
    <w:bookmarkStart w:id="49"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9"/>
    <w:bookmarkStart w:id="50"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0"/>
    <w:bookmarkStart w:id="51"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1"/>
    <w:bookmarkStart w:id="52"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2"/>
    <w:bookmarkStart w:id="53"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3"/>
    <w:bookmarkEnd w:id="54"/>
    <w:bookmarkStart w:id="55"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5"/>
    <w:bookmarkStart w:id="57"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56">
        <w:r>
          <w:rPr>
            <w:rStyle w:val="Hyperlink"/>
          </w:rPr>
          <w:t xml:space="preserve">github.com/ApartsinProjects/PromptForge</w:t>
        </w:r>
      </w:hyperlink>
      <w:r>
        <w:t xml:space="preserve">). Reproducing every result is one Bash invocation plus a backend flag.</w:t>
      </w:r>
    </w:p>
    <w:bookmarkEnd w:id="57"/>
    <w:bookmarkStart w:id="130"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59"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8">
        <w:r>
          <w:rPr>
            <w:rStyle w:val="Hyperlink"/>
          </w:rPr>
          <w:t xml:space="preserve">[NeurIPS]</w:t>
        </w:r>
      </w:hyperlink>
      <w:bookmarkEnd w:id="59"/>
    </w:p>
    <w:p>
      <w:pPr>
        <w:pStyle w:val="Compact"/>
        <w:numPr>
          <w:ilvl w:val="0"/>
          <w:numId w:val="1006"/>
        </w:numPr>
        <w:jc w:val="both"/>
        <w:keepNext w:val="0"/>
        <w:keepLines w:val="0"/>
        <w:widowControl w:val="1"/>
      </w:pPr>
      <w:bookmarkStart w:id="61"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0">
        <w:r>
          <w:rPr>
            <w:rStyle w:val="Hyperlink"/>
          </w:rPr>
          <w:t xml:space="preserve">[arXiv:1606.03498]</w:t>
        </w:r>
      </w:hyperlink>
      <w:bookmarkEnd w:id="61"/>
    </w:p>
    <w:p>
      <w:pPr>
        <w:pStyle w:val="Compact"/>
        <w:numPr>
          <w:ilvl w:val="0"/>
          <w:numId w:val="1006"/>
        </w:numPr>
        <w:jc w:val="both"/>
        <w:keepNext w:val="0"/>
        <w:keepLines w:val="0"/>
        <w:widowControl w:val="1"/>
      </w:pPr>
      <w:bookmarkStart w:id="63"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2">
        <w:r>
          <w:rPr>
            <w:rStyle w:val="Hyperlink"/>
          </w:rPr>
          <w:t xml:space="preserve">[CVF]</w:t>
        </w:r>
      </w:hyperlink>
      <w:bookmarkEnd w:id="63"/>
    </w:p>
    <w:p>
      <w:pPr>
        <w:pStyle w:val="Compact"/>
        <w:numPr>
          <w:ilvl w:val="0"/>
          <w:numId w:val="1006"/>
        </w:numPr>
        <w:jc w:val="both"/>
        <w:keepNext w:val="0"/>
        <w:keepLines w:val="0"/>
        <w:widowControl w:val="1"/>
      </w:pPr>
      <w:bookmarkStart w:id="65"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6"/>
        </w:numPr>
        <w:jc w:val="both"/>
        <w:keepNext w:val="0"/>
        <w:keepLines w:val="0"/>
        <w:widowControl w:val="1"/>
      </w:pPr>
      <w:bookmarkStart w:id="67"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6">
        <w:r>
          <w:rPr>
            <w:rStyle w:val="Hyperlink"/>
          </w:rPr>
          <w:t xml:space="preserve">[ACL Anthology]</w:t>
        </w:r>
      </w:hyperlink>
      <w:bookmarkEnd w:id="67"/>
    </w:p>
    <w:p>
      <w:pPr>
        <w:pStyle w:val="Compact"/>
        <w:numPr>
          <w:ilvl w:val="0"/>
          <w:numId w:val="1006"/>
        </w:numPr>
        <w:jc w:val="both"/>
        <w:keepNext w:val="0"/>
        <w:keepLines w:val="0"/>
        <w:widowControl w:val="1"/>
      </w:pPr>
      <w:bookmarkStart w:id="69"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8">
        <w:r>
          <w:rPr>
            <w:rStyle w:val="Hyperlink"/>
          </w:rPr>
          <w:t xml:space="preserve">[OpenReview]</w:t>
        </w:r>
      </w:hyperlink>
      <w:bookmarkEnd w:id="69"/>
    </w:p>
    <w:p>
      <w:pPr>
        <w:pStyle w:val="Compact"/>
        <w:numPr>
          <w:ilvl w:val="0"/>
          <w:numId w:val="1006"/>
        </w:numPr>
        <w:jc w:val="both"/>
        <w:keepNext w:val="0"/>
        <w:keepLines w:val="0"/>
        <w:widowControl w:val="1"/>
      </w:pPr>
      <w:bookmarkStart w:id="71"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0">
        <w:r>
          <w:rPr>
            <w:rStyle w:val="Hyperlink"/>
          </w:rPr>
          <w:t xml:space="preserve">[arXiv:1611.02163]</w:t>
        </w:r>
      </w:hyperlink>
      <w:bookmarkEnd w:id="71"/>
    </w:p>
    <w:p>
      <w:pPr>
        <w:pStyle w:val="Compact"/>
        <w:numPr>
          <w:ilvl w:val="0"/>
          <w:numId w:val="1006"/>
        </w:numPr>
        <w:jc w:val="both"/>
        <w:keepNext w:val="0"/>
        <w:keepLines w:val="0"/>
        <w:widowControl w:val="1"/>
      </w:pPr>
      <w:bookmarkStart w:id="73"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2">
        <w:r>
          <w:rPr>
            <w:rStyle w:val="Hyperlink"/>
          </w:rPr>
          <w:t xml:space="preserve">[PMLR]</w:t>
        </w:r>
      </w:hyperlink>
      <w:bookmarkEnd w:id="73"/>
    </w:p>
    <w:p>
      <w:pPr>
        <w:pStyle w:val="Compact"/>
        <w:numPr>
          <w:ilvl w:val="0"/>
          <w:numId w:val="1006"/>
        </w:numPr>
        <w:jc w:val="both"/>
        <w:keepNext w:val="0"/>
        <w:keepLines w:val="0"/>
        <w:widowControl w:val="1"/>
      </w:pPr>
      <w:bookmarkStart w:id="75"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4">
        <w:r>
          <w:rPr>
            <w:rStyle w:val="Hyperlink"/>
          </w:rPr>
          <w:t xml:space="preserve">[CUP]</w:t>
        </w:r>
      </w:hyperlink>
      <w:bookmarkEnd w:id="75"/>
    </w:p>
    <w:p>
      <w:pPr>
        <w:pStyle w:val="Compact"/>
        <w:numPr>
          <w:ilvl w:val="0"/>
          <w:numId w:val="1006"/>
        </w:numPr>
        <w:jc w:val="both"/>
        <w:keepNext w:val="0"/>
        <w:keepLines w:val="0"/>
        <w:widowControl w:val="1"/>
      </w:pPr>
      <w:bookmarkStart w:id="77"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6">
        <w:r>
          <w:rPr>
            <w:rStyle w:val="Hyperlink"/>
          </w:rPr>
          <w:t xml:space="preserve">[ACM]</w:t>
        </w:r>
      </w:hyperlink>
      <w:bookmarkEnd w:id="77"/>
    </w:p>
    <w:p>
      <w:pPr>
        <w:pStyle w:val="Compact"/>
        <w:numPr>
          <w:ilvl w:val="0"/>
          <w:numId w:val="1006"/>
        </w:numPr>
        <w:jc w:val="both"/>
        <w:keepNext w:val="0"/>
        <w:keepLines w:val="0"/>
        <w:widowControl w:val="1"/>
      </w:pPr>
      <w:bookmarkStart w:id="79"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8">
        <w:r>
          <w:rPr>
            <w:rStyle w:val="Hyperlink"/>
          </w:rPr>
          <w:t xml:space="preserve">[NeurIPS]</w:t>
        </w:r>
      </w:hyperlink>
      <w:bookmarkEnd w:id="79"/>
    </w:p>
    <w:p>
      <w:pPr>
        <w:pStyle w:val="Compact"/>
        <w:numPr>
          <w:ilvl w:val="0"/>
          <w:numId w:val="1006"/>
        </w:numPr>
        <w:jc w:val="both"/>
        <w:keepNext w:val="0"/>
        <w:keepLines w:val="0"/>
        <w:widowControl w:val="1"/>
      </w:pPr>
      <w:bookmarkStart w:id="81"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0">
        <w:r>
          <w:rPr>
            <w:rStyle w:val="Hyperlink"/>
          </w:rPr>
          <w:t xml:space="preserve">[ACL Anthology]</w:t>
        </w:r>
      </w:hyperlink>
      <w:bookmarkEnd w:id="81"/>
    </w:p>
    <w:p>
      <w:pPr>
        <w:pStyle w:val="Compact"/>
        <w:numPr>
          <w:ilvl w:val="0"/>
          <w:numId w:val="1006"/>
        </w:numPr>
        <w:jc w:val="both"/>
        <w:keepNext w:val="0"/>
        <w:keepLines w:val="0"/>
        <w:widowControl w:val="1"/>
      </w:pPr>
      <w:bookmarkStart w:id="83"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2">
        <w:r>
          <w:rPr>
            <w:rStyle w:val="Hyperlink"/>
          </w:rPr>
          <w:t xml:space="preserve">[ACL Anthology]</w:t>
        </w:r>
      </w:hyperlink>
      <w:bookmarkEnd w:id="83"/>
    </w:p>
    <w:p>
      <w:pPr>
        <w:pStyle w:val="Compact"/>
        <w:numPr>
          <w:ilvl w:val="0"/>
          <w:numId w:val="1006"/>
        </w:numPr>
        <w:jc w:val="both"/>
        <w:keepNext w:val="0"/>
        <w:keepLines w:val="0"/>
        <w:widowControl w:val="1"/>
      </w:pPr>
      <w:bookmarkStart w:id="85"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4">
        <w:r>
          <w:rPr>
            <w:rStyle w:val="Hyperlink"/>
          </w:rPr>
          <w:t xml:space="preserve">[arXiv:2211.01910]</w:t>
        </w:r>
      </w:hyperlink>
      <w:bookmarkEnd w:id="85"/>
    </w:p>
    <w:p>
      <w:pPr>
        <w:pStyle w:val="Compact"/>
        <w:numPr>
          <w:ilvl w:val="0"/>
          <w:numId w:val="1006"/>
        </w:numPr>
        <w:jc w:val="both"/>
        <w:keepNext w:val="0"/>
        <w:keepLines w:val="0"/>
        <w:widowControl w:val="1"/>
      </w:pPr>
      <w:bookmarkStart w:id="87"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6"/>
        </w:numPr>
        <w:jc w:val="both"/>
        <w:keepNext w:val="0"/>
        <w:keepLines w:val="0"/>
        <w:widowControl w:val="1"/>
      </w:pPr>
      <w:bookmarkStart w:id="89"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8">
        <w:r>
          <w:rPr>
            <w:rStyle w:val="Hyperlink"/>
          </w:rPr>
          <w:t xml:space="preserve">[OpenReview]</w:t>
        </w:r>
      </w:hyperlink>
      <w:bookmarkEnd w:id="89"/>
    </w:p>
    <w:p>
      <w:pPr>
        <w:pStyle w:val="Compact"/>
        <w:numPr>
          <w:ilvl w:val="0"/>
          <w:numId w:val="1006"/>
        </w:numPr>
        <w:jc w:val="both"/>
        <w:keepNext w:val="0"/>
        <w:keepLines w:val="0"/>
        <w:widowControl w:val="1"/>
      </w:pPr>
      <w:bookmarkStart w:id="91"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0">
        <w:r>
          <w:rPr>
            <w:rStyle w:val="Hyperlink"/>
          </w:rPr>
          <w:t xml:space="preserve">[arXiv]</w:t>
        </w:r>
      </w:hyperlink>
      <w:bookmarkEnd w:id="91"/>
    </w:p>
    <w:p>
      <w:pPr>
        <w:pStyle w:val="Compact"/>
        <w:numPr>
          <w:ilvl w:val="0"/>
          <w:numId w:val="1006"/>
        </w:numPr>
        <w:jc w:val="both"/>
        <w:keepNext w:val="0"/>
        <w:keepLines w:val="0"/>
        <w:widowControl w:val="1"/>
      </w:pPr>
      <w:bookmarkStart w:id="93"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2">
        <w:r>
          <w:rPr>
            <w:rStyle w:val="Hyperlink"/>
          </w:rPr>
          <w:t xml:space="preserve">[OpenReview]</w:t>
        </w:r>
      </w:hyperlink>
      <w:bookmarkEnd w:id="93"/>
    </w:p>
    <w:p>
      <w:pPr>
        <w:pStyle w:val="Compact"/>
        <w:numPr>
          <w:ilvl w:val="0"/>
          <w:numId w:val="1006"/>
        </w:numPr>
        <w:jc w:val="both"/>
        <w:keepNext w:val="0"/>
        <w:keepLines w:val="0"/>
        <w:widowControl w:val="1"/>
      </w:pPr>
      <w:bookmarkStart w:id="95"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4">
        <w:r>
          <w:rPr>
            <w:rStyle w:val="Hyperlink"/>
          </w:rPr>
          <w:t xml:space="preserve">[arXiv]</w:t>
        </w:r>
      </w:hyperlink>
      <w:bookmarkEnd w:id="95"/>
    </w:p>
    <w:p>
      <w:pPr>
        <w:pStyle w:val="Compact"/>
        <w:numPr>
          <w:ilvl w:val="0"/>
          <w:numId w:val="1006"/>
        </w:numPr>
        <w:jc w:val="both"/>
        <w:keepNext w:val="0"/>
        <w:keepLines w:val="0"/>
        <w:widowControl w:val="1"/>
      </w:pPr>
      <w:bookmarkStart w:id="97"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6">
        <w:r>
          <w:rPr>
            <w:rStyle w:val="Hyperlink"/>
          </w:rPr>
          <w:t xml:space="preserve">[ACL Anthology]</w:t>
        </w:r>
      </w:hyperlink>
      <w:bookmarkEnd w:id="97"/>
    </w:p>
    <w:p>
      <w:pPr>
        <w:pStyle w:val="Compact"/>
        <w:numPr>
          <w:ilvl w:val="0"/>
          <w:numId w:val="1006"/>
        </w:numPr>
        <w:jc w:val="both"/>
        <w:keepNext w:val="0"/>
        <w:keepLines w:val="0"/>
        <w:widowControl w:val="1"/>
      </w:pPr>
      <w:bookmarkStart w:id="99"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8">
        <w:r>
          <w:rPr>
            <w:rStyle w:val="Hyperlink"/>
          </w:rPr>
          <w:t xml:space="preserve">[OpenReview]</w:t>
        </w:r>
      </w:hyperlink>
      <w:bookmarkEnd w:id="99"/>
    </w:p>
    <w:p>
      <w:pPr>
        <w:pStyle w:val="Compact"/>
        <w:numPr>
          <w:ilvl w:val="0"/>
          <w:numId w:val="1006"/>
        </w:numPr>
        <w:jc w:val="both"/>
        <w:keepNext w:val="0"/>
        <w:keepLines w:val="0"/>
        <w:widowControl w:val="1"/>
      </w:pPr>
      <w:bookmarkStart w:id="101"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0">
        <w:r>
          <w:rPr>
            <w:rStyle w:val="Hyperlink"/>
          </w:rPr>
          <w:t xml:space="preserve">[NeurIPS]</w:t>
        </w:r>
      </w:hyperlink>
      <w:bookmarkEnd w:id="101"/>
    </w:p>
    <w:p>
      <w:pPr>
        <w:pStyle w:val="Compact"/>
        <w:numPr>
          <w:ilvl w:val="0"/>
          <w:numId w:val="1006"/>
        </w:numPr>
        <w:jc w:val="both"/>
        <w:keepNext w:val="0"/>
        <w:keepLines w:val="0"/>
        <w:widowControl w:val="1"/>
      </w:pPr>
      <w:bookmarkStart w:id="103"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2">
        <w:r>
          <w:rPr>
            <w:rStyle w:val="Hyperlink"/>
          </w:rPr>
          <w:t xml:space="preserve">[NeurIPS]</w:t>
        </w:r>
      </w:hyperlink>
      <w:bookmarkEnd w:id="103"/>
    </w:p>
    <w:p>
      <w:pPr>
        <w:pStyle w:val="Compact"/>
        <w:numPr>
          <w:ilvl w:val="0"/>
          <w:numId w:val="1006"/>
        </w:numPr>
        <w:jc w:val="both"/>
        <w:keepNext w:val="0"/>
        <w:keepLines w:val="0"/>
        <w:widowControl w:val="1"/>
      </w:pPr>
      <w:bookmarkStart w:id="105"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4">
        <w:r>
          <w:rPr>
            <w:rStyle w:val="Hyperlink"/>
          </w:rPr>
          <w:t xml:space="preserve">[PMLR]</w:t>
        </w:r>
      </w:hyperlink>
      <w:bookmarkEnd w:id="105"/>
    </w:p>
    <w:p>
      <w:pPr>
        <w:pStyle w:val="Compact"/>
        <w:numPr>
          <w:ilvl w:val="0"/>
          <w:numId w:val="1006"/>
        </w:numPr>
        <w:jc w:val="both"/>
        <w:keepNext w:val="0"/>
        <w:keepLines w:val="0"/>
        <w:widowControl w:val="1"/>
      </w:pPr>
      <w:bookmarkStart w:id="107"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6">
        <w:r>
          <w:rPr>
            <w:rStyle w:val="Hyperlink"/>
          </w:rPr>
          <w:t xml:space="preserve">[arXiv]</w:t>
        </w:r>
      </w:hyperlink>
      <w:bookmarkEnd w:id="107"/>
    </w:p>
    <w:p>
      <w:pPr>
        <w:pStyle w:val="Compact"/>
        <w:numPr>
          <w:ilvl w:val="0"/>
          <w:numId w:val="1006"/>
        </w:numPr>
        <w:jc w:val="both"/>
        <w:keepNext w:val="0"/>
        <w:keepLines w:val="0"/>
        <w:widowControl w:val="1"/>
      </w:pPr>
      <w:bookmarkStart w:id="109" w:name="ref-paretoprompt"/>
      <w:r>
        <w:t xml:space="preserve">Anonymous.</w:t>
      </w:r>
      <w:r>
        <w:t xml:space="preserve"> </w:t>
      </w:r>
      <w:r>
        <w:rPr>
          <w:i/>
          <w:iCs/>
        </w:rPr>
        <w:t xml:space="preserve">Pareto prompt optimization.</w:t>
      </w:r>
      <w:r>
        <w:t xml:space="preserve"> </w:t>
      </w:r>
      <w:r>
        <w:t xml:space="preserve">ICLR, 2025.</w:t>
      </w:r>
      <w:r>
        <w:t xml:space="preserve"> </w:t>
      </w:r>
      <w:hyperlink r:id="rId108">
        <w:r>
          <w:rPr>
            <w:rStyle w:val="Hyperlink"/>
          </w:rPr>
          <w:t xml:space="preserve">[OpenReview]</w:t>
        </w:r>
      </w:hyperlink>
      <w:bookmarkEnd w:id="109"/>
    </w:p>
    <w:p>
      <w:pPr>
        <w:pStyle w:val="Compact"/>
        <w:numPr>
          <w:ilvl w:val="0"/>
          <w:numId w:val="1006"/>
        </w:numPr>
        <w:jc w:val="both"/>
        <w:keepNext w:val="0"/>
        <w:keepLines w:val="0"/>
        <w:widowControl w:val="1"/>
      </w:pPr>
      <w:bookmarkStart w:id="111"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0">
        <w:r>
          <w:rPr>
            <w:rStyle w:val="Hyperlink"/>
          </w:rPr>
          <w:t xml:space="preserve">[arXiv]</w:t>
        </w:r>
      </w:hyperlink>
      <w:bookmarkEnd w:id="111"/>
    </w:p>
    <w:p>
      <w:pPr>
        <w:pStyle w:val="Compact"/>
        <w:numPr>
          <w:ilvl w:val="0"/>
          <w:numId w:val="1006"/>
        </w:numPr>
        <w:jc w:val="both"/>
        <w:keepNext w:val="0"/>
        <w:keepLines w:val="0"/>
        <w:widowControl w:val="1"/>
      </w:pPr>
      <w:bookmarkStart w:id="113"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2">
        <w:r>
          <w:rPr>
            <w:rStyle w:val="Hyperlink"/>
          </w:rPr>
          <w:t xml:space="preserve">[arXiv]</w:t>
        </w:r>
      </w:hyperlink>
      <w:bookmarkEnd w:id="113"/>
    </w:p>
    <w:p>
      <w:pPr>
        <w:pStyle w:val="Compact"/>
        <w:numPr>
          <w:ilvl w:val="0"/>
          <w:numId w:val="1006"/>
        </w:numPr>
        <w:jc w:val="both"/>
        <w:keepNext w:val="0"/>
        <w:keepLines w:val="0"/>
        <w:widowControl w:val="1"/>
      </w:pPr>
      <w:bookmarkStart w:id="115"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4">
        <w:r>
          <w:rPr>
            <w:rStyle w:val="Hyperlink"/>
          </w:rPr>
          <w:t xml:space="preserve">[arXiv]</w:t>
        </w:r>
      </w:hyperlink>
      <w:bookmarkEnd w:id="115"/>
    </w:p>
    <w:p>
      <w:pPr>
        <w:pStyle w:val="Compact"/>
        <w:numPr>
          <w:ilvl w:val="0"/>
          <w:numId w:val="1006"/>
        </w:numPr>
        <w:jc w:val="both"/>
        <w:keepNext w:val="0"/>
        <w:keepLines w:val="0"/>
        <w:widowControl w:val="1"/>
      </w:pPr>
      <w:bookmarkStart w:id="117"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6">
        <w:r>
          <w:rPr>
            <w:rStyle w:val="Hyperlink"/>
          </w:rPr>
          <w:t xml:space="preserve">[arXiv]</w:t>
        </w:r>
      </w:hyperlink>
      <w:bookmarkEnd w:id="117"/>
    </w:p>
    <w:p>
      <w:pPr>
        <w:pStyle w:val="Compact"/>
        <w:numPr>
          <w:ilvl w:val="0"/>
          <w:numId w:val="1006"/>
        </w:numPr>
        <w:jc w:val="both"/>
        <w:keepNext w:val="0"/>
        <w:keepLines w:val="0"/>
        <w:widowControl w:val="1"/>
      </w:pPr>
      <w:bookmarkStart w:id="119" w:name="ref-strongcollapse"/>
      <w:r>
        <w:t xml:space="preserve">Anonymous.</w:t>
      </w:r>
      <w:r>
        <w:t xml:space="preserve"> </w:t>
      </w:r>
      <w:r>
        <w:rPr>
          <w:i/>
          <w:iCs/>
        </w:rPr>
        <w:t xml:space="preserve">Strong model collapse.</w:t>
      </w:r>
      <w:r>
        <w:t xml:space="preserve"> </w:t>
      </w:r>
      <w:r>
        <w:t xml:space="preserve">ICLR, 2025.</w:t>
      </w:r>
      <w:r>
        <w:t xml:space="preserve"> </w:t>
      </w:r>
      <w:hyperlink r:id="rId118">
        <w:r>
          <w:rPr>
            <w:rStyle w:val="Hyperlink"/>
          </w:rPr>
          <w:t xml:space="preserve">[ICLR 2025]</w:t>
        </w:r>
      </w:hyperlink>
      <w:bookmarkEnd w:id="119"/>
    </w:p>
    <w:p>
      <w:pPr>
        <w:pStyle w:val="Compact"/>
        <w:numPr>
          <w:ilvl w:val="0"/>
          <w:numId w:val="1006"/>
        </w:numPr>
        <w:jc w:val="both"/>
        <w:keepNext w:val="0"/>
        <w:keepLines w:val="0"/>
        <w:widowControl w:val="1"/>
      </w:pPr>
      <w:bookmarkStart w:id="121"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0">
        <w:r>
          <w:rPr>
            <w:rStyle w:val="Hyperlink"/>
          </w:rPr>
          <w:t xml:space="preserve">[arXiv]</w:t>
        </w:r>
      </w:hyperlink>
      <w:bookmarkEnd w:id="121"/>
    </w:p>
    <w:p>
      <w:pPr>
        <w:pStyle w:val="Compact"/>
        <w:numPr>
          <w:ilvl w:val="0"/>
          <w:numId w:val="1006"/>
        </w:numPr>
        <w:jc w:val="both"/>
        <w:keepNext w:val="0"/>
        <w:keepLines w:val="0"/>
        <w:widowControl w:val="1"/>
      </w:pPr>
      <w:bookmarkStart w:id="123"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2">
        <w:r>
          <w:rPr>
            <w:rStyle w:val="Hyperlink"/>
          </w:rPr>
          <w:t xml:space="preserve">[arXiv]</w:t>
        </w:r>
      </w:hyperlink>
      <w:bookmarkEnd w:id="123"/>
    </w:p>
    <w:p>
      <w:pPr>
        <w:pStyle w:val="Compact"/>
        <w:numPr>
          <w:ilvl w:val="0"/>
          <w:numId w:val="1006"/>
        </w:numPr>
        <w:jc w:val="both"/>
        <w:keepNext w:val="0"/>
        <w:keepLines w:val="0"/>
        <w:widowControl w:val="1"/>
      </w:pPr>
      <w:bookmarkStart w:id="125"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4">
        <w:r>
          <w:rPr>
            <w:rStyle w:val="Hyperlink"/>
          </w:rPr>
          <w:t xml:space="preserve">[arXiv]</w:t>
        </w:r>
      </w:hyperlink>
      <w:bookmarkEnd w:id="125"/>
    </w:p>
    <w:p>
      <w:pPr>
        <w:pStyle w:val="Compact"/>
        <w:numPr>
          <w:ilvl w:val="0"/>
          <w:numId w:val="1006"/>
        </w:numPr>
        <w:jc w:val="both"/>
        <w:keepNext w:val="0"/>
        <w:keepLines w:val="0"/>
        <w:widowControl w:val="1"/>
      </w:pPr>
      <w:bookmarkStart w:id="127"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6">
        <w:r>
          <w:rPr>
            <w:rStyle w:val="Hyperlink"/>
          </w:rPr>
          <w:t xml:space="preserve">[OpenReview]</w:t>
        </w:r>
      </w:hyperlink>
      <w:bookmarkEnd w:id="127"/>
    </w:p>
    <w:p>
      <w:pPr>
        <w:pStyle w:val="Compact"/>
        <w:numPr>
          <w:ilvl w:val="0"/>
          <w:numId w:val="1006"/>
        </w:numPr>
        <w:jc w:val="both"/>
        <w:keepNext w:val="0"/>
        <w:keepLines w:val="0"/>
        <w:widowControl w:val="1"/>
      </w:pPr>
      <w:bookmarkStart w:id="129"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8">
        <w:r>
          <w:rPr>
            <w:rStyle w:val="Hyperlink"/>
          </w:rPr>
          <w:t xml:space="preserve">[arXiv]</w:t>
        </w:r>
      </w:hyperlink>
      <w:bookmarkEnd w:id="129"/>
    </w:p>
    <w:bookmarkEnd w:id="130"/>
    <w:bookmarkStart w:id="131"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6">
        <w:r>
          <w:rPr>
            <w:rStyle w:val="Hyperlink"/>
          </w:rPr>
          <w:t xml:space="preserve">github.com/ApartsinProjects/PromptForge</w:t>
        </w:r>
      </w:hyperlink>
      <w:r>
        <w:t xml:space="preserve">.</w:t>
      </w:r>
      <w:r>
        <w:t xml:space="preserve"> </w:t>
      </w:r>
      <w:r>
        <w:t xml:space="preserve">Word version:</w:t>
      </w:r>
      <w:r>
        <w:t xml:space="preserve"> </w:t>
      </w:r>
      <w:hyperlink r:id="rId9">
        <w:r>
          <w:rPr>
            <w:rStyle w:val="Hyperlink"/>
          </w:rPr>
          <w:t xml:space="preserve">attrforge.docx</w:t>
        </w:r>
      </w:hyperlink>
      <w:r>
        <w:t xml:space="preserve">.</w:t>
      </w:r>
    </w:p>
    <w:bookmarkEnd w:id="13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description>We adapt four GAN mode-collapse defenses (PacGAN, MSGAN, ban-list, density-ratio coverage) into a multi-critic LLM prompt-debugging loop and document a diversity-discriminability tradeoff: adding the 4 GAN-style adversaries to a 3-critic baseline drops downstream macro F1 by 0.18 while measurably increasing surface diversity.</dc:description>
  <dc:language>en</dc:language>
  <cp:keywords/>
  <dcterms:created xsi:type="dcterms:W3CDTF">2026-06-01T08:03:36Z</dcterms:created>
  <dcterms:modified xsi:type="dcterms:W3CDTF">2026-06-01T08:03:36Z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figures/architecture.png</vt:lpwstr>
  </property>
  <property fmtid="{D5CDD505-2E9C-101B-9397-08002B2CF9AE}" pid="4" name="twitter:title">
    <vt:lpwstr>More Critics, Worse Data?</vt:lpwstr>
  </property>
  <property fmtid="{D5CDD505-2E9C-101B-9397-08002B2CF9AE}" pid="5" name="viewport">
    <vt:lpwstr>width=device-width, initial-scale=1</vt:lpwstr>
  </property>
</Properties>
</file>