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generate labeled training data when real data is scarce. Naive prompting produces samples that are repetitive, over-polished, and only weakly tied to requested attributes. A common response is to add LLM critics that audit each batch and feed structured feedback back into the generation prompt. The existing literature treats this as a single-axis problem in which more critics yield better data. We test that assumption. We adapt four classical GAN mode-collapse defenses (PacGAN, MSGAN, ban-list training, density-ratio coverage) into a seven-critic prompt-debugging loop, alongside three baseline critics (attribute verifier, realism discriminator, diversity auditor).</w:t>
      </w:r>
    </w:p>
    <w:p>
      <w:pPr>
        <w:pStyle w:val="BodyText"/>
        <w:jc w:val="both"/>
        <w:keepNext w:val="0"/>
        <w:keepLines w:val="0"/>
        <w:widowControl w:val="1"/>
      </w:pPr>
      <w:r>
        <w:t xml:space="preserve">Across five random seeds on a customer-support intent classification task with</w:t>
      </w:r>
      <w:r>
        <w:t xml:space="preserve"> </w:t>
      </w:r>
      <w:r>
        <w:rPr>
          <w:rStyle w:val="VerbatimChar"/>
        </w:rPr>
        <w:t xml:space="preserve">gpt-4o-mini</w:t>
      </w:r>
      <w:r>
        <w:t xml:space="preserve">, the seven-critic loop scores macro F1</w:t>
      </w:r>
      <w:r>
        <w:t xml:space="preserve"> </w:t>
      </w:r>
      <m:oMath>
        <m:r>
          <m:t>0.47</m:t>
        </m:r>
        <m:r>
          <m:rPr>
            <m:sty m:val="p"/>
          </m:rPr>
          <m:t>±</m:t>
        </m:r>
        <m:r>
          <m:t>0.11</m:t>
        </m:r>
      </m:oMath>
      <w:r>
        <w:t xml:space="preserve"> </w:t>
      </w:r>
      <w:r>
        <w:t xml:space="preserve">against the three-critic baseline's</w:t>
      </w:r>
      <w:r>
        <w:t xml:space="preserve"> </w:t>
      </w:r>
      <m:oMath>
        <m:r>
          <m:t>0.61</m:t>
        </m:r>
        <m:r>
          <m:rPr>
            <m:sty m:val="p"/>
          </m:rPr>
          <m:t>±</m:t>
        </m:r>
        <m:r>
          <m:t>0.06</m:t>
        </m:r>
      </m:oMath>
      <w:r>
        <w:t xml:space="preserve"> </w:t>
      </w:r>
      <w:r>
        <w:t xml:space="preserve">when the downstream classifier is TF-IDF</w:t>
      </w:r>
      <w:r>
        <w:t xml:space="preserve"> </w:t>
      </w:r>
      <m:oMath>
        <m:r>
          <m:rPr>
            <m:sty m:val="p"/>
          </m:rPr>
          <m:t>+</m:t>
        </m:r>
      </m:oMath>
      <w:r>
        <w:t xml:space="preserve"> </w:t>
      </w:r>
      <w:r>
        <w:t xml:space="preserve">logistic regression. The gap is statistically significant (paired-t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95% bootstrap CI</w:t>
      </w:r>
      <w:r>
        <w:t xml:space="preserve"> </w:t>
      </w:r>
      <m:oMath>
        <m:r>
          <m:rPr>
            <m:sty m:val="p"/>
          </m:rPr>
          <m:t>[</m:t>
        </m:r>
        <m:r>
          <m:rPr>
            <m:sty m:val="p"/>
          </m:rPr>
          <m:t>−</m:t>
        </m:r>
        <m:r>
          <m:t>0.231</m:t>
        </m:r>
        <m:r>
          <m:rPr>
            <m:sty m:val="p"/>
          </m:rPr>
          <m:t>,</m:t>
        </m:r>
        <m:r>
          <m:rPr>
            <m:sty m:val="p"/>
          </m:rPr>
          <m:t>−</m:t>
        </m:r>
        <m:r>
          <m:t>0.055</m:t>
        </m:r>
        <m:r>
          <m:rPr>
            <m:sty m:val="p"/>
          </m:rPr>
          <m:t>]</m:t>
        </m:r>
      </m:oMath>
      <w:r>
        <w:t xml:space="preserve"> </w:t>
      </w:r>
      <w:r>
        <w:t xml:space="preserve">on the mean diff). Under sentence-transformer features the same comparison is statistically indistinguishable from zero (</w:t>
      </w:r>
      <m:oMath>
        <m:r>
          <m:t>0.68</m:t>
        </m:r>
        <m:r>
          <m:rPr>
            <m:sty m:val="p"/>
          </m:rPr>
          <m:t>±</m:t>
        </m:r>
        <m:r>
          <m:t>0.10</m:t>
        </m:r>
      </m:oMath>
      <w:r>
        <w:t xml:space="preserve"> </w:t>
      </w:r>
      <w:r>
        <w:t xml:space="preserve">vs</w:t>
      </w:r>
      <w:r>
        <w:t xml:space="preserve"> </w:t>
      </w:r>
      <m:oMath>
        <m:r>
          <m:t>0.69</m:t>
        </m:r>
        <m:r>
          <m:rPr>
            <m:sty m:val="p"/>
          </m:rPr>
          <m:t>±</m:t>
        </m:r>
        <m:r>
          <m:t>0.10</m:t>
        </m:r>
      </m:oMath>
      <w:r>
        <w:t xml:space="preserve">, paired-t</w:t>
      </w:r>
      <w:r>
        <w:t xml:space="preserve"> </w:t>
      </w:r>
      <m:oMath>
        <m:r>
          <m:t>p</m:t>
        </m:r>
        <m:r>
          <m:rPr>
            <m:sty m:val="p"/>
          </m:rPr>
          <m:t>=</m:t>
        </m:r>
        <m:r>
          <m:t>0.82</m:t>
        </m:r>
      </m:oMath>
      <w:r>
        <w:t xml:space="preserve">, CI</w:t>
      </w:r>
      <w:r>
        <w:t xml:space="preserve"> </w:t>
      </w:r>
      <m:oMath>
        <m:r>
          <m:rPr>
            <m:sty m:val="p"/>
          </m:rPr>
          <m:t>[</m:t>
        </m:r>
        <m:r>
          <m:rPr>
            <m:sty m:val="p"/>
          </m:rPr>
          <m:t>−</m:t>
        </m:r>
        <m:r>
          <m:t>0.113</m:t>
        </m:r>
        <m:r>
          <m:rPr>
            <m:sty m:val="p"/>
          </m:rPr>
          <m:t>,</m:t>
        </m:r>
        <m:r>
          <m:rPr>
            <m:sty m:val="p"/>
          </m:rPr>
          <m:t>+</m:t>
        </m:r>
        <m:r>
          <m:t>0.093</m:t>
        </m:r>
        <m:r>
          <m:rPr>
            <m:sty m:val="p"/>
          </m:rPr>
          <m:t>]</m:t>
        </m:r>
      </m:oMath>
      <w:r>
        <w:t xml:space="preserve">). The cost of the GAN-style adversaries is measurable under a keyword-driven downstream classifier and absorbed under an embedding-based one. The diversity-utility tradeoff is a joint property of the synthetic dataset and the downstream classifier's representation capacity, not a property of the dataset alone.</w:t>
      </w:r>
    </w:p>
    <w:p>
      <w:pPr>
        <w:pStyle w:val="BodyText"/>
        <w:jc w:val="both"/>
        <w:keepNext w:val="0"/>
        <w:keepLines w:val="0"/>
        <w:widowControl w:val="1"/>
      </w:pPr>
      <w:r>
        <w:t xml:space="preserve">We additionally contribute (i) a post-hoc adversary audit that re-runs every critic on every condition's final batch against a real-vs-real null reference, removing the circular evaluation problem of single-critic ablations; (ii) a structured-feedback contract that lets new critics be added without changing the surrounding loop; and (iii) two boundary measurements that delimit the scope of the main result (the loop-internal realism discriminator becomes more confident through iteration, and the density-ratio coverage classifier remains saturated 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generate labeled training data when real data is scarce. Naive prompting produces three intertwined pathologies:</w:t>
      </w:r>
      <w:r>
        <w:t xml:space="preserve"> </w:t>
      </w:r>
      <w:r>
        <w:rPr>
          <w:i/>
          <w:iCs/>
        </w:rPr>
        <w:t xml:space="preserve">attribute infidelity</w:t>
      </w:r>
      <w:r>
        <w:t xml:space="preserve"> </w:t>
      </w:r>
      <w:r>
        <w:t xml:space="preserve">(the text does not reflect the requested labels),</w:t>
      </w:r>
      <w:r>
        <w:t xml:space="preserve"> </w:t>
      </w:r>
      <w:r>
        <w:rPr>
          <w:i/>
          <w:iCs/>
        </w:rPr>
        <w:t xml:space="preserve">over-polished realism</w:t>
      </w:r>
      <w:r>
        <w:t xml:space="preserve"> </w:t>
      </w:r>
      <w:r>
        <w:t xml:space="preserve">(samples are detectably synthetic), and</w:t>
      </w:r>
      <w:r>
        <w:t xml:space="preserve"> </w:t>
      </w:r>
      <w:r>
        <w:rPr>
          <w:i/>
          <w:iCs/>
        </w:rPr>
        <w:t xml:space="preserve">shallow diversity</w:t>
      </w:r>
      <w:r>
        <w:t xml:space="preserve"> </w:t>
      </w:r>
      <w:r>
        <w:t xml:space="preserve">(samples are paraphrases of a small set of templates). A common response is to add critics: an attribute verifier, a realism discriminator, and a diversity auditor.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as a steady accumulation: more critics, more rewriting capacity, better data. We ask whether that accumulation actually improves downstream utility, and how the field would tell.</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density-ratio coverage</w:t>
      </w:r>
      <w:r>
        <w:t xml:space="preserve"> </w:t>
      </w:r>
      <w:hyperlink w:anchor="ref-densityratio">
        <w:r>
          <w:rPr>
            <w:rStyle w:val="Hyperlink"/>
          </w:rPr>
          <w:t xml:space="preserve">[9]</w:t>
        </w:r>
      </w:hyperlink>
      <w:r>
        <w:t xml:space="preserve">) into a multi-critic prompt-debugging loop. The same synthetic-data batches yield different downstream rankings depending on the classifier. Under TF-IDF</w:t>
      </w:r>
      <w:r>
        <w:t xml:space="preserve"> </w:t>
      </w:r>
      <m:oMath>
        <m:r>
          <m:rPr>
            <m:sty m:val="p"/>
          </m:rPr>
          <m:t>+</m:t>
        </m:r>
      </m:oMath>
      <w:r>
        <w:t xml:space="preserve"> </w:t>
      </w:r>
      <w:r>
        <w:t xml:space="preserve">logistic regression, a three-critic loop scores macro F1</w:t>
      </w:r>
      <w:r>
        <w:t xml:space="preserve"> </w:t>
      </w:r>
      <m:oMath>
        <m:r>
          <m:t>0.61</m:t>
        </m:r>
        <m:r>
          <m:rPr>
            <m:sty m:val="p"/>
          </m:rPr>
          <m:t>±</m:t>
        </m:r>
        <m:r>
          <m:t>0.06</m:t>
        </m:r>
      </m:oMath>
      <w:r>
        <w:t xml:space="preserve"> </w:t>
      </w:r>
      <w:r>
        <w:t xml:space="preserve">and a seven-critic loop (the three baseline critics plus the four GAN-style adversaries) scores</w:t>
      </w:r>
      <w:r>
        <w:t xml:space="preserve"> </w:t>
      </w:r>
      <m:oMath>
        <m:r>
          <m:t>0.47</m:t>
        </m:r>
        <m:r>
          <m:rPr>
            <m:sty m:val="p"/>
          </m:rPr>
          <m:t>±</m:t>
        </m:r>
        <m:r>
          <m:t>0.11</m:t>
        </m:r>
      </m:oMath>
      <w:r>
        <w:t xml:space="preserve"> </w:t>
      </w:r>
      <w:r>
        <w:t xml:space="preserve">(paired-t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Under sentence-transformer features the two loops are statistically indistinguishable (</w:t>
      </w:r>
      <m:oMath>
        <m:r>
          <m:t>0.69</m:t>
        </m:r>
        <m:r>
          <m:rPr>
            <m:sty m:val="p"/>
          </m:rPr>
          <m:t>±</m:t>
        </m:r>
        <m:r>
          <m:t>0.10</m:t>
        </m:r>
      </m:oMath>
      <w:r>
        <w:t xml:space="preserve"> </w:t>
      </w:r>
      <w:r>
        <w:t xml:space="preserve">vs</w:t>
      </w:r>
      <w:r>
        <w:t xml:space="preserve"> </w:t>
      </w:r>
      <m:oMath>
        <m:r>
          <m:t>0.68</m:t>
        </m:r>
        <m:r>
          <m:rPr>
            <m:sty m:val="p"/>
          </m:rPr>
          <m:t>±</m:t>
        </m:r>
        <m:r>
          <m:t>0.10</m:t>
        </m:r>
      </m:oMath>
      <w:r>
        <w:t xml:space="preserve">,</w:t>
      </w:r>
      <w:r>
        <w:t xml:space="preserve"> </w:t>
      </w:r>
      <m:oMath>
        <m:r>
          <m:t>p</m:t>
        </m:r>
        <m:r>
          <m:rPr>
            <m:sty m:val="p"/>
          </m:rPr>
          <m:t>=</m:t>
        </m:r>
        <m:r>
          <m:t>0.82</m:t>
        </m:r>
      </m:oMath>
      <w:r>
        <w:t xml:space="preserve">). The cost of the GAN-style adversaries to downstream utility is measurable under a low-capacity reader and absorbed under a stronger one.</w:t>
      </w:r>
    </w:p>
    <w:p>
      <w:pPr>
        <w:pStyle w:val="BodyText"/>
        <w:jc w:val="both"/>
        <w:keepNext w:val="0"/>
        <w:keepLines w:val="0"/>
        <w:widowControl w:val="1"/>
      </w:pPr>
      <w:r>
        <w:t xml:space="preserve">The mechanism is a</w:t>
      </w:r>
      <w:r>
        <w:t xml:space="preserve"> </w:t>
      </w:r>
      <w:r>
        <w:rPr>
          <w:i/>
          <w:iCs/>
        </w:rPr>
        <w:t xml:space="preserve">representation-dependent diversity-utility tradeoff</w:t>
      </w:r>
      <w:r>
        <w:t xml:space="preserve">. Critic-driven prompt updates inject surface variation that disrupts the keyword consistency a TF-IDF classifier relies on; that variation occupies a region of the sentence-transformer embedding space the deeper representation absorbs as additional coverage. The GAN-style adversaries work as designed at the data level: the Mode Hunter accumulates</w:t>
      </w:r>
      <w:r>
        <w:t xml:space="preserve"> </w:t>
      </w:r>
      <m:oMath>
        <m:r>
          <m:t>11.6</m:t>
        </m:r>
        <m:r>
          <m:rPr>
            <m:sty m:val="p"/>
          </m:rPr>
          <m:t>±</m:t>
        </m:r>
        <m:r>
          <m:t>0.6</m:t>
        </m:r>
      </m:oMath>
      <w:r>
        <w:t xml:space="preserve"> </w:t>
      </w:r>
      <w:r>
        <w:t xml:space="preserve">distinct LLM-tic phrasings across three iterations and we verify each is suppressed in subsequent generation. The loop-internal realism discriminator becomes more confident in detecting synthetic patterns through iteration. The attribute-match rate stays below 10%. The post-hoc Pack Discriminator audit shows iterated conditions cluster near the real-vs-real null reference. None of these signals are visible to ablation tables that report only one downstream classifier per row.</w:t>
      </w:r>
    </w:p>
    <w:p>
      <w:pPr>
        <w:pStyle w:val="BodyText"/>
        <w:jc w:val="both"/>
        <w:keepNext w:val="0"/>
        <w:keepLines w:val="0"/>
        <w:widowControl w:val="1"/>
      </w:pPr>
      <w:r>
        <w:t xml:space="preserve">The paper bridges three literatures. From</w:t>
      </w:r>
      <w:r>
        <w:t xml:space="preserve"> </w:t>
      </w:r>
      <w:r>
        <w:rPr>
          <w:i/>
          <w:iCs/>
        </w:rPr>
        <w:t xml:space="preserve">prompt optimization with LLM judges</w:t>
      </w:r>
      <w:r>
        <w:t xml:space="preserve">, we inherit the iterative rewrite loop.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LLM-generated synthetic data has a structural twin in the GAN literature; the defenses transfer with small modifications.</w:t>
      </w:r>
    </w:p>
    <w:p>
      <w:pPr>
        <w:pStyle w:val="BodyText"/>
        <w:jc w:val="both"/>
        <w:keepNext w:val="0"/>
        <w:keepLines w:val="0"/>
        <w:widowControl w:val="1"/>
      </w:pPr>
      <w:r>
        <w:t xml:space="preserve">Our contributions are five. First, a multi-objective prompt-debugging framework with structured feedback, length-budgeted rewrites, and a per-critic ablation flag (Section 4). Second, four GAN-inspired mode-collapse adversaries adapted to the prompt-debugging setting (Section 5). Third, a post-hoc adversary audit protocol that runs every critic on every condition's final batch with re-seeded RNG and a real-vs-real null reference, removing the circular evaluation problem of single-critic ablations (Section 8). Fourth, a representation-dependent diversity-utility tradeoff as the main empirical finding (Section 7). Fifth, an open-source implementation with a multi-classifier downstream evaluator that supports OpenAI, Anthropic, and offline backends.</w:t>
      </w:r>
    </w:p>
    <w:bookmarkEnd w:id="11"/>
    <w:bookmarkStart w:id="21"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End w:id="21"/>
    <w:bookmarkStart w:id="22"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2"/>
    <w:bookmarkStart w:id="27"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3"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3"/>
    <w:bookmarkStart w:id="24"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4"/>
    <w:bookmarkStart w:id="25"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5"/>
    <w:bookmarkStart w:id="26"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6"/>
    <w:bookmarkEnd w:id="27"/>
    <w:bookmarkStart w:id="32"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8"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8"/>
    <w:bookmarkStart w:id="29"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29"/>
    <w:bookmarkStart w:id="30"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0"/>
    <w:bookmarkStart w:id="31"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1"/>
    <w:bookmarkEnd w:id="32"/>
    <w:bookmarkStart w:id="37" w:name="sec-experiments"/>
    <w:p>
      <w:pPr>
        <w:pStyle w:val="Heading2"/>
        <w:keepNext/>
        <w:keepLines/>
        <w:widowControl w:val="1"/>
      </w:pPr>
      <w:r>
        <w:t xml:space="preserve">6</w:t>
      </w:r>
      <w:r>
        <w:t xml:space="preserve">Experimental setup</w:t>
      </w:r>
    </w:p>
    <w:bookmarkStart w:id="33"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3"/>
    <w:bookmarkStart w:id="34"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results with</w:t>
      </w:r>
      <w:r>
        <w:t xml:space="preserve"> </w:t>
      </w:r>
      <w:r>
        <w:rPr>
          <w:rStyle w:val="VerbatimChar"/>
        </w:rPr>
        <w:t xml:space="preserve">gpt-4o-mini</w:t>
      </w:r>
      <w:r>
        <w:t xml:space="preserve"> </w:t>
      </w:r>
      <w:r>
        <w:t xml:space="preserve">as both generator and every critic, across 5 random seeds, 7 conditions, and 3 iterations of 16 samples each (35 condition-runs in total). A deterministic offline simulator is available in the repository for unit-test and CI use but is not used for the reported numbers.</w:t>
      </w:r>
    </w:p>
    <w:bookmarkEnd w:id="34"/>
    <w:bookmarkStart w:id="35"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five random seeds (17, 23, 41, 53, 89), same dataset,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w:t>
      </w:r>
    </w:p>
    <w:tbl>
      <w:tblPr>
        <w:tblStyle w:val="Table"/>
        <w:tblW w:type="pct" w:w="5000"/>
        <w:jc w:val="center"/>
        <w:tblLook w:firstRow="1" w:lastRow="0" w:firstColumn="0" w:lastColumn="0" w:noHBand="0" w:noVBand="0" w:val="0020"/>
        <w:tblCaption w:val="Table 2: Conditions evaluated. Same generator (live gpt-4o-mini, temperature 0.9), same five random seeds (17, 23, 41, 53, 89), same dataset,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Section 7 numbers:</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53 89 \</w:t>
      </w:r>
      <w:r>
        <w:br/>
      </w:r>
      <w:r>
        <w:rPr>
          <w:rStyle w:val="VerbatimChar"/>
        </w:rPr>
        <w:t xml:space="preserve">  --conditions naive few_shot self_critique realism_only diversity_only full_classic full_attrforge</w:t>
      </w:r>
      <w:r>
        <w:br/>
      </w:r>
      <w:r>
        <w:br/>
      </w:r>
      <w:r>
        <w:rPr>
          <w:rStyle w:val="VerbatimChar"/>
        </w:rPr>
        <w:t xml:space="preserve"># Section 8 (post-hoc adversary audit):</w:t>
      </w:r>
      <w:r>
        <w:br/>
      </w:r>
      <w:r>
        <w:rPr>
          <w:rStyle w:val="VerbatimChar"/>
        </w:rPr>
        <w:t xml:space="preserve">for seed in 17 23 41 53 89; do</w:t>
      </w:r>
      <w:r>
        <w:br/>
      </w:r>
      <w:r>
        <w:rPr>
          <w:rStyle w:val="VerbatimChar"/>
        </w:rPr>
        <w:t xml:space="preserve">  python scripts/posthoc_audit.py --seed ${seed} --backend openai</w:t>
      </w:r>
      <w:r>
        <w:br/>
      </w:r>
      <w:r>
        <w:rPr>
          <w:rStyle w:val="VerbatimChar"/>
        </w:rPr>
        <w:t xml:space="preserve">done</w:t>
      </w:r>
      <w:r>
        <w:br/>
      </w:r>
      <w:r>
        <w:br/>
      </w:r>
      <w:r>
        <w:rPr>
          <w:rStyle w:val="VerbatimChar"/>
        </w:rPr>
        <w:t xml:space="preserve">python scripts/aggregate_multiseed.py</w:t>
      </w:r>
    </w:p>
    <w:bookmarkEnd w:id="35"/>
    <w:bookmarkStart w:id="36"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6"/>
    <w:bookmarkEnd w:id="37"/>
    <w:bookmarkStart w:id="42" w:name="sec-results"/>
    <w:p>
      <w:pPr>
        <w:pStyle w:val="Heading2"/>
        <w:keepNext/>
        <w:keepLines/>
        <w:widowControl w:val="1"/>
      </w:pPr>
      <w:r>
        <w:t xml:space="preserve">7</w:t>
      </w:r>
      <w:r>
        <w:t xml:space="preserve">Results</w:t>
      </w:r>
    </w:p>
    <w:bookmarkStart w:id="38" w:name="X6cdd255ac662cf50841aabe9a81f5b76e7548bf"/>
    <w:p>
      <w:pPr>
        <w:pStyle w:val="Heading3"/>
        <w:keepNext/>
        <w:keepLines/>
        <w:widowControl w:val="1"/>
      </w:pPr>
      <w:r>
        <w:t xml:space="preserve">7.1</w:t>
      </w:r>
      <w:r>
        <w:t xml:space="preserve">Headline finding under a TF-IDF reader: a 0.18 macro-F1 gap</w:t>
      </w:r>
    </w:p>
    <w:p>
      <w:pPr>
        <w:spacing w:before="160" w:after="60" w:line="240" w:lineRule="auto"/>
        <w:keepNext/>
        <w:keepLines/>
        <w:widowControl w:val="1"/>
      </w:pPr>
      <w:r>
        <w:rPr>
          <w:b/>
          <w:i/>
        </w:rPr>
        <w:t>Table 3:</w:t>
      </w:r>
      <w:r>
        <w:rPr>
          <w:b w:val="0"/>
          <w:i/>
        </w:rPr>
        <w:t xml:space="preserve"> </w:t>
      </w:r>
      <w:r>
        <w:rPr>
          <w:b w:val="0"/>
          <w:i/>
        </w:rPr>
        <w:t>Per-condition metrics at the final iteration, mean ± std over 5 random seeds, live gpt-4o-mini. "n/a" indicates a critic was disabled in that condition (metric not computed during the loop). Post-hoc adversary audit numbers are in Section 8 (Table 6). Bold cells highlight the TF-IDF gap.</w:t>
      </w:r>
    </w:p>
    <w:tbl>
      <w:tblPr>
        <w:tblStyle w:val="Table"/>
        <w:tblW w:type="pct" w:w="5000"/>
        <w:jc w:val="center"/>
        <w:tblLook w:firstRow="1" w:lastRow="0" w:firstColumn="0" w:lastColumn="0" w:noHBand="0" w:noVBand="0" w:val="0020"/>
        <w:tblCaption w:val="Table 3: Per-condition metrics at the final iteration, mean ± std over 5 random seeds, live gpt-4o-mini. &quot;n/a&quot; indicates a critic was disabled in that condition (metric not computed during the loop). Post-hoc adversary audit numbers are in Section 8 (Table 6). Bold cells highlight the TF-IDF g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 ± 0.33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 ± 0.11</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0.52 ± 0.13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0.47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0.90 ± 0.15</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0.61</m:t>
        </m:r>
        <m:r>
          <m:rPr>
            <m:sty m:val="p"/>
          </m:rPr>
          <m:t>±</m:t>
        </m:r>
        <m:r>
          <m:t>0.06</m:t>
        </m:r>
      </m:oMath>
      <w:r>
        <w:t xml:space="preserve"> </w:t>
      </w:r>
      <w:r>
        <w:t xml:space="preserve">and the seven-critic loop (</w:t>
      </w:r>
      <w:r>
        <w:rPr>
          <w:rStyle w:val="VerbatimChar"/>
        </w:rPr>
        <w:t xml:space="preserve">full_attrforge</w:t>
      </w:r>
      <w:r>
        <w:t xml:space="preserve">) achieves</w:t>
      </w:r>
      <w:r>
        <w:t xml:space="preserve"> </w:t>
      </w:r>
      <m:oMath>
        <m:r>
          <m:t>0.47</m:t>
        </m:r>
        <m:r>
          <m:rPr>
            <m:sty m:val="p"/>
          </m:rPr>
          <m:t>±</m:t>
        </m:r>
        <m:r>
          <m:t>0.11</m:t>
        </m:r>
      </m:oMath>
      <w:r>
        <w:t xml:space="preserve">. The mean paired difference is</w:t>
      </w:r>
      <w:r>
        <w:t xml:space="preserve"> </w:t>
      </w:r>
      <m:oMath>
        <m:r>
          <m:rPr>
            <m:sty m:val="p"/>
          </m:rPr>
          <m:t>−</m:t>
        </m:r>
        <m:r>
          <m:t>0.144</m:t>
        </m:r>
      </m:oMath>
      <w:r>
        <w:t xml:space="preserve"> </w:t>
      </w:r>
      <w:r>
        <w:t xml:space="preserve">with 95% bootstrap CI</w:t>
      </w:r>
      <w:r>
        <w:t xml:space="preserve"> </w:t>
      </w:r>
      <m:oMath>
        <m:r>
          <m:rPr>
            <m:sty m:val="p"/>
          </m:rPr>
          <m:t>[</m:t>
        </m:r>
        <m:r>
          <m:rPr>
            <m:sty m:val="p"/>
          </m:rPr>
          <m:t>−</m:t>
        </m:r>
        <m:r>
          <m:t>0.231</m:t>
        </m:r>
        <m:r>
          <m:rPr>
            <m:sty m:val="p"/>
          </m:rPr>
          <m:t>,</m:t>
        </m:r>
        <m:r>
          <m:rPr>
            <m:sty m:val="p"/>
          </m:rPr>
          <m:t>−</m:t>
        </m:r>
        <m:r>
          <m:t>0.055</m:t>
        </m:r>
        <m:r>
          <m:rPr>
            <m:sty m:val="p"/>
          </m:rPr>
          <m:t>]</m:t>
        </m:r>
      </m:oMath>
      <w:r>
        <w:t xml:space="preserve"> </w:t>
      </w:r>
      <w:r>
        <w:t xml:space="preserve">(excluding zero). The gap is in the same direction in 4 of 5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w:t>
      </w:r>
      <w:r>
        <w:t xml:space="preserve"> </w:t>
      </w:r>
      <m:oMath>
        <m:r>
          <m:rPr>
            <m:sty m:val="p"/>
          </m:rPr>
          <m:t>−</m:t>
        </m:r>
        <m:r>
          <m:t>0.17</m:t>
        </m:r>
      </m:oMath>
      <w:r>
        <w:t xml:space="preserve">,</w:t>
      </w:r>
      <w:r>
        <w:t xml:space="preserve"> </w:t>
      </w:r>
      <m:oMath>
        <m:r>
          <m:rPr>
            <m:sty m:val="p"/>
          </m:rPr>
          <m:t>+</m:t>
        </m:r>
        <m:r>
          <m:t>0.01</m:t>
        </m:r>
      </m:oMath>
      <w:r>
        <w:t xml:space="preserve">); 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Wilcoxon</w:t>
      </w:r>
      <w:r>
        <w:t xml:space="preserve"> </w:t>
      </w:r>
      <m:oMath>
        <m:r>
          <m:t>p</m:t>
        </m:r>
        <m:r>
          <m:rPr>
            <m:sty m:val="p"/>
          </m:rPr>
          <m:t>=</m:t>
        </m:r>
        <m:r>
          <m:t>0.125</m:t>
        </m:r>
      </m:oMath>
      <w:r>
        <w:t xml:space="preserve">.</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0.93</m:t>
        </m:r>
        <m:r>
          <m:rPr>
            <m:sty m:val="p"/>
          </m:rPr>
          <m:t>±</m:t>
        </m:r>
        <m:r>
          <m:t>0.11</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0.90</m:t>
        </m:r>
        <m:r>
          <m:rPr>
            <m:sty m:val="p"/>
          </m:rPr>
          <m:t>±</m:t>
        </m:r>
        <m:r>
          <m:t>0.15</m:t>
        </m:r>
      </m:oMath>
      <w:r>
        <w:t xml:space="preserve"> </w:t>
      </w:r>
      <w:r>
        <w:t xml:space="preserve">(chance is</w:t>
      </w:r>
      <w:r>
        <w:t xml:space="preserve"> </w:t>
      </w:r>
      <m:oMath>
        <m:r>
          <m:t>0.50</m:t>
        </m:r>
      </m:oMath>
      <w:r>
        <w:t xml:space="preserve">). The 7-critic loop softens the trend by</w:t>
      </w:r>
      <w:r>
        <w:t xml:space="preserve"> </w:t>
      </w:r>
      <m:oMath>
        <m:r>
          <m:t>0.03</m:t>
        </m:r>
      </m:oMath>
      <w:r>
        <w:t xml:space="preserve">.</w:t>
      </w:r>
      <w:r>
        <w:t xml:space="preserve"> </w:t>
      </w:r>
      <w:r>
        <w:rPr>
          <w:b/>
          <w:bCs/>
        </w:rPr>
        <w:t xml:space="preserve">(iii)</w:t>
      </w:r>
      <w:r>
        <w:t xml:space="preserve"> </w:t>
      </w:r>
      <w:r>
        <w:t xml:space="preserve">Attribute-match rate measured by the LLM verifier is</w:t>
      </w:r>
      <w:r>
        <w:t xml:space="preserve"> </w:t>
      </w:r>
      <m:oMath>
        <m:r>
          <m:t>0.09</m:t>
        </m:r>
        <m:r>
          <m:rPr>
            <m:sty m:val="p"/>
          </m:rPr>
          <m:t>±</m:t>
        </m:r>
        <m:r>
          <m:t>0.08</m:t>
        </m:r>
      </m:oMath>
      <w:r>
        <w:t xml:space="preserve"> </w:t>
      </w:r>
      <w:r>
        <w:t xml:space="preserve">for the 3-critic loop and</w:t>
      </w:r>
      <w:r>
        <w:t xml:space="preserve"> </w:t>
      </w:r>
      <m:oMath>
        <m:r>
          <m:t>0.06</m:t>
        </m:r>
        <m:r>
          <m:rPr>
            <m:sty m:val="p"/>
          </m:rPr>
          <m:t>±</m:t>
        </m:r>
        <m:r>
          <m:t>0.06</m:t>
        </m:r>
      </m:oMath>
      <w:r>
        <w:t xml:space="preserve"> </w:t>
      </w:r>
      <w:r>
        <w:t xml:space="preserve">for the 7-critic loop; both are well below the requested-attribute target.</w:t>
      </w:r>
    </w:p>
    <w:p>
      <w:pPr>
        <w:pStyle w:val="BodyText"/>
        <w:jc w:val="both"/>
        <w:keepNext w:val="0"/>
        <w:keepLines w:val="0"/>
        <w:widowControl w:val="1"/>
      </w:pPr>
      <w:r>
        <w:t xml:space="preserve">The adversaries are active throughout: the Mode Hunter accumulates a persistent library of</w:t>
      </w:r>
      <w:r>
        <w:t xml:space="preserve"> </w:t>
      </w:r>
      <m:oMath>
        <m:r>
          <m:t>11.6</m:t>
        </m:r>
        <m:r>
          <m:rPr>
            <m:sty m:val="p"/>
          </m:rPr>
          <m:t>±</m:t>
        </m:r>
        <m:r>
          <m:t>0.6</m:t>
        </m:r>
      </m:oMath>
      <w:r>
        <w:t xml:space="preserve"> </w:t>
      </w:r>
      <w:r>
        <w:t xml:space="preserve">banned phrasings across 3 iterations for</w:t>
      </w:r>
      <w:r>
        <w:t xml:space="preserve"> </w:t>
      </w:r>
      <w:r>
        <w:rPr>
          <w:rStyle w:val="VerbatimChar"/>
        </w:rPr>
        <w:t xml:space="preserve">full_attrforge</w:t>
      </w:r>
      <w:r>
        <w:t xml:space="preserve">, and we verify deterministically that each banned phrasing is suppressed in subsequent generation. The framework's design intent is observable in the output: the samples are simultaneously more surface-diverse, less attribute-faithful by LLM-verifier judgment, more LLM-detectable by a per-sample realism discriminator, and harder for a TF-IDF classifier to discriminate by intent.</w:t>
      </w:r>
    </w:p>
    <w:bookmarkEnd w:id="38"/>
    <w:bookmarkStart w:id="39" w:name="X96802fe0c26dc54813bd3ba34e11910b82ebfd8"/>
    <w:p>
      <w:pPr>
        <w:pStyle w:val="Heading3"/>
        <w:keepNext/>
        <w:keepLines/>
        <w:widowControl w:val="1"/>
      </w:pPr>
      <w:r>
        <w:t xml:space="preserve">7.2</w:t>
      </w:r>
      <w:r>
        <w:t xml:space="preserve">Multi-classifier evaluation: the picture depends on the reader</w:t>
      </w:r>
    </w:p>
    <w:p>
      <w:pPr>
        <w:pStyle w:val="FirstParagraph"/>
        <w:jc w:val="both"/>
        <w:keepNext w:val="0"/>
        <w:keepLines w:val="0"/>
        <w:widowControl w:val="1"/>
      </w:pPr>
      <w:r>
        <w:t xml:space="preserve">A single weak downstream classifier (TF-IDF + logistic regression) is the simplest train-on-synthetic / test-on-real protocol, but it gives every downstream signal a strong keyword-consistency prior. To check whether the TF-IDF gap reported in Section 7.1 is a property of the synthetic data or a property of the TF-IDF reading of it, we run the same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2:</w:t>
      </w:r>
      <w:r>
        <w:rPr>
          <w:b w:val="0"/>
          <w:i/>
        </w:rPr>
        <w:t xml:space="preserve"> </w:t>
      </w:r>
      <w:r>
        <w:rPr>
          <w:b w:val="0"/>
          <w:i/>
        </w:rPr>
        <w:t>Downstream macro F1 on the held-out real test set across three classifier choices and the same synthetic-data batches (mean ± std across 5 random seeds). The TF-IDF gap reported in Section 7.1 is visible in the leftmost bars of each group; it does not survive a classifier swap: under sentence-transformer features the comparison between full_classic and full_attrforge is statistically indistinguishable (paired-t , 95% bootstrap CI  on the paired diff). The character -gram classifier sits between the two extremes.</w:t>
      </w:r>
    </w:p>
    <w:p>
      <w:pPr>
        <w:spacing w:before="160" w:after="60" w:line="240" w:lineRule="auto"/>
        <w:keepNext/>
        <w:keepLines/>
        <w:widowControl w:val="1"/>
      </w:pPr>
      <w:r>
        <w:rPr>
          <w:b/>
          <w:i/>
        </w:rPr>
        <w:t>Table 4:</w:t>
      </w:r>
      <w:r>
        <w:rPr>
          <w:b w:val="0"/>
          <w:i/>
        </w:rPr>
        <w:t xml:space="preserve"> </w:t>
      </w:r>
      <w:r>
        <w:rPr>
          <w:b w:val="0"/>
          <w:i/>
        </w:rPr>
        <w:t>Multi-classifier downstream macro F1 (mean ± std across 5 seeds). Bold cells are the best per-classifier column by mean. Under TF-IDF word features the 7-critic loop is below the 3-critic loop in 4 of 5 seeds (paired-t , Wilcoxon , 95% bootstrap CI ).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4: Multi-classifier downstream macro F1 (mean ± std across 5 seeds). Bold cells are the best per-classifier column by mean. Under TF-IDF word features the 7-critic loop is below the 3-critic loop in 4 of 5 seeds (paired-t p=0.046, Wilcoxon p=0.125, 95% bootstrap CI [-0.231, -0.055]). Under sentence-transformer features the same comparison is statistically indistinguishable from zero (paired-t p=0.82, Wilcoxon p=0.88, CI [-0.113, +0.09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 ± 0.08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0.72 ± 0.22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 ± 0.14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 ± 0.10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0.47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0.49 ± 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0.68 ± 0.10</w:t>
            </w:r>
          </w:p>
        </w:tc>
      </w:tr>
    </w:tbl>
    <w:p>
      <w:pPr>
        <w:pStyle w:val="BodyText"/>
        <w:spacing w:before="160"/>
        <w:jc w:val="both"/>
        <w:keepNext w:val="0"/>
        <w:keepLines w:val="0"/>
        <w:widowControl w:val="1"/>
      </w:pPr>
      <w:r>
        <w:t xml:space="preserve">The three classifiers produce different rankings. Under TF-IDF word features the 7-critic loop is consistently below the 3-critic loop. Under sentence-transformer features the two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scores higher by mean (</w:t>
      </w:r>
      <m:oMath>
        <m:r>
          <m:t>0.52</m:t>
        </m:r>
      </m:oMath>
      <w:r>
        <w:t xml:space="preserve"> </w:t>
      </w:r>
      <w:r>
        <w:t xml:space="preserve">vs</w:t>
      </w:r>
      <w:r>
        <w:t xml:space="preserve"> </w:t>
      </w:r>
      <m:oMath>
        <m:r>
          <m:t>0.46</m:t>
        </m:r>
      </m:oMath>
      <w:r>
        <w:t xml:space="preserve">), and the gap is smaller than on word features. The classifier-dependence is the substantive contribution: at the noise floor of a 10-item test set, single-classifier ablation tables produce ordering judgments that do not survive a classifier swap. The cost of the GAN adversaries to a low-capacity downstream classifier is absorbed when the reader has access to dense embeddings.</w:t>
      </w:r>
    </w:p>
    <w:p>
      <w:pPr>
        <w:pStyle w:val="BodyText"/>
        <w:jc w:val="both"/>
        <w:keepNext w:val="0"/>
        <w:keepLines w:val="0"/>
        <w:widowControl w:val="1"/>
      </w:pPr>
      <w:r>
        <w:t xml:space="preserve">Two consequences for the train-on-synthetic / test-on-real protocol. Reports that use only TF-IDF (the historical default in the synthetic-data literature) penalize diversity-inducing methods by construction, because the classifier signal depends on keyword consistency. Reports that use only embedding-based classifiers absorb the same surface variation as additional coverage. Multi-classifier evaluation gives the reader the full distribution of orderings rather than a single one.</w:t>
      </w:r>
    </w:p>
    <w:bookmarkEnd w:id="39"/>
    <w:bookmarkStart w:id="40" w:name="direct-diversity-measurements"/>
    <w:p>
      <w:pPr>
        <w:pStyle w:val="Heading3"/>
        <w:keepNext/>
        <w:keepLines/>
        <w:widowControl w:val="1"/>
      </w:pPr>
      <w:r>
        <w:t xml:space="preserve">7.3</w:t>
      </w:r>
      <w:r>
        <w:t xml:space="preserve">Direct diversity measurements</w:t>
      </w:r>
    </w:p>
    <w:p>
      <w:pPr>
        <w:pStyle w:val="FirstParagraph"/>
        <w:jc w:val="both"/>
        <w:keepNext w:val="0"/>
        <w:keepLines w:val="0"/>
        <w:widowControl w:val="1"/>
      </w:pPr>
      <w:r>
        <w:t xml:space="preserve">To check whether the multi-classifier reading is consistent with model-free direct measurements of diversity, we compute distinct-</w:t>
      </w:r>
      <m:oMath>
        <m:r>
          <m:t>n</m:t>
        </m:r>
      </m:oMath>
      <w:r>
        <w:t xml:space="preserve"> </w:t>
      </w:r>
      <w:hyperlink w:anchor="ref-li-distinct">
        <w:r>
          <w:rPr>
            <w:rStyle w:val="Hyperlink"/>
          </w:rPr>
          <w:t xml:space="preserve">[38]</w:t>
        </w:r>
      </w:hyperlink>
      <w:r>
        <w:t xml:space="preserve"> </w:t>
      </w:r>
      <w:r>
        <w:t xml:space="preserve">and self-BLEU-4 over each condition's final pooled batch. Distinct-</w:t>
      </w:r>
      <m:oMath>
        <m:r>
          <m:t>n</m:t>
        </m:r>
      </m:oMath>
      <w:r>
        <w:t xml:space="preserve"> </w:t>
      </w:r>
      <w:r>
        <w:t xml:space="preserve">is the unique-</w:t>
      </w:r>
      <m:oMath>
        <m:r>
          <m:t>n</m:t>
        </m:r>
      </m:oMath>
      <w:r>
        <w:t xml:space="preserve">-gram / total-</w:t>
      </w:r>
      <m:oMath>
        <m:r>
          <m:t>n</m:t>
        </m:r>
      </m:oMath>
      <w:r>
        <w:t xml:space="preserve">-gram ratio; higher means more lexically diverse. Self-BLEU-4 is the mean BLEU-4 of each sample against the rest of the batch; lower means more diverse.</w:t>
      </w:r>
    </w:p>
    <w:p>
      <w:pPr>
        <w:spacing w:before="160" w:after="60" w:line="240" w:lineRule="auto"/>
        <w:keepNext/>
        <w:keepLines/>
        <w:widowControl w:val="1"/>
      </w:pPr>
      <w:r>
        <w:rPr>
          <w:b/>
          <w:i/>
        </w:rPr>
        <w:t>Table 5:</w:t>
      </w:r>
      <w:r>
        <w:rPr>
          <w:b w:val="0"/>
          <w:i/>
        </w:rPr>
        <w:t xml:space="preserve"> </w:t>
      </w:r>
      <w:r>
        <w:rPr>
          <w:b w:val="0"/>
          <w:i/>
        </w:rPr>
        <w:t>Direct diversity measurements on each condition's final pooled batch, mean ± std across 5 seeds. Bold cells are the best per-column among iterated conditions. full_attrforge has the highest distinct- for all  and the lowest self-BLEU-4 among the five iterated conditions, supporting the claim that the GAN-style adversaries inject genuine lexical diversity. The non-iterated baselines (naive and few_shot) score higher on distinct- because they have not been narrowed by iterative prompt updates; few_shot's 8-exemplar real pool contributes additional surface diversity.</w:t>
      </w:r>
    </w:p>
    <w:tbl>
      <w:tblPr>
        <w:tblStyle w:val="Table"/>
        <w:tblW w:type="pct" w:w="5000"/>
        <w:jc w:val="center"/>
        <w:tblLook w:firstRow="1" w:lastRow="0" w:firstColumn="0" w:lastColumn="0" w:noHBand="0" w:noVBand="0" w:val="0020"/>
        <w:tblCaption w:val="Table 5: Direct diversity measurements on each condition's final pooled batch, mean ± std across 5 seeds. Bold cells are the best per-column among iterated conditions. full_attrforge has the highest distinct-n for all n \in \{1, 2, 3\} and the lowest self-BLEU-4 among the five iterated conditions, supporting the claim that the GAN-style adversaries inject genuine lexical diversity. The non-iterated baselines (naive and few_shot) score higher on distinct-n because they have not been narrowed by iterative prompt updates; few_shot's 8-exemplar real pool contributes additional surface diver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distinct-2</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distinct-3</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self-BLEU-4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0.529 ± 0.014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0.895 ± 0.016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0.973 ± 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0.142 ± 0.019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0.520 ± 0.015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0.902 ± 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0.972 ± 0.010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0.139 ± 0.017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0.370 ± 0.023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0.787 ± 0.026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0.927 ± 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 0.017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0.373 ± 0.025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0.793 ± 0.026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0.939 ± 0.015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0.207 ± 0.023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0.370 ± 0.016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0.785 ± 0.015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0.927 ± 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0.226 ± 0.022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0.369 ± 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 ± 0.010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0.936 ± 0.006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0.207 ± 0.010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0.382 ± 0.024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0.811 ± 0.024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0.942 ± 0.012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0.204 ± 0.019</w:t>
            </w:r>
          </w:p>
        </w:tc>
      </w:tr>
    </w:tbl>
    <w:p>
      <w:pPr>
        <w:pStyle w:val="BodyText"/>
        <w:spacing w:before="160"/>
        <w:jc w:val="both"/>
        <w:keepNext w:val="0"/>
        <w:keepLines w:val="0"/>
        <w:widowControl w:val="1"/>
      </w:pPr>
      <w:r>
        <w:t xml:space="preserve">Among the five iterated conditions, the seven-critic loop has the best score on all four diversity measurements: highest distinct-1, distinct-2, and distinct-3, and lowest self-BLEU-4. The gains are modest (about</w:t>
      </w:r>
      <w:r>
        <w:t xml:space="preserve"> </w:t>
      </w:r>
      <m:oMath>
        <m:r>
          <m:t>0.01</m:t>
        </m:r>
      </m:oMath>
      <w:r>
        <w:t xml:space="preserve"> </w:t>
      </w:r>
      <w:r>
        <w:t xml:space="preserve">to</w:t>
      </w:r>
      <w:r>
        <w:t xml:space="preserve"> </w:t>
      </w:r>
      <m:oMath>
        <m:r>
          <m:t>0.02</m:t>
        </m:r>
      </m:oMath>
      <w:r>
        <w:t xml:space="preserve"> </w:t>
      </w:r>
      <w:r>
        <w:t xml:space="preserve">on distinct-</w:t>
      </w:r>
      <m:oMath>
        <m:r>
          <m:t>n</m:t>
        </m:r>
      </m:oMath>
      <w:r>
        <w:t xml:space="preserve">,</w:t>
      </w:r>
      <w:r>
        <w:t xml:space="preserve"> </w:t>
      </w:r>
      <m:oMath>
        <m:r>
          <m:t>0.003</m:t>
        </m:r>
      </m:oMath>
      <w:r>
        <w:t xml:space="preserve"> </w:t>
      </w:r>
      <w:r>
        <w:t xml:space="preserve">to</w:t>
      </w:r>
      <w:r>
        <w:t xml:space="preserve"> </w:t>
      </w:r>
      <m:oMath>
        <m:r>
          <m:t>0.022</m:t>
        </m:r>
      </m:oMath>
      <w:r>
        <w:t xml:space="preserve"> </w:t>
      </w:r>
      <w:r>
        <w:t xml:space="preserve">lower on self-BLEU-4) and consistent. This is the most direct evidence that the GAN-style adversaries are doing what they were designed to do: increasing surface diversity beyond what the three-critic baseline achieves.</w:t>
      </w:r>
    </w:p>
    <w:bookmarkEnd w:id="40"/>
    <w:bookmarkStart w:id="41" w:name="realism-trajectory"/>
    <w:p>
      <w:pPr>
        <w:pStyle w:val="Heading3"/>
        <w:keepNext/>
        <w:keepLines/>
        <w:widowControl w:val="1"/>
      </w:pPr>
      <w:r>
        <w:t xml:space="preserve">7.4</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Loop-internal realism discriminator accuracy on the mixed real/synth batch, mean ± std across 5 seeds. Chance level () is the target. Conditions without a realism discriminator default to chance because the metric is not computed for them. Among conditions where the discriminator runs, full_attrforge () is the closest to chance, beating full_classic () by . Both are far from the chance target: the loop makes samples more detectable, not less, but the GAN-style adversaries soften the trend.</w:t>
      </w:r>
    </w:p>
    <w:p>
      <w:pPr>
        <w:pStyle w:val="BodyText"/>
        <w:jc w:val="both"/>
        <w:keepNext w:val="0"/>
        <w:keepLines w:val="0"/>
        <w:widowControl w:val="1"/>
      </w:pPr>
      <w:r>
        <w:t xml:space="preserve">At the per-iteration view (the classifier trained on a single iteration's 16-sample batch rather than the 48-sample pool), the seven-critic loop's effect is back-loaded. Across 5 seeds,</w:t>
      </w:r>
      <w:r>
        <w:t xml:space="preserve"> </w:t>
      </w:r>
      <w:r>
        <w:rPr>
          <w:rStyle w:val="VerbatimChar"/>
        </w:rPr>
        <w:t xml:space="preserve">full_attrforge</w:t>
      </w:r>
      <w:r>
        <w:t xml:space="preserve">'s per-iteration F1 rises from iter-0 (</w:t>
      </w:r>
      <m:oMath>
        <m:r>
          <m:t>0.25</m:t>
        </m:r>
        <m:r>
          <m:rPr>
            <m:sty m:val="p"/>
          </m:rPr>
          <m:t>±</m:t>
        </m:r>
        <m:r>
          <m:t>0.09</m:t>
        </m:r>
      </m:oMath>
      <w:r>
        <w:t xml:space="preserve">) through iter-1 (</w:t>
      </w:r>
      <m:oMath>
        <m:r>
          <m:t>0.37</m:t>
        </m:r>
        <m:r>
          <m:rPr>
            <m:sty m:val="p"/>
          </m:rPr>
          <m:t>±</m:t>
        </m:r>
        <m:r>
          <m:t>0.16</m:t>
        </m:r>
      </m:oMath>
      <w:r>
        <w:t xml:space="preserve">) to iter-2 (</w:t>
      </w:r>
      <m:oMath>
        <m:r>
          <m:t>0.49</m:t>
        </m:r>
        <m:r>
          <m:rPr>
            <m:sty m:val="p"/>
          </m:rPr>
          <m:t>±</m:t>
        </m:r>
        <m:r>
          <m:t>0.19</m:t>
        </m:r>
      </m:oMath>
      <w:r>
        <w:t xml:space="preserve">), the highest mean of any iterated condition;</w:t>
      </w:r>
      <w:r>
        <w:t xml:space="preserve"> </w:t>
      </w:r>
      <w:r>
        <w:rPr>
          <w:rStyle w:val="VerbatimChar"/>
        </w:rPr>
        <w:t xml:space="preserve">full_classic</w:t>
      </w:r>
      <w:r>
        <w:t xml:space="preserve"> </w:t>
      </w:r>
      <w:r>
        <w:t xml:space="preserve">stays approximately flat across iterations (</w:t>
      </w:r>
      <m:oMath>
        <m:r>
          <m:t>0.31</m:t>
        </m:r>
        <m:r>
          <m:rPr>
            <m:sty m:val="p"/>
          </m:rPr>
          <m:t>→</m:t>
        </m:r>
        <m:r>
          <m:t>0.34</m:t>
        </m:r>
        <m:r>
          <m:rPr>
            <m:sty m:val="p"/>
          </m:rPr>
          <m:t>→</m:t>
        </m:r>
        <m:r>
          <m:t>0.34</m:t>
        </m:r>
      </m:oMath>
      <w:r>
        <w:t xml:space="preserve">). The cumulative ranking reverses because the seven-critic loop's instruction set accumulates over iterations, so its early iterations resemble the baseline while later ones diverge.</w:t>
      </w:r>
    </w:p>
    <w:bookmarkEnd w:id="41"/>
    <w:bookmarkEnd w:id="42"/>
    <w:bookmarkStart w:id="43"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4:</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5:</w:t>
      </w:r>
      <w:r>
        <w:rPr>
          <w:b w:val="0"/>
          <w:i/>
        </w:rPr>
        <w:t xml:space="preserve"> </w:t>
      </w:r>
      <w:r>
        <w:rPr>
          <w:b w:val="0"/>
          <w:i/>
        </w:rPr>
        <w:t>Post-hoc audit results. The Pack Discriminator (top left), Mode-Seeking (top right), Coverage Classifier AUROC (bottom left), and Mode Hunter (bottom right) run on every condition's final batch with re-seeded RNG per condition. Mean ± std over 5 random seeds. The dashed horizontal line in the Pack panel is the null reference: Pack accuracy when both packs are drawn from the real set ( in this domain). Chance is .</w:t>
      </w:r>
    </w:p>
    <w:p>
      <w:pPr>
        <w:spacing w:before="160" w:after="60" w:line="240" w:lineRule="auto"/>
        <w:keepNext/>
        <w:keepLines/>
        <w:widowControl w:val="1"/>
      </w:pPr>
      <w:r>
        <w:rPr>
          <w:b/>
          <w:i/>
        </w:rPr>
        <w:t>Table 6:</w:t>
      </w:r>
      <w:r>
        <w:rPr>
          <w:b w:val="0"/>
          <w:i/>
        </w:rPr>
        <w:t xml:space="preserve"> </w:t>
      </w:r>
      <w:r>
        <w:rPr>
          <w:b w:val="0"/>
          <w:i/>
        </w:rPr>
        <w:t>Post-hoc adversary audit (mean ± std across 5 random seeds). Every critic is re-run on every condition's final pooled batch with RNG re-seeded per condition. The real-vs-real null reference (computed once) is  in this domain. Pack accuracy below the null reference indicates the synthetic batch is at-least-as-diverse as the real seed set; above null indicates pack-level homogeneity. We omit Coverage AUROC (saturates at  for every condition) and the Mode-Seeking ratio (approximately constant at  for every condition); both are reported in the released artifacts but do not differentiate conditions on this task.</w:t>
      </w:r>
    </w:p>
    <w:tbl>
      <w:tblPr>
        <w:tblStyle w:val="Table"/>
        <w:tblW w:type="pct" w:w="5000"/>
        <w:jc w:val="center"/>
        <w:tblLook w:firstRow="1" w:lastRow="0" w:firstColumn="0" w:lastColumn="0" w:noHBand="0" w:noVBand="0" w:val="0020"/>
        <w:tblCaption w:val="Table 6: Post-hoc adversary audit (mean ± std across 5 random seeds). Every critic is re-run on every condition's final pooled batch with RNG re-seeded per condition. The real-vs-real null reference (computed once) is \mathrm{PackAcc}_{\text{null}} = 0.55 in this domain. Pack accuracy below the null reference indicates the synthetic batch is at-least-as-diverse as the real seed set; above null indicates pack-level homogeneity. We omit Coverage AUROC (saturates at 1.00 for every condition) and the Mode-Seeking ratio (approximately constant at 0.23 \pm 0.01 for every condition); both are reported in the released artifacts but do not differentiate conditions on this tas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2.75 ± 1.26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0.52 ± 0.09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3.75 ± 0.50</w:t>
            </w:r>
          </w:p>
        </w:tc>
      </w:tr>
    </w:tbl>
    <w:p>
      <w:pPr>
        <w:pStyle w:val="BodyText"/>
        <w:spacing w:before="160"/>
        <w:jc w:val="both"/>
        <w:keepNext w:val="0"/>
        <w:keepLines w:val="0"/>
        <w:widowControl w:val="1"/>
      </w:pPr>
      <w:r>
        <w:t xml:space="preserve">The audit produces two pieces of differentiating signal. First, the</w:t>
      </w:r>
      <w:r>
        <w:t xml:space="preserve"> </w:t>
      </w:r>
      <w:r>
        <w:rPr>
          <w:b/>
          <w:bCs/>
        </w:rPr>
        <w:t xml:space="preserve">Pack Discriminator</w:t>
      </w:r>
      <w:r>
        <w:t xml:space="preserve">:</w:t>
      </w:r>
      <w:r>
        <w:t xml:space="preserve"> </w:t>
      </w:r>
      <w:r>
        <w:rPr>
          <w:rStyle w:val="VerbatimChar"/>
        </w:rPr>
        <w:t xml:space="preserve">few_shot</w:t>
      </w:r>
      <w:r>
        <w:t xml:space="preserve"> </w:t>
      </w:r>
      <w:r>
        <w:t xml:space="preserve">achieves the lowest pack accuracy (</w:t>
      </w:r>
      <m:oMath>
        <m:r>
          <m:t>0.34</m:t>
        </m:r>
        <m:r>
          <m:rPr>
            <m:sty m:val="p"/>
          </m:rPr>
          <m:t>±</m:t>
        </m:r>
        <m:r>
          <m:t>0.08</m:t>
        </m:r>
      </m:oMath>
      <w:r>
        <w:t xml:space="preserve">, well below the</w:t>
      </w:r>
      <w:r>
        <w:t xml:space="preserve"> </w:t>
      </w:r>
      <m:oMath>
        <m:r>
          <m:t>0.55</m:t>
        </m:r>
      </m:oMath>
      <w:r>
        <w:t xml:space="preserve"> </w:t>
      </w:r>
      <w:r>
        <w:t xml:space="preserve">null reference) because its 16-sample batch inherits diversity from an 8-exemplar real-pool that the iterated conditions narrow through repeated prompting. Among iterated conditions,</w:t>
      </w:r>
      <w:r>
        <w:t xml:space="preserve"> </w:t>
      </w:r>
      <w:r>
        <w:rPr>
          <w:rStyle w:val="VerbatimChar"/>
        </w:rPr>
        <w:t xml:space="preserve">self_critique</w:t>
      </w:r>
      <w:r>
        <w:t xml:space="preserve"> </w:t>
      </w:r>
      <w:r>
        <w:t xml:space="preserve">and</w:t>
      </w:r>
      <w:r>
        <w:t xml:space="preserve"> </w:t>
      </w:r>
      <w:r>
        <w:rPr>
          <w:rStyle w:val="VerbatimChar"/>
        </w:rPr>
        <w:t xml:space="preserve">diversity_only</w:t>
      </w:r>
      <w:r>
        <w:t xml:space="preserve"> </w:t>
      </w:r>
      <w:r>
        <w:t xml:space="preserve">sit at the high (more collapsed) end (</w:t>
      </w:r>
      <m:oMath>
        <m:r>
          <m:t>0.58</m:t>
        </m:r>
      </m:oMath>
      <w:r>
        <w:t xml:space="preserve">) and</w:t>
      </w:r>
      <w:r>
        <w:t xml:space="preserve"> </w:t>
      </w:r>
      <w:r>
        <w:rPr>
          <w:rStyle w:val="VerbatimChar"/>
        </w:rPr>
        <w:t xml:space="preserve">full_attrforge</w:t>
      </w:r>
      <w:r>
        <w:t xml:space="preserve"> </w:t>
      </w:r>
      <w:r>
        <w:t xml:space="preserve">at the low (more diverse) end (</w:t>
      </w:r>
      <m:oMath>
        <m:r>
          <m:t>0.52</m:t>
        </m:r>
      </m:oMath>
      <w:r>
        <w:t xml:space="preserve">, below null), matching the distinct-</w:t>
      </w:r>
      <m:oMath>
        <m:r>
          <m:t>n</m:t>
        </m:r>
      </m:oMath>
      <w:r>
        <w:t xml:space="preserve"> </w:t>
      </w:r>
      <w:r>
        <w:t xml:space="preserve">and self-BLEU ordering from Table 5. Second, the</w:t>
      </w:r>
      <w:r>
        <w:t xml:space="preserve"> </w:t>
      </w:r>
      <w:r>
        <w:rPr>
          <w:b/>
          <w:bCs/>
        </w:rPr>
        <w:t xml:space="preserve">Mode Hunter</w:t>
      </w:r>
      <w:r>
        <w:t xml:space="preserve">: an average of about 3.75 LLM-tic phrasings remain detectable in the final pooled batch of each condition. The two adversary metrics that did not differentiate conditions on this task (Coverage AUROC at</w:t>
      </w:r>
      <w:r>
        <w:t xml:space="preserve"> </w:t>
      </w:r>
      <m:oMath>
        <m:r>
          <m:t>1.00</m:t>
        </m:r>
      </m:oMath>
      <w:r>
        <w:t xml:space="preserve"> </w:t>
      </w:r>
      <w:r>
        <w:t xml:space="preserve">throughout; Mode-Seeking ratio at</w:t>
      </w:r>
      <w:r>
        <w:t xml:space="preserve"> </w:t>
      </w:r>
      <m:oMath>
        <m:r>
          <m:t>0.23</m:t>
        </m:r>
        <m:r>
          <m:rPr>
            <m:sty m:val="p"/>
          </m:rPr>
          <m:t>±</m:t>
        </m:r>
        <m:r>
          <m:t>0.01</m:t>
        </m:r>
      </m:oMath>
      <w:r>
        <w:t xml:space="preserve"> </w:t>
      </w:r>
      <w:r>
        <w:t xml:space="preserve">throughout) are omitted from the table and discussed in Section 9.</w:t>
      </w:r>
    </w:p>
    <w:p>
      <w:pPr>
        <w:pStyle w:val="BodyText"/>
        <w:jc w:val="both"/>
        <w:keepNext w:val="0"/>
        <w:keepLines w:val="0"/>
        <w:widowControl w:val="1"/>
      </w:pPr>
      <w:r>
        <w:t xml:space="preserve">The audit also provides the cross-tab needed to interpret Table 3.</w:t>
      </w:r>
      <w:r>
        <w:t xml:space="preserve"> </w:t>
      </w:r>
      <w:r>
        <w:rPr>
          <w:rStyle w:val="VerbatimChar"/>
        </w:rPr>
        <w:t xml:space="preserve">full_classic</w:t>
      </w:r>
      <w:r>
        <w:t xml:space="preserve"> </w:t>
      </w:r>
      <w:r>
        <w:t xml:space="preserve">achieves the best downstream F1 under TF-IDF features (</w:t>
      </w:r>
      <m:oMath>
        <m:r>
          <m:t>0.61</m:t>
        </m:r>
      </m:oMath>
      <w:r>
        <w:t xml:space="preserve">) but the highest per-sample realism discriminator accuracy (</w:t>
      </w:r>
      <m:oMath>
        <m:r>
          <m:t>0.93</m:t>
        </m:r>
      </m:oMath>
      <w:r>
        <w:t xml:space="preserve">, meaning the discriminator is most confident the samples are synthetic).</w:t>
      </w:r>
      <w:r>
        <w:t xml:space="preserve"> </w:t>
      </w:r>
      <w:r>
        <w:rPr>
          <w:rStyle w:val="VerbatimChar"/>
        </w:rPr>
        <w:t xml:space="preserve">full_attrforge</w:t>
      </w:r>
      <w:r>
        <w:t xml:space="preserve"> </w:t>
      </w:r>
      <w:r>
        <w:t xml:space="preserve">reduces this discriminator accuracy by</w:t>
      </w:r>
      <w:r>
        <w:t xml:space="preserve"> </w:t>
      </w:r>
      <m:oMath>
        <m:r>
          <m:t>0.03</m:t>
        </m:r>
      </m:oMath>
      <w:r>
        <w:t xml:space="preserve"> </w:t>
      </w:r>
      <w:r>
        <w:t xml:space="preserve">at a cost of</w:t>
      </w:r>
      <w:r>
        <w:t xml:space="preserve"> </w:t>
      </w:r>
      <m:oMath>
        <m:r>
          <m:t>0.14</m:t>
        </m:r>
      </m:oMath>
      <w:r>
        <w:t xml:space="preserve"> </w:t>
      </w:r>
      <w:r>
        <w:t xml:space="preserve">downstream F1 under TF-IDF, and the cost vanishes under sentence-transformer features (Section 7.2).</w:t>
      </w:r>
    </w:p>
    <w:bookmarkEnd w:id="43"/>
    <w:bookmarkStart w:id="50" w:name="sec-discussion"/>
    <w:p>
      <w:pPr>
        <w:pStyle w:val="Heading2"/>
        <w:keepNext/>
        <w:keepLines/>
        <w:widowControl w:val="1"/>
      </w:pPr>
      <w:r>
        <w:t xml:space="preserve">9</w:t>
      </w:r>
      <w:r>
        <w:t xml:space="preserve">Discussion</w:t>
      </w:r>
    </w:p>
    <w:bookmarkStart w:id="44" w:name="what-the-live-llm-evaluation-shows"/>
    <w:p>
      <w:pPr>
        <w:pStyle w:val="Heading3"/>
        <w:keepNext/>
        <w:keepLines/>
        <w:widowControl w:val="1"/>
      </w:pPr>
      <w:r>
        <w:t xml:space="preserve">9.1</w:t>
      </w:r>
      <w:r>
        <w:t xml:space="preserve">What the live-LLM evaluation shows</w:t>
      </w:r>
    </w:p>
    <w:p>
      <w:pPr>
        <w:pStyle w:val="FirstParagraph"/>
        <w:jc w:val="both"/>
        <w:keepNext w:val="0"/>
        <w:keepLines w:val="0"/>
        <w:widowControl w:val="1"/>
      </w:pPr>
      <w:r>
        <w:t xml:space="preserve">The evaluation establishes three substantive claims. First, under TF-IDF features the seven-critic loop scores macro F1</w:t>
      </w:r>
      <w:r>
        <w:t xml:space="preserve"> </w:t>
      </w:r>
      <m:oMath>
        <m:r>
          <m:t>0.14</m:t>
        </m:r>
      </m:oMath>
      <w:r>
        <w:t xml:space="preserve"> </w:t>
      </w:r>
      <w:r>
        <w:t xml:space="preserve">below the three-critic baseline (statistically significant: paired-t</w:t>
      </w:r>
      <w:r>
        <w:t xml:space="preserve"> </w:t>
      </w:r>
      <m:oMath>
        <m:r>
          <m:t>p</m:t>
        </m:r>
        <m:r>
          <m:rPr>
            <m:sty m:val="p"/>
          </m:rPr>
          <m:t>=</m:t>
        </m:r>
        <m:r>
          <m:t>0.046</m:t>
        </m:r>
      </m:oMath>
      <w:r>
        <w:t xml:space="preserve"> </w:t>
      </w:r>
      <w:r>
        <w:t xml:space="preserve">at</w:t>
      </w:r>
      <w:r>
        <w:t xml:space="preserve"> </w:t>
      </w:r>
      <m:oMath>
        <m:r>
          <m:t>N</m:t>
        </m:r>
        <m:r>
          <m:rPr>
            <m:sty m:val="p"/>
          </m:rPr>
          <m:t>=</m:t>
        </m:r>
        <m:r>
          <m:t>5</m:t>
        </m:r>
      </m:oMath>
      <w:r>
        <w:t xml:space="preserve">; 95% bootstrap CI on the mean diff</w:t>
      </w:r>
      <w:r>
        <w:t xml:space="preserve"> </w:t>
      </w:r>
      <m:oMath>
        <m:r>
          <m:rPr>
            <m:sty m:val="p"/>
          </m:rPr>
          <m:t>[</m:t>
        </m:r>
        <m:r>
          <m:rPr>
            <m:sty m:val="p"/>
          </m:rPr>
          <m:t>−</m:t>
        </m:r>
        <m:r>
          <m:t>0.231</m:t>
        </m:r>
        <m:r>
          <m:rPr>
            <m:sty m:val="p"/>
          </m:rPr>
          <m:t>,</m:t>
        </m:r>
        <m:r>
          <m:rPr>
            <m:sty m:val="p"/>
          </m:rPr>
          <m:t>−</m:t>
        </m:r>
        <m:r>
          <m:t>0.055</m:t>
        </m:r>
        <m:r>
          <m:rPr>
            <m:sty m:val="p"/>
          </m:rPr>
          <m:t>]</m:t>
        </m:r>
      </m:oMath>
      <w:r>
        <w:t xml:space="preserve">). Second, the same gap is statistically indistinguishable from zero under sentence-transformer features (</w:t>
      </w:r>
      <m:oMath>
        <m:r>
          <m:t>p</m:t>
        </m:r>
        <m:r>
          <m:rPr>
            <m:sty m:val="p"/>
          </m:rPr>
          <m:t>=</m:t>
        </m:r>
        <m:r>
          <m:t>0.82</m:t>
        </m:r>
      </m:oMath>
      <w:r>
        <w:t xml:space="preserve">, CI</w:t>
      </w:r>
      <w:r>
        <w:t xml:space="preserve"> </w:t>
      </w:r>
      <m:oMath>
        <m:r>
          <m:rPr>
            <m:sty m:val="p"/>
          </m:rPr>
          <m:t>[</m:t>
        </m:r>
        <m:r>
          <m:rPr>
            <m:sty m:val="p"/>
          </m:rPr>
          <m:t>−</m:t>
        </m:r>
        <m:r>
          <m:t>0.113</m:t>
        </m:r>
        <m:r>
          <m:rPr>
            <m:sty m:val="p"/>
          </m:rPr>
          <m:t>,</m:t>
        </m:r>
        <m:r>
          <m:rPr>
            <m:sty m:val="p"/>
          </m:rPr>
          <m:t>+</m:t>
        </m:r>
        <m:r>
          <m:t>0.093</m:t>
        </m:r>
        <m:r>
          <m:rPr>
            <m:sty m:val="p"/>
          </m:rPr>
          <m:t>]</m:t>
        </m:r>
      </m:oMath>
      <w:r>
        <w:t xml:space="preserve">), so the cost of the GAN adversaries to downstream utility depends on the downstream reader's representation capacity. Third, on the realism axis, the seven-critic loop sits</w:t>
      </w:r>
      <w:r>
        <w:t xml:space="preserve"> </w:t>
      </w:r>
      <m:oMath>
        <m:r>
          <m:t>0.03</m:t>
        </m:r>
      </m:oMath>
      <w:r>
        <w:t xml:space="preserve"> </w:t>
      </w:r>
      <w:r>
        <w:t xml:space="preserve">closer to chance than the three-critic baseline (</w:t>
      </w:r>
      <m:oMath>
        <m:r>
          <m:t>0.90</m:t>
        </m:r>
        <m:r>
          <m:rPr>
            <m:sty m:val="p"/>
          </m:rPr>
          <m:t>±</m:t>
        </m:r>
        <m:r>
          <m:t>0.15</m:t>
        </m:r>
      </m:oMath>
      <w:r>
        <w:t xml:space="preserve"> </w:t>
      </w:r>
      <w:r>
        <w:t xml:space="preserve">vs</w:t>
      </w:r>
      <w:r>
        <w:t xml:space="preserve"> </w:t>
      </w:r>
      <m:oMath>
        <m:r>
          <m:t>0.93</m:t>
        </m:r>
        <m:r>
          <m:rPr>
            <m:sty m:val="p"/>
          </m:rPr>
          <m:t>±</m:t>
        </m:r>
        <m:r>
          <m:t>0.11</m:t>
        </m:r>
      </m:oMath>
      <w:r>
        <w:t xml:space="preserve">); both are far from chance, and the GAN adversaries reduce that gap rather than eliminating it.</w:t>
      </w:r>
    </w:p>
    <w:bookmarkEnd w:id="44"/>
    <w:bookmarkStart w:id="45" w:name="scope-of-the-evaluation"/>
    <w:p>
      <w:pPr>
        <w:pStyle w:val="Heading3"/>
        <w:keepNext/>
        <w:keepLines/>
        <w:widowControl w:val="1"/>
      </w:pPr>
      <w:r>
        <w:t xml:space="preserve">9.2</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TF-IDF gap is in the same direction in 4 of 5 seeds with a paired-t</w:t>
      </w:r>
      <w:r>
        <w:t xml:space="preserve"> </w:t>
      </w:r>
      <m:oMath>
        <m:r>
          <m:t>p</m:t>
        </m:r>
        <m:r>
          <m:rPr>
            <m:sty m:val="p"/>
          </m:rPr>
          <m:t>=</m:t>
        </m:r>
        <m:r>
          <m:t>0.046</m:t>
        </m:r>
      </m:oMath>
      <w:r>
        <w:t xml:space="preserve"> </w:t>
      </w:r>
      <w:r>
        <w:t xml:space="preserve">and a 95% bootstrap CI that excludes zero. Wilcoxon</w:t>
      </w:r>
      <w:r>
        <w:t xml:space="preserve"> </w:t>
      </w:r>
      <m:oMath>
        <m:r>
          <m:t>p</m:t>
        </m:r>
        <m:r>
          <m:rPr>
            <m:sty m:val="p"/>
          </m:rPr>
          <m:t>=</m:t>
        </m:r>
        <m:r>
          <m:t>0.125</m:t>
        </m:r>
      </m:oMath>
      <w:r>
        <w:t xml:space="preserve"> </w:t>
      </w:r>
      <w:r>
        <w:t xml:space="preserve">at</w:t>
      </w:r>
      <w:r>
        <w:t xml:space="preserve"> </w:t>
      </w:r>
      <m:oMath>
        <m:r>
          <m:t>N</m:t>
        </m:r>
        <m:r>
          <m:rPr>
            <m:sty m:val="p"/>
          </m:rPr>
          <m:t>=</m:t>
        </m:r>
        <m:r>
          <m:t>5</m:t>
        </m:r>
      </m:oMath>
      <w:r>
        <w:t xml:space="preserve"> </w:t>
      </w:r>
      <w:r>
        <w:t xml:space="preserve">remains above</w:t>
      </w:r>
      <w:r>
        <w:t xml:space="preserve"> </w:t>
      </w:r>
      <m:oMath>
        <m:r>
          <m:t>0.05</m:t>
        </m:r>
      </m:oMath>
      <w:r>
        <w:t xml:space="preserve">, so the result is best read as a small significant effect with limited power. The sentence-transformer gap has a CI that includes zero (</w:t>
      </w:r>
      <m:oMath>
        <m:r>
          <m:t>p</m:t>
        </m:r>
        <m:r>
          <m:rPr>
            <m:sty m:val="p"/>
          </m:rPr>
          <m:t>=</m:t>
        </m:r>
        <m:r>
          <m:t>0.82</m:t>
        </m:r>
      </m:oMath>
      <w:r>
        <w:t xml:space="preserve">).</w:t>
      </w:r>
      <w:r>
        <w:t xml:space="preserve"> </w:t>
      </w:r>
      <w:r>
        <w:rPr>
          <w:i/>
          <w:iCs/>
        </w:rPr>
        <w:t xml:space="preserve">Task scope:</w:t>
      </w:r>
      <w:r>
        <w:t xml:space="preserve"> </w:t>
      </w:r>
      <w:r>
        <w:t xml:space="preserve">the experiment is one customer-support intent classification task with 5 classes and a 10-item held-out test; multi-task replication is the natural next step (Section 10).</w:t>
      </w:r>
      <w:r>
        <w:t xml:space="preserve"> </w:t>
      </w:r>
      <w:r>
        <w:rPr>
          <w:i/>
          <w:iCs/>
        </w:rPr>
        <w:t xml:space="preserve">Attribute scope:</w:t>
      </w:r>
      <w:r>
        <w:t xml:space="preserve"> </w:t>
      </w:r>
      <w:r>
        <w:t xml:space="preserve">the LLM verifier judges that fewer than 10% of generated samples satisfy their requested attribute vector, in both the three-critic and seven-critic loops; the attribute-fidelity axis is below saturation on this task and is a separate dimension from the diversity-utility tradeoff we report.</w:t>
      </w:r>
    </w:p>
    <w:bookmarkEnd w:id="45"/>
    <w:bookmarkStart w:id="46"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6"/>
    <w:bookmarkStart w:id="47"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7"/>
    <w:bookmarkStart w:id="48"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8"/>
    <w:bookmarkStart w:id="49"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49"/>
    <w:bookmarkEnd w:id="50"/>
    <w:bookmarkStart w:id="51" w:name="sec-limitations"/>
    <w:p>
      <w:pPr>
        <w:pStyle w:val="Heading2"/>
        <w:keepNext/>
        <w:keepLines/>
        <w:widowControl w:val="1"/>
      </w:pPr>
      <w:r>
        <w:t xml:space="preserve">10</w:t>
      </w:r>
      <w:r>
        <w:t xml:space="preserve">Limitations</w:t>
      </w:r>
    </w:p>
    <w:p>
      <w:pPr>
        <w:pStyle w:val="Compact"/>
        <w:numPr>
          <w:ilvl w:val="0"/>
          <w:numId w:val="1002"/>
        </w:numPr>
        <w:jc w:val="both"/>
        <w:keepNext w:val="0"/>
        <w:keepLines w:val="0"/>
        <w:widowControl w:val="1"/>
      </w:pPr>
      <w:r>
        <w:rPr>
          <w:b/>
          <w:bCs/>
        </w:rPr>
        <w:t xml:space="preserve">Small evaluation budget.</w:t>
      </w:r>
      <w:r>
        <w:t xml:space="preserve"> </w:t>
      </w:r>
      <w:r>
        <w:t xml:space="preserve">The experiments use 5 random seeds, 7 conditions, 3 iterations of 16 samples each (35 condition-runs), and a 10-item held-out real test set. Cross-seed standard deviation is large for several conditions (e.g.,</w:t>
      </w:r>
      <w:r>
        <w:t xml:space="preserve"> </w:t>
      </w:r>
      <m:oMath>
        <m:r>
          <m:rPr>
            <m:sty m:val="p"/>
          </m:rPr>
          <m:t>±</m:t>
        </m:r>
        <m:r>
          <m:t>0.16</m:t>
        </m:r>
      </m:oMath>
      <w:r>
        <w:t xml:space="preserve"> </w:t>
      </w:r>
      <w:r>
        <w:t xml:space="preserve">macro F1 for</w:t>
      </w:r>
      <w:r>
        <w:t xml:space="preserve"> </w:t>
      </w:r>
      <w:r>
        <w:rPr>
          <w:rStyle w:val="VerbatimChar"/>
        </w:rPr>
        <w:t xml:space="preserve">few_shot</w:t>
      </w:r>
      <w:r>
        <w:t xml:space="preserve"> </w:t>
      </w:r>
      <w:r>
        <w:t xml:space="preserve">under TF-IDF). The TF-IDF gap is significant under the paired-t test (</w:t>
      </w:r>
      <m:oMath>
        <m:r>
          <m:t>p</m:t>
        </m:r>
        <m:r>
          <m:rPr>
            <m:sty m:val="p"/>
          </m:rPr>
          <m:t>=</m:t>
        </m:r>
        <m:r>
          <m:t>0.046</m:t>
        </m:r>
      </m:oMath>
      <w:r>
        <w:t xml:space="preserve">) but not under the Wilcoxon (</w:t>
      </w:r>
      <m:oMath>
        <m:r>
          <m:t>p</m:t>
        </m:r>
        <m:r>
          <m:rPr>
            <m:sty m:val="p"/>
          </m:rPr>
          <m:t>=</m:t>
        </m:r>
        <m:r>
          <m:t>0.125</m:t>
        </m:r>
      </m:oMath>
      <w:r>
        <w:t xml:space="preserve">) at</w:t>
      </w:r>
      <w:r>
        <w:t xml:space="preserve"> </w:t>
      </w:r>
      <m:oMath>
        <m:r>
          <m:t>N</m:t>
        </m:r>
        <m:r>
          <m:rPr>
            <m:sty m:val="p"/>
          </m:rPr>
          <m:t>=</m:t>
        </m:r>
        <m:r>
          <m:t>5</m:t>
        </m:r>
      </m:oMath>
      <w:r>
        <w:t xml:space="preserve">. Multi-task replication and a larger held-out test would tighten every interval.</w:t>
      </w:r>
    </w:p>
    <w:p>
      <w:pPr>
        <w:pStyle w:val="Compact"/>
        <w:numPr>
          <w:ilvl w:val="0"/>
          <w:numId w:val="1002"/>
        </w:numPr>
        <w:jc w:val="both"/>
        <w:keepNext w:val="0"/>
        <w:keepLines w:val="0"/>
        <w:widowControl w:val="1"/>
      </w:pPr>
      <w:r>
        <w:rPr>
          <w:b/>
          <w:bCs/>
        </w:rPr>
        <w:t xml:space="preserve">Single domain, single test split.</w:t>
      </w:r>
      <w:r>
        <w:t xml:space="preserve"> </w:t>
      </w:r>
      <w:r>
        <w:t xml:space="preserve">One task (customer-support intent), 40 real examples, 10 held-out test. Multi-domain replication is needed to test whether the classifier-dependent tradeoff generalizes.</w:t>
      </w:r>
    </w:p>
    <w:p>
      <w:pPr>
        <w:pStyle w:val="Compact"/>
        <w:numPr>
          <w:ilvl w:val="0"/>
          <w:numId w:val="1002"/>
        </w:numPr>
        <w:jc w:val="both"/>
        <w:keepNext w:val="0"/>
        <w:keepLines w:val="0"/>
        <w:widowControl w:val="1"/>
      </w:pPr>
      <w:r>
        <w:rPr>
          <w:b/>
          <w:bCs/>
        </w:rPr>
        <w:t xml:space="preserve">10-item test set.</w:t>
      </w:r>
      <w:r>
        <w:t xml:space="preserve"> </w:t>
      </w:r>
      <w:r>
        <w:t xml:space="preserve">Per-condition F1 estimates are noisy at this sample size. A 100+ example test set would let the downstream metric resolve smaller differences; we report 5-seed std-dev rather than treating point estimates as reliable.</w:t>
      </w:r>
    </w:p>
    <w:p>
      <w:pPr>
        <w:pStyle w:val="Compact"/>
        <w:numPr>
          <w:ilvl w:val="0"/>
          <w:numId w:val="1002"/>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2"/>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2"/>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2"/>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2"/>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51"/>
    <w:bookmarkStart w:id="53"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5 random seeds on a customer-support intent task with live</w:t>
      </w:r>
      <w:r>
        <w:t xml:space="preserve"> </w:t>
      </w:r>
      <w:r>
        <w:rPr>
          <w:rStyle w:val="VerbatimChar"/>
        </w:rPr>
        <w:t xml:space="preserve">gpt-4o-mini</w:t>
      </w:r>
      <w:r>
        <w:t xml:space="preserve">, the seven-critic loop scores 0.14 macro F1 below the three-critic baseline under a TF-IDF</w:t>
      </w:r>
      <w:r>
        <w:t xml:space="preserve"> </w:t>
      </w:r>
      <m:oMath>
        <m:r>
          <m:rPr>
            <m:sty m:val="p"/>
          </m:rPr>
          <m:t>+</m:t>
        </m:r>
      </m:oMath>
      <w:r>
        <w:t xml:space="preserve"> </w:t>
      </w:r>
      <w:r>
        <w:t xml:space="preserve">logistic-regression downstream classifier (statistically significant at</w:t>
      </w:r>
      <w:r>
        <w:t xml:space="preserve"> </w:t>
      </w:r>
      <m:oMath>
        <m:r>
          <m:t>N</m:t>
        </m:r>
        <m:r>
          <m:rPr>
            <m:sty m:val="p"/>
          </m:rPr>
          <m:t>=</m:t>
        </m:r>
        <m:r>
          <m:t>5</m:t>
        </m:r>
      </m:oMath>
      <w:r>
        <w:t xml:space="preserve">: paired-t</w:t>
      </w:r>
      <w:r>
        <w:t xml:space="preserve"> </w:t>
      </w:r>
      <m:oMath>
        <m:r>
          <m:t>p</m:t>
        </m:r>
        <m:r>
          <m:rPr>
            <m:sty m:val="p"/>
          </m:rPr>
          <m:t>=</m:t>
        </m:r>
        <m:r>
          <m:t>0.046</m:t>
        </m:r>
      </m:oMath>
      <w:r>
        <w:t xml:space="preserve">; 95% bootstrap CI</w:t>
      </w:r>
      <w:r>
        <w:t xml:space="preserve"> </w:t>
      </w:r>
      <m:oMath>
        <m:r>
          <m:rPr>
            <m:sty m:val="p"/>
          </m:rPr>
          <m:t>[</m:t>
        </m:r>
        <m:r>
          <m:rPr>
            <m:sty m:val="p"/>
          </m:rPr>
          <m:t>−</m:t>
        </m:r>
        <m:r>
          <m:t>0.231</m:t>
        </m:r>
        <m:r>
          <m:rPr>
            <m:sty m:val="p"/>
          </m:rPr>
          <m:t>,</m:t>
        </m:r>
        <m:r>
          <m:rPr>
            <m:sty m:val="p"/>
          </m:rPr>
          <m:t>−</m:t>
        </m:r>
        <m:r>
          <m:t>0.055</m:t>
        </m:r>
        <m:r>
          <m:rPr>
            <m:sty m:val="p"/>
          </m:rPr>
          <m:t>]</m:t>
        </m:r>
      </m:oMath>
      <w:r>
        <w:t xml:space="preserve">); the same comparison under sentence-transformer features is statistically indistinguishable from zero (CI</w:t>
      </w:r>
      <w:r>
        <w:t xml:space="preserve"> </w:t>
      </w:r>
      <m:oMath>
        <m:r>
          <m:rPr>
            <m:sty m:val="p"/>
          </m:rPr>
          <m:t>[</m:t>
        </m:r>
        <m:r>
          <m:rPr>
            <m:sty m:val="p"/>
          </m:rPr>
          <m:t>−</m:t>
        </m:r>
        <m:r>
          <m:t>0.113</m:t>
        </m:r>
        <m:r>
          <m:rPr>
            <m:sty m:val="p"/>
          </m:rPr>
          <m:t>,</m:t>
        </m:r>
        <m:r>
          <m:rPr>
            <m:sty m:val="p"/>
          </m:rPr>
          <m:t>+</m:t>
        </m:r>
        <m:r>
          <m:t>0.093</m:t>
        </m:r>
        <m:r>
          <m:rPr>
            <m:sty m:val="p"/>
          </m:rPr>
          <m:t>]</m:t>
        </m:r>
      </m:oMath>
      <w:r>
        <w:t xml:space="preserve">,</w:t>
      </w:r>
      <w:r>
        <w:t xml:space="preserve"> </w:t>
      </w:r>
      <m:oMath>
        <m:r>
          <m:t>p</m:t>
        </m:r>
        <m:r>
          <m:rPr>
            <m:sty m:val="p"/>
          </m:rPr>
          <m:t>=</m:t>
        </m:r>
        <m:r>
          <m:t>0.82</m:t>
        </m:r>
      </m:oMath>
      <w:r>
        <w:t xml:space="preserve">). The diversity-utility tradeoff is mediated by the downstream classifier's representation capacity. We additionally contribute a post-hoc adversary audit protocol with a real-vs-real null reference, and two scope-bounding measurements (the loop-internal realism discriminator drifts away from chance through iteration; the Coverage Hole AUROC remains at</w:t>
      </w:r>
      <w:r>
        <w:t xml:space="preserve"> </w:t>
      </w:r>
      <m:oMath>
        <m:r>
          <m:t>1.00</m:t>
        </m:r>
      </m:oMath>
      <w:r>
        <w:t xml:space="preserve"> </w:t>
      </w:r>
      <w:r>
        <w:t xml:space="preserve">throughout). Code and artifacts are open source.</w:t>
      </w:r>
    </w:p>
    <w:p>
      <w:pPr>
        <w:pStyle w:val="BodyText"/>
        <w:jc w:val="both"/>
        <w:keepNext w:val="0"/>
        <w:keepLines w:val="0"/>
        <w:widowControl w:val="1"/>
      </w:pPr>
      <w:r>
        <w:rPr>
          <w:i/>
          <w:iCs/>
        </w:rPr>
        <w:t xml:space="preserve">Implications for practitioners.</w:t>
      </w:r>
      <w:r>
        <w:t xml:space="preserve"> </w:t>
      </w:r>
      <w:r>
        <w:t xml:space="preserve">Train-on-synthetic / test-on-real reports in the older synthetic-data literature use a single downstream classifier (often TF-IDF or a comparable bag-of-features model); our results indicate that such reports penalize diversity-inducing methods by construction. We recommend multi-classifier downstream evaluation as the default reporting protocol.</w:t>
      </w:r>
      <w:r>
        <w:t xml:space="preserve"> </w:t>
      </w:r>
      <w:r>
        <w:rPr>
          <w:i/>
          <w:iCs/>
        </w:rPr>
        <w:t xml:space="preserve">Implications for method designers.</w:t>
      </w:r>
      <w:r>
        <w:t xml:space="preserve"> </w:t>
      </w:r>
      <w:r>
        <w:t xml:space="preserve">Adding LLM critics to a prompt-optimization loop interacts with the downstream classifier's representation: a classifier that depends on keyword consistency for its signal absorbs less benefit from the additional surface variation the critics inject. The post-hoc adversary audit protocol provides a way to attribute observed differences to the data itself rather than to whichever critic happened to be enabled in a given condition.</w:t>
      </w:r>
    </w:p>
    <w:p>
      <w:pPr>
        <w:pStyle w:val="BodyText"/>
        <w:jc w:val="both"/>
        <w:keepNext w:val="0"/>
        <w:keepLines w:val="0"/>
        <w:widowControl w:val="1"/>
      </w:pPr>
      <w:r>
        <w:t xml:space="preserve">Code is open-source under MIT at</w:t>
      </w:r>
      <w:r>
        <w:t xml:space="preserve"> </w:t>
      </w:r>
      <w:hyperlink r:id="rId52">
        <w:r>
          <w:rPr>
            <w:rStyle w:val="Hyperlink"/>
          </w:rPr>
          <w:t xml:space="preserve">github.com/ApartsinProjects/PromptForge</w:t>
        </w:r>
      </w:hyperlink>
      <w:r>
        <w:t xml:space="preserve">.</w:t>
      </w:r>
    </w:p>
    <w:bookmarkEnd w:id="53"/>
    <w:bookmarkStart w:id="128" w:name="sec-references"/>
    <w:p>
      <w:pPr>
        <w:pStyle w:val="Heading2"/>
        <w:keepNext/>
        <w:keepLines/>
        <w:widowControl w:val="1"/>
      </w:pPr>
      <w:r>
        <w:t xml:space="preserve">12</w:t>
      </w:r>
      <w:r>
        <w:t xml:space="preserve">References</w:t>
      </w:r>
    </w:p>
    <w:p>
      <w:pPr>
        <w:pStyle w:val="Compact"/>
        <w:numPr>
          <w:ilvl w:val="0"/>
          <w:numId w:val="1003"/>
        </w:numPr>
        <w:jc w:val="both"/>
        <w:keepNext w:val="0"/>
        <w:keepLines w:val="0"/>
        <w:widowControl w:val="1"/>
      </w:pPr>
      <w:bookmarkStart w:id="55"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4">
        <w:r>
          <w:rPr>
            <w:rStyle w:val="Hyperlink"/>
          </w:rPr>
          <w:t xml:space="preserve">[NeurIPS]</w:t>
        </w:r>
      </w:hyperlink>
      <w:bookmarkEnd w:id="55"/>
    </w:p>
    <w:p>
      <w:pPr>
        <w:pStyle w:val="Compact"/>
        <w:numPr>
          <w:ilvl w:val="0"/>
          <w:numId w:val="1003"/>
        </w:numPr>
        <w:jc w:val="both"/>
        <w:keepNext w:val="0"/>
        <w:keepLines w:val="0"/>
        <w:widowControl w:val="1"/>
      </w:pPr>
      <w:bookmarkStart w:id="57"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6">
        <w:r>
          <w:rPr>
            <w:rStyle w:val="Hyperlink"/>
          </w:rPr>
          <w:t xml:space="preserve">[arXiv:1606.03498]</w:t>
        </w:r>
      </w:hyperlink>
      <w:bookmarkEnd w:id="57"/>
    </w:p>
    <w:p>
      <w:pPr>
        <w:pStyle w:val="Compact"/>
        <w:numPr>
          <w:ilvl w:val="0"/>
          <w:numId w:val="1003"/>
        </w:numPr>
        <w:jc w:val="both"/>
        <w:keepNext w:val="0"/>
        <w:keepLines w:val="0"/>
        <w:widowControl w:val="1"/>
      </w:pPr>
      <w:bookmarkStart w:id="59"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8">
        <w:r>
          <w:rPr>
            <w:rStyle w:val="Hyperlink"/>
          </w:rPr>
          <w:t xml:space="preserve">[CVF]</w:t>
        </w:r>
      </w:hyperlink>
      <w:bookmarkEnd w:id="59"/>
    </w:p>
    <w:p>
      <w:pPr>
        <w:pStyle w:val="Compact"/>
        <w:numPr>
          <w:ilvl w:val="0"/>
          <w:numId w:val="1003"/>
        </w:numPr>
        <w:jc w:val="both"/>
        <w:keepNext w:val="0"/>
        <w:keepLines w:val="0"/>
        <w:widowControl w:val="1"/>
      </w:pPr>
      <w:bookmarkStart w:id="61"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0">
        <w:r>
          <w:rPr>
            <w:rStyle w:val="Hyperlink"/>
          </w:rPr>
          <w:t xml:space="preserve">[ACL Anthology]</w:t>
        </w:r>
      </w:hyperlink>
      <w:bookmarkEnd w:id="61"/>
    </w:p>
    <w:p>
      <w:pPr>
        <w:pStyle w:val="Compact"/>
        <w:numPr>
          <w:ilvl w:val="0"/>
          <w:numId w:val="1003"/>
        </w:numPr>
        <w:jc w:val="both"/>
        <w:keepNext w:val="0"/>
        <w:keepLines w:val="0"/>
        <w:widowControl w:val="1"/>
      </w:pPr>
      <w:bookmarkStart w:id="63"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2">
        <w:r>
          <w:rPr>
            <w:rStyle w:val="Hyperlink"/>
          </w:rPr>
          <w:t xml:space="preserve">[ACL Anthology]</w:t>
        </w:r>
      </w:hyperlink>
      <w:bookmarkEnd w:id="63"/>
    </w:p>
    <w:p>
      <w:pPr>
        <w:pStyle w:val="Compact"/>
        <w:numPr>
          <w:ilvl w:val="0"/>
          <w:numId w:val="1003"/>
        </w:numPr>
        <w:jc w:val="both"/>
        <w:keepNext w:val="0"/>
        <w:keepLines w:val="0"/>
        <w:widowControl w:val="1"/>
      </w:pPr>
      <w:bookmarkStart w:id="65"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4">
        <w:r>
          <w:rPr>
            <w:rStyle w:val="Hyperlink"/>
          </w:rPr>
          <w:t xml:space="preserve">[OpenReview]</w:t>
        </w:r>
      </w:hyperlink>
      <w:bookmarkEnd w:id="65"/>
    </w:p>
    <w:p>
      <w:pPr>
        <w:pStyle w:val="Compact"/>
        <w:numPr>
          <w:ilvl w:val="0"/>
          <w:numId w:val="1003"/>
        </w:numPr>
        <w:jc w:val="both"/>
        <w:keepNext w:val="0"/>
        <w:keepLines w:val="0"/>
        <w:widowControl w:val="1"/>
      </w:pPr>
      <w:bookmarkStart w:id="67"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6">
        <w:r>
          <w:rPr>
            <w:rStyle w:val="Hyperlink"/>
          </w:rPr>
          <w:t xml:space="preserve">[arXiv:1611.02163]</w:t>
        </w:r>
      </w:hyperlink>
      <w:bookmarkEnd w:id="67"/>
    </w:p>
    <w:p>
      <w:pPr>
        <w:pStyle w:val="Compact"/>
        <w:numPr>
          <w:ilvl w:val="0"/>
          <w:numId w:val="1003"/>
        </w:numPr>
        <w:jc w:val="both"/>
        <w:keepNext w:val="0"/>
        <w:keepLines w:val="0"/>
        <w:widowControl w:val="1"/>
      </w:pPr>
      <w:bookmarkStart w:id="69"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8">
        <w:r>
          <w:rPr>
            <w:rStyle w:val="Hyperlink"/>
          </w:rPr>
          <w:t xml:space="preserve">[PMLR]</w:t>
        </w:r>
      </w:hyperlink>
      <w:bookmarkEnd w:id="69"/>
    </w:p>
    <w:p>
      <w:pPr>
        <w:pStyle w:val="Compact"/>
        <w:numPr>
          <w:ilvl w:val="0"/>
          <w:numId w:val="1003"/>
        </w:numPr>
        <w:jc w:val="both"/>
        <w:keepNext w:val="0"/>
        <w:keepLines w:val="0"/>
        <w:widowControl w:val="1"/>
      </w:pPr>
      <w:bookmarkStart w:id="71"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0">
        <w:r>
          <w:rPr>
            <w:rStyle w:val="Hyperlink"/>
          </w:rPr>
          <w:t xml:space="preserve">[CUP]</w:t>
        </w:r>
      </w:hyperlink>
      <w:bookmarkEnd w:id="71"/>
    </w:p>
    <w:p>
      <w:pPr>
        <w:pStyle w:val="Compact"/>
        <w:numPr>
          <w:ilvl w:val="0"/>
          <w:numId w:val="1003"/>
        </w:numPr>
        <w:jc w:val="both"/>
        <w:keepNext w:val="0"/>
        <w:keepLines w:val="0"/>
        <w:widowControl w:val="1"/>
      </w:pPr>
      <w:bookmarkStart w:id="73"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2">
        <w:r>
          <w:rPr>
            <w:rStyle w:val="Hyperlink"/>
          </w:rPr>
          <w:t xml:space="preserve">[ACM]</w:t>
        </w:r>
      </w:hyperlink>
      <w:bookmarkEnd w:id="73"/>
    </w:p>
    <w:p>
      <w:pPr>
        <w:pStyle w:val="Compact"/>
        <w:numPr>
          <w:ilvl w:val="0"/>
          <w:numId w:val="1003"/>
        </w:numPr>
        <w:jc w:val="both"/>
        <w:keepNext w:val="0"/>
        <w:keepLines w:val="0"/>
        <w:widowControl w:val="1"/>
      </w:pPr>
      <w:bookmarkStart w:id="75"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4">
        <w:r>
          <w:rPr>
            <w:rStyle w:val="Hyperlink"/>
          </w:rPr>
          <w:t xml:space="preserve">[NeurIPS]</w:t>
        </w:r>
      </w:hyperlink>
      <w:bookmarkEnd w:id="75"/>
    </w:p>
    <w:p>
      <w:pPr>
        <w:pStyle w:val="Compact"/>
        <w:numPr>
          <w:ilvl w:val="0"/>
          <w:numId w:val="1003"/>
        </w:numPr>
        <w:jc w:val="both"/>
        <w:keepNext w:val="0"/>
        <w:keepLines w:val="0"/>
        <w:widowControl w:val="1"/>
      </w:pPr>
      <w:bookmarkStart w:id="77"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6">
        <w:r>
          <w:rPr>
            <w:rStyle w:val="Hyperlink"/>
          </w:rPr>
          <w:t xml:space="preserve">[ACL Anthology]</w:t>
        </w:r>
      </w:hyperlink>
      <w:bookmarkEnd w:id="77"/>
    </w:p>
    <w:p>
      <w:pPr>
        <w:pStyle w:val="Compact"/>
        <w:numPr>
          <w:ilvl w:val="0"/>
          <w:numId w:val="1003"/>
        </w:numPr>
        <w:jc w:val="both"/>
        <w:keepNext w:val="0"/>
        <w:keepLines w:val="0"/>
        <w:widowControl w:val="1"/>
      </w:pPr>
      <w:bookmarkStart w:id="79"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8">
        <w:r>
          <w:rPr>
            <w:rStyle w:val="Hyperlink"/>
          </w:rPr>
          <w:t xml:space="preserve">[ACL Anthology]</w:t>
        </w:r>
      </w:hyperlink>
      <w:bookmarkEnd w:id="79"/>
    </w:p>
    <w:p>
      <w:pPr>
        <w:pStyle w:val="Compact"/>
        <w:numPr>
          <w:ilvl w:val="0"/>
          <w:numId w:val="1003"/>
        </w:numPr>
        <w:jc w:val="both"/>
        <w:keepNext w:val="0"/>
        <w:keepLines w:val="0"/>
        <w:widowControl w:val="1"/>
      </w:pPr>
      <w:bookmarkStart w:id="81"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0">
        <w:r>
          <w:rPr>
            <w:rStyle w:val="Hyperlink"/>
          </w:rPr>
          <w:t xml:space="preserve">[arXiv:2211.01910]</w:t>
        </w:r>
      </w:hyperlink>
      <w:bookmarkEnd w:id="81"/>
    </w:p>
    <w:p>
      <w:pPr>
        <w:pStyle w:val="Compact"/>
        <w:numPr>
          <w:ilvl w:val="0"/>
          <w:numId w:val="1003"/>
        </w:numPr>
        <w:jc w:val="both"/>
        <w:keepNext w:val="0"/>
        <w:keepLines w:val="0"/>
        <w:widowControl w:val="1"/>
      </w:pPr>
      <w:bookmarkStart w:id="83"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2">
        <w:r>
          <w:rPr>
            <w:rStyle w:val="Hyperlink"/>
          </w:rPr>
          <w:t xml:space="preserve">[OpenReview]</w:t>
        </w:r>
      </w:hyperlink>
      <w:bookmarkEnd w:id="83"/>
    </w:p>
    <w:p>
      <w:pPr>
        <w:pStyle w:val="Compact"/>
        <w:numPr>
          <w:ilvl w:val="0"/>
          <w:numId w:val="1003"/>
        </w:numPr>
        <w:jc w:val="both"/>
        <w:keepNext w:val="0"/>
        <w:keepLines w:val="0"/>
        <w:widowControl w:val="1"/>
      </w:pPr>
      <w:bookmarkStart w:id="85"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4">
        <w:r>
          <w:rPr>
            <w:rStyle w:val="Hyperlink"/>
          </w:rPr>
          <w:t xml:space="preserve">[OpenReview]</w:t>
        </w:r>
      </w:hyperlink>
      <w:bookmarkEnd w:id="85"/>
    </w:p>
    <w:p>
      <w:pPr>
        <w:pStyle w:val="Compact"/>
        <w:numPr>
          <w:ilvl w:val="0"/>
          <w:numId w:val="1003"/>
        </w:numPr>
        <w:jc w:val="both"/>
        <w:keepNext w:val="0"/>
        <w:keepLines w:val="0"/>
        <w:widowControl w:val="1"/>
      </w:pPr>
      <w:bookmarkStart w:id="87"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6">
        <w:r>
          <w:rPr>
            <w:rStyle w:val="Hyperlink"/>
          </w:rPr>
          <w:t xml:space="preserve">[arXiv]</w:t>
        </w:r>
      </w:hyperlink>
      <w:bookmarkEnd w:id="87"/>
    </w:p>
    <w:p>
      <w:pPr>
        <w:pStyle w:val="Compact"/>
        <w:numPr>
          <w:ilvl w:val="0"/>
          <w:numId w:val="1003"/>
        </w:numPr>
        <w:jc w:val="both"/>
        <w:keepNext w:val="0"/>
        <w:keepLines w:val="0"/>
        <w:widowControl w:val="1"/>
      </w:pPr>
      <w:bookmarkStart w:id="89"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8">
        <w:r>
          <w:rPr>
            <w:rStyle w:val="Hyperlink"/>
          </w:rPr>
          <w:t xml:space="preserve">[OpenReview]</w:t>
        </w:r>
      </w:hyperlink>
      <w:bookmarkEnd w:id="89"/>
    </w:p>
    <w:p>
      <w:pPr>
        <w:pStyle w:val="Compact"/>
        <w:numPr>
          <w:ilvl w:val="0"/>
          <w:numId w:val="1003"/>
        </w:numPr>
        <w:jc w:val="both"/>
        <w:keepNext w:val="0"/>
        <w:keepLines w:val="0"/>
        <w:widowControl w:val="1"/>
      </w:pPr>
      <w:bookmarkStart w:id="91"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0">
        <w:r>
          <w:rPr>
            <w:rStyle w:val="Hyperlink"/>
          </w:rPr>
          <w:t xml:space="preserve">[arXiv]</w:t>
        </w:r>
      </w:hyperlink>
      <w:bookmarkEnd w:id="91"/>
    </w:p>
    <w:p>
      <w:pPr>
        <w:pStyle w:val="Compact"/>
        <w:numPr>
          <w:ilvl w:val="0"/>
          <w:numId w:val="1003"/>
        </w:numPr>
        <w:jc w:val="both"/>
        <w:keepNext w:val="0"/>
        <w:keepLines w:val="0"/>
        <w:widowControl w:val="1"/>
      </w:pPr>
      <w:bookmarkStart w:id="93"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2">
        <w:r>
          <w:rPr>
            <w:rStyle w:val="Hyperlink"/>
          </w:rPr>
          <w:t xml:space="preserve">[ACL Anthology]</w:t>
        </w:r>
      </w:hyperlink>
      <w:bookmarkEnd w:id="93"/>
    </w:p>
    <w:p>
      <w:pPr>
        <w:pStyle w:val="Compact"/>
        <w:numPr>
          <w:ilvl w:val="0"/>
          <w:numId w:val="1003"/>
        </w:numPr>
        <w:jc w:val="both"/>
        <w:keepNext w:val="0"/>
        <w:keepLines w:val="0"/>
        <w:widowControl w:val="1"/>
      </w:pPr>
      <w:bookmarkStart w:id="95"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4">
        <w:r>
          <w:rPr>
            <w:rStyle w:val="Hyperlink"/>
          </w:rPr>
          <w:t xml:space="preserve">[OpenReview]</w:t>
        </w:r>
      </w:hyperlink>
      <w:bookmarkEnd w:id="95"/>
    </w:p>
    <w:p>
      <w:pPr>
        <w:pStyle w:val="Compact"/>
        <w:numPr>
          <w:ilvl w:val="0"/>
          <w:numId w:val="1003"/>
        </w:numPr>
        <w:jc w:val="both"/>
        <w:keepNext w:val="0"/>
        <w:keepLines w:val="0"/>
        <w:widowControl w:val="1"/>
      </w:pPr>
      <w:bookmarkStart w:id="97"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6">
        <w:r>
          <w:rPr>
            <w:rStyle w:val="Hyperlink"/>
          </w:rPr>
          <w:t xml:space="preserve">[NeurIPS]</w:t>
        </w:r>
      </w:hyperlink>
      <w:bookmarkEnd w:id="97"/>
    </w:p>
    <w:p>
      <w:pPr>
        <w:pStyle w:val="Compact"/>
        <w:numPr>
          <w:ilvl w:val="0"/>
          <w:numId w:val="1003"/>
        </w:numPr>
        <w:jc w:val="both"/>
        <w:keepNext w:val="0"/>
        <w:keepLines w:val="0"/>
        <w:widowControl w:val="1"/>
      </w:pPr>
      <w:bookmarkStart w:id="99"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8">
        <w:r>
          <w:rPr>
            <w:rStyle w:val="Hyperlink"/>
          </w:rPr>
          <w:t xml:space="preserve">[NeurIPS]</w:t>
        </w:r>
      </w:hyperlink>
      <w:bookmarkEnd w:id="99"/>
    </w:p>
    <w:p>
      <w:pPr>
        <w:pStyle w:val="Compact"/>
        <w:numPr>
          <w:ilvl w:val="0"/>
          <w:numId w:val="1003"/>
        </w:numPr>
        <w:jc w:val="both"/>
        <w:keepNext w:val="0"/>
        <w:keepLines w:val="0"/>
        <w:widowControl w:val="1"/>
      </w:pPr>
      <w:bookmarkStart w:id="101"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0">
        <w:r>
          <w:rPr>
            <w:rStyle w:val="Hyperlink"/>
          </w:rPr>
          <w:t xml:space="preserve">[PMLR]</w:t>
        </w:r>
      </w:hyperlink>
      <w:bookmarkEnd w:id="101"/>
    </w:p>
    <w:p>
      <w:pPr>
        <w:pStyle w:val="Compact"/>
        <w:numPr>
          <w:ilvl w:val="0"/>
          <w:numId w:val="1003"/>
        </w:numPr>
        <w:jc w:val="both"/>
        <w:keepNext w:val="0"/>
        <w:keepLines w:val="0"/>
        <w:widowControl w:val="1"/>
      </w:pPr>
      <w:bookmarkStart w:id="103"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2">
        <w:r>
          <w:rPr>
            <w:rStyle w:val="Hyperlink"/>
          </w:rPr>
          <w:t xml:space="preserve">[arXiv]</w:t>
        </w:r>
      </w:hyperlink>
      <w:bookmarkEnd w:id="103"/>
    </w:p>
    <w:p>
      <w:pPr>
        <w:pStyle w:val="Compact"/>
        <w:numPr>
          <w:ilvl w:val="0"/>
          <w:numId w:val="1003"/>
        </w:numPr>
        <w:jc w:val="both"/>
        <w:keepNext w:val="0"/>
        <w:keepLines w:val="0"/>
        <w:widowControl w:val="1"/>
      </w:pPr>
      <w:bookmarkStart w:id="105"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04">
        <w:r>
          <w:rPr>
            <w:rStyle w:val="Hyperlink"/>
          </w:rPr>
          <w:t xml:space="preserve">[OpenReview]</w:t>
        </w:r>
      </w:hyperlink>
      <w:bookmarkEnd w:id="105"/>
    </w:p>
    <w:p>
      <w:pPr>
        <w:pStyle w:val="Compact"/>
        <w:numPr>
          <w:ilvl w:val="0"/>
          <w:numId w:val="1003"/>
        </w:numPr>
        <w:jc w:val="both"/>
        <w:keepNext w:val="0"/>
        <w:keepLines w:val="0"/>
        <w:widowControl w:val="1"/>
      </w:pPr>
      <w:bookmarkStart w:id="107"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06">
        <w:r>
          <w:rPr>
            <w:rStyle w:val="Hyperlink"/>
          </w:rPr>
          <w:t xml:space="preserve">[arXiv]</w:t>
        </w:r>
      </w:hyperlink>
      <w:bookmarkEnd w:id="107"/>
    </w:p>
    <w:p>
      <w:pPr>
        <w:pStyle w:val="Compact"/>
        <w:numPr>
          <w:ilvl w:val="0"/>
          <w:numId w:val="1003"/>
        </w:numPr>
        <w:jc w:val="both"/>
        <w:keepNext w:val="0"/>
        <w:keepLines w:val="0"/>
        <w:widowControl w:val="1"/>
      </w:pPr>
      <w:bookmarkStart w:id="109"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08">
        <w:r>
          <w:rPr>
            <w:rStyle w:val="Hyperlink"/>
          </w:rPr>
          <w:t xml:space="preserve">[arXiv]</w:t>
        </w:r>
      </w:hyperlink>
      <w:bookmarkEnd w:id="109"/>
    </w:p>
    <w:p>
      <w:pPr>
        <w:pStyle w:val="Compact"/>
        <w:numPr>
          <w:ilvl w:val="0"/>
          <w:numId w:val="1003"/>
        </w:numPr>
        <w:jc w:val="both"/>
        <w:keepNext w:val="0"/>
        <w:keepLines w:val="0"/>
        <w:widowControl w:val="1"/>
      </w:pPr>
      <w:bookmarkStart w:id="111"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0">
        <w:r>
          <w:rPr>
            <w:rStyle w:val="Hyperlink"/>
          </w:rPr>
          <w:t xml:space="preserve">[arXiv]</w:t>
        </w:r>
      </w:hyperlink>
      <w:bookmarkEnd w:id="111"/>
    </w:p>
    <w:p>
      <w:pPr>
        <w:pStyle w:val="Compact"/>
        <w:numPr>
          <w:ilvl w:val="0"/>
          <w:numId w:val="1003"/>
        </w:numPr>
        <w:jc w:val="both"/>
        <w:keepNext w:val="0"/>
        <w:keepLines w:val="0"/>
        <w:widowControl w:val="1"/>
      </w:pPr>
      <w:bookmarkStart w:id="113"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2">
        <w:r>
          <w:rPr>
            <w:rStyle w:val="Hyperlink"/>
          </w:rPr>
          <w:t xml:space="preserve">[arXiv]</w:t>
        </w:r>
      </w:hyperlink>
      <w:bookmarkEnd w:id="113"/>
    </w:p>
    <w:p>
      <w:pPr>
        <w:pStyle w:val="Compact"/>
        <w:numPr>
          <w:ilvl w:val="0"/>
          <w:numId w:val="1003"/>
        </w:numPr>
        <w:jc w:val="both"/>
        <w:keepNext w:val="0"/>
        <w:keepLines w:val="0"/>
        <w:widowControl w:val="1"/>
      </w:pPr>
      <w:bookmarkStart w:id="115"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14">
        <w:r>
          <w:rPr>
            <w:rStyle w:val="Hyperlink"/>
          </w:rPr>
          <w:t xml:space="preserve">[OpenReview]</w:t>
        </w:r>
      </w:hyperlink>
      <w:bookmarkEnd w:id="115"/>
    </w:p>
    <w:p>
      <w:pPr>
        <w:pStyle w:val="Compact"/>
        <w:numPr>
          <w:ilvl w:val="0"/>
          <w:numId w:val="1003"/>
        </w:numPr>
        <w:jc w:val="both"/>
        <w:keepNext w:val="0"/>
        <w:keepLines w:val="0"/>
        <w:widowControl w:val="1"/>
      </w:pPr>
      <w:bookmarkStart w:id="117" w:name="ref-shumalovnote"/>
      <w:r>
        <w:t xml:space="preserve">Kazdan, J., et al.</w:t>
      </w:r>
      <w:r>
        <w:t xml:space="preserve"> </w:t>
      </w:r>
      <w:r>
        <w:rPr>
          <w:i/>
          <w:iCs/>
        </w:rPr>
        <w:t xml:space="preserve">A note on Shumailov et al. (2024).</w:t>
      </w:r>
      <w:r>
        <w:t xml:space="preserve"> </w:t>
      </w:r>
      <w:r>
        <w:t xml:space="preserve">arXiv:2410.12954, 2024.</w:t>
      </w:r>
      <w:r>
        <w:t xml:space="preserve"> </w:t>
      </w:r>
      <w:hyperlink r:id="rId116">
        <w:r>
          <w:rPr>
            <w:rStyle w:val="Hyperlink"/>
          </w:rPr>
          <w:t xml:space="preserve">[arXiv]</w:t>
        </w:r>
      </w:hyperlink>
      <w:bookmarkEnd w:id="117"/>
    </w:p>
    <w:p>
      <w:pPr>
        <w:pStyle w:val="Compact"/>
        <w:numPr>
          <w:ilvl w:val="0"/>
          <w:numId w:val="1003"/>
        </w:numPr>
        <w:jc w:val="both"/>
        <w:keepNext w:val="0"/>
        <w:keepLines w:val="0"/>
        <w:widowControl w:val="1"/>
      </w:pPr>
      <w:bookmarkStart w:id="119"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18">
        <w:r>
          <w:rPr>
            <w:rStyle w:val="Hyperlink"/>
          </w:rPr>
          <w:t xml:space="preserve">[arXiv]</w:t>
        </w:r>
      </w:hyperlink>
      <w:bookmarkEnd w:id="119"/>
    </w:p>
    <w:p>
      <w:pPr>
        <w:pStyle w:val="Compact"/>
        <w:numPr>
          <w:ilvl w:val="0"/>
          <w:numId w:val="1003"/>
        </w:numPr>
        <w:jc w:val="both"/>
        <w:keepNext w:val="0"/>
        <w:keepLines w:val="0"/>
        <w:widowControl w:val="1"/>
      </w:pPr>
      <w:bookmarkStart w:id="121"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20">
        <w:r>
          <w:rPr>
            <w:rStyle w:val="Hyperlink"/>
          </w:rPr>
          <w:t xml:space="preserve">[arXiv]</w:t>
        </w:r>
      </w:hyperlink>
      <w:bookmarkEnd w:id="121"/>
    </w:p>
    <w:p>
      <w:pPr>
        <w:pStyle w:val="Compact"/>
        <w:numPr>
          <w:ilvl w:val="0"/>
          <w:numId w:val="1003"/>
        </w:numPr>
        <w:jc w:val="both"/>
        <w:keepNext w:val="0"/>
        <w:keepLines w:val="0"/>
        <w:widowControl w:val="1"/>
      </w:pPr>
      <w:bookmarkStart w:id="123"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22">
        <w:r>
          <w:rPr>
            <w:rStyle w:val="Hyperlink"/>
          </w:rPr>
          <w:t xml:space="preserve">[OpenReview]</w:t>
        </w:r>
      </w:hyperlink>
      <w:bookmarkEnd w:id="123"/>
    </w:p>
    <w:p>
      <w:pPr>
        <w:pStyle w:val="Compact"/>
        <w:numPr>
          <w:ilvl w:val="0"/>
          <w:numId w:val="1003"/>
        </w:numPr>
        <w:jc w:val="both"/>
        <w:keepNext w:val="0"/>
        <w:keepLines w:val="0"/>
        <w:widowControl w:val="1"/>
      </w:pPr>
      <w:bookmarkStart w:id="125"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4">
        <w:r>
          <w:rPr>
            <w:rStyle w:val="Hyperlink"/>
          </w:rPr>
          <w:t xml:space="preserve">[arXiv]</w:t>
        </w:r>
      </w:hyperlink>
      <w:bookmarkEnd w:id="125"/>
    </w:p>
    <w:p>
      <w:pPr>
        <w:pStyle w:val="Compact"/>
        <w:numPr>
          <w:ilvl w:val="0"/>
          <w:numId w:val="1003"/>
        </w:numPr>
        <w:jc w:val="both"/>
        <w:keepNext w:val="0"/>
        <w:keepLines w:val="0"/>
        <w:widowControl w:val="1"/>
      </w:pPr>
      <w:bookmarkStart w:id="127" w:name="ref-li-distinct"/>
      <w:r>
        <w:t xml:space="preserve">Li, J., Galley, M., Brockett, C., Gao, J., &amp; Dolan, B.</w:t>
      </w:r>
      <w:r>
        <w:t xml:space="preserve"> </w:t>
      </w:r>
      <w:r>
        <w:rPr>
          <w:i/>
          <w:iCs/>
        </w:rPr>
        <w:t xml:space="preserve">A diversity-promoting objective function for neural conversation models.</w:t>
      </w:r>
      <w:r>
        <w:t xml:space="preserve"> </w:t>
      </w:r>
      <w:r>
        <w:t xml:space="preserve">NAACL, 2016.</w:t>
      </w:r>
      <w:r>
        <w:t xml:space="preserve"> </w:t>
      </w:r>
      <w:hyperlink r:id="rId126">
        <w:r>
          <w:rPr>
            <w:rStyle w:val="Hyperlink"/>
          </w:rPr>
          <w:t xml:space="preserve">[ACL Anthology]</w:t>
        </w:r>
      </w:hyperlink>
      <w:bookmarkEnd w:id="127"/>
    </w:p>
    <w:bookmarkEnd w:id="128"/>
    <w:bookmarkStart w:id="130"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2">
        <w:r>
          <w:rPr>
            <w:rStyle w:val="Hyperlink"/>
          </w:rPr>
          <w:t xml:space="preserve">github.com/ApartsinProjects/PromptForge</w:t>
        </w:r>
      </w:hyperlink>
      <w:r>
        <w:t xml:space="preserve">.</w:t>
      </w:r>
      <w:r>
        <w:t xml:space="preserve"> </w:t>
      </w:r>
      <w:r>
        <w:t xml:space="preserve">Word version:</w:t>
      </w:r>
      <w:r>
        <w:t xml:space="preserve"> </w:t>
      </w:r>
      <w:hyperlink r:id="rId129">
        <w:r>
          <w:rPr>
            <w:rStyle w:val="Hyperlink"/>
          </w:rPr>
          <w:t xml:space="preserve">attrforge.docx</w:t>
        </w:r>
      </w:hyperlink>
      <w:r>
        <w:t xml:space="preserve">.</w:t>
      </w:r>
    </w:p>
    <w:bookmarkEnd w:id="13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9" Type="http://schemas.openxmlformats.org/officeDocument/2006/relationships/hyperlink" Target="attrforge.docx" TargetMode="External"/><Relationship Id="rId76" Type="http://schemas.openxmlformats.org/officeDocument/2006/relationships/hyperlink" Target="https://aclanthology.org/2022.findings-emnlp.269/" TargetMode="External"/><Relationship Id="rId78" Type="http://schemas.openxmlformats.org/officeDocument/2006/relationships/hyperlink" Target="https://aclanthology.org/2022.naacl-main.341/" TargetMode="External"/><Relationship Id="rId62" Type="http://schemas.openxmlformats.org/officeDocument/2006/relationships/hyperlink" Target="https://aclanthology.org/2023.acl-long.754/" TargetMode="External"/><Relationship Id="rId60" Type="http://schemas.openxmlformats.org/officeDocument/2006/relationships/hyperlink" Target="https://aclanthology.org/2023.acl-long.806/" TargetMode="External"/><Relationship Id="rId92" Type="http://schemas.openxmlformats.org/officeDocument/2006/relationships/hyperlink" Target="https://aclanthology.org/2023.emnlp-main.153/" TargetMode="External"/><Relationship Id="rId126" Type="http://schemas.openxmlformats.org/officeDocument/2006/relationships/hyperlink" Target="https://aclanthology.org/N16-1014/" TargetMode="External"/><Relationship Id="rId56" Type="http://schemas.openxmlformats.org/officeDocument/2006/relationships/hyperlink" Target="https://arxiv.org/abs/1606.03498" TargetMode="External"/><Relationship Id="rId66" Type="http://schemas.openxmlformats.org/officeDocument/2006/relationships/hyperlink" Target="https://arxiv.org/abs/1611.02163" TargetMode="External"/><Relationship Id="rId80" Type="http://schemas.openxmlformats.org/officeDocument/2006/relationships/hyperlink" Target="https://arxiv.org/abs/2211.01910" TargetMode="External"/><Relationship Id="rId86" Type="http://schemas.openxmlformats.org/officeDocument/2006/relationships/hyperlink" Target="https://arxiv.org/abs/2309.16797" TargetMode="External"/><Relationship Id="rId90" Type="http://schemas.openxmlformats.org/officeDocument/2006/relationships/hyperlink" Target="https://arxiv.org/abs/2406.07496" TargetMode="External"/><Relationship Id="rId116" Type="http://schemas.openxmlformats.org/officeDocument/2006/relationships/hyperlink" Target="https://arxiv.org/abs/2410.12954" TargetMode="External"/><Relationship Id="rId124" Type="http://schemas.openxmlformats.org/officeDocument/2006/relationships/hyperlink" Target="https://arxiv.org/abs/2412.18645" TargetMode="External"/><Relationship Id="rId120" Type="http://schemas.openxmlformats.org/officeDocument/2006/relationships/hyperlink" Target="https://arxiv.org/abs/2502.15654" TargetMode="External"/><Relationship Id="rId102" Type="http://schemas.openxmlformats.org/officeDocument/2006/relationships/hyperlink" Target="https://arxiv.org/abs/2507.19457" TargetMode="External"/><Relationship Id="rId112" Type="http://schemas.openxmlformats.org/officeDocument/2006/relationships/hyperlink" Target="https://arxiv.org/abs/2509.23252" TargetMode="External"/><Relationship Id="rId110" Type="http://schemas.openxmlformats.org/officeDocument/2006/relationships/hyperlink" Target="https://arxiv.org/abs/2510.01171" TargetMode="External"/><Relationship Id="rId106" Type="http://schemas.openxmlformats.org/officeDocument/2006/relationships/hyperlink" Target="https://arxiv.org/abs/2510.06538" TargetMode="External"/><Relationship Id="rId108" Type="http://schemas.openxmlformats.org/officeDocument/2006/relationships/hyperlink" Target="https://arxiv.org/abs/2510.12697" TargetMode="External"/><Relationship Id="rId118" Type="http://schemas.openxmlformats.org/officeDocument/2006/relationships/hyperlink" Target="https://arxiv.org/abs/2511.01490" TargetMode="External"/><Relationship Id="rId72" Type="http://schemas.openxmlformats.org/officeDocument/2006/relationships/hyperlink" Target="https://dl.acm.org/doi/abs/10.1145/3477495.3531863" TargetMode="External"/><Relationship Id="rId52" Type="http://schemas.openxmlformats.org/officeDocument/2006/relationships/hyperlink" Target="https://github.com/ApartsinProjects/PromptForge" TargetMode="External"/><Relationship Id="rId58" Type="http://schemas.openxmlformats.org/officeDocument/2006/relationships/hyperlink" Target="https://openaccess.thecvf.com/content_CVPR_2019/html/Mao_Mode_Seeking_Generative_Adversarial_Networks_for_Diverse_Image_Synthesis_CVPR_2019_paper.html" TargetMode="External"/><Relationship Id="rId94" Type="http://schemas.openxmlformats.org/officeDocument/2006/relationships/hyperlink" Target="https://openreview.net/forum?id=1PL1NIMMrw" TargetMode="External"/><Relationship Id="rId82" Type="http://schemas.openxmlformats.org/officeDocument/2006/relationships/hyperlink" Target="https://openreview.net/forum?id=Bb4VGOWELI" TargetMode="External"/><Relationship Id="rId104" Type="http://schemas.openxmlformats.org/officeDocument/2006/relationships/hyperlink" Target="https://openreview.net/forum?id=HGCk5aaSvE" TargetMode="External"/><Relationship Id="rId122" Type="http://schemas.openxmlformats.org/officeDocument/2006/relationships/hyperlink" Target="https://openreview.net/forum?id=IBnCO8gtLA" TargetMode="External"/><Relationship Id="rId84" Type="http://schemas.openxmlformats.org/officeDocument/2006/relationships/hyperlink" Target="https://openreview.net/forum?id=ZG3RaNIsO8" TargetMode="External"/><Relationship Id="rId114" Type="http://schemas.openxmlformats.org/officeDocument/2006/relationships/hyperlink" Target="https://openreview.net/forum?id=et5l9qPUhm" TargetMode="External"/><Relationship Id="rId88" Type="http://schemas.openxmlformats.org/officeDocument/2006/relationships/hyperlink" Target="https://openreview.net/forum?id=sY5N0zY5Od" TargetMode="External"/><Relationship Id="rId64" Type="http://schemas.openxmlformats.org/officeDocument/2006/relationships/hyperlink" Target="https://openreview.net/forum?id=uccHPGDlao" TargetMode="External"/><Relationship Id="rId100" Type="http://schemas.openxmlformats.org/officeDocument/2006/relationships/hyperlink" Target="https://proceedings.mlr.press/v119/naeem20a.html" TargetMode="External"/><Relationship Id="rId68" Type="http://schemas.openxmlformats.org/officeDocument/2006/relationships/hyperlink" Target="https://proceedings.mlr.press/v70/arjovsky17a.html" TargetMode="External"/><Relationship Id="rId96" Type="http://schemas.openxmlformats.org/officeDocument/2006/relationships/hyperlink" Target="https://proceedings.neurips.cc/paper/2017/hash/8a1d694707eb0fefe65871369074926d-Abstract.html" TargetMode="External"/><Relationship Id="rId54" Type="http://schemas.openxmlformats.org/officeDocument/2006/relationships/hyperlink" Target="https://proceedings.neurips.cc/paper/2018/hash/288cc0ff022877bd3df94bc9360b9c5d-Abstract.html" TargetMode="External"/><Relationship Id="rId98" Type="http://schemas.openxmlformats.org/officeDocument/2006/relationships/hyperlink" Target="https://proceedings.neurips.cc/paper/2018/hash/f7696a9b362ac5a51c3dc8f098b73923-Abstract.html" TargetMode="External"/><Relationship Id="rId74" Type="http://schemas.openxmlformats.org/officeDocument/2006/relationships/hyperlink" Target="https://proceedings.neurips.cc/paper_files/paper/2022/hash/0346c148ba1c21c6b4780a961ea141dc-Abstract-Conference.html" TargetMode="External"/><Relationship Id="rId70"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9" Type="http://schemas.openxmlformats.org/officeDocument/2006/relationships/hyperlink" Target="attrforge.docx" TargetMode="External"/><Relationship Id="rId76" Type="http://schemas.openxmlformats.org/officeDocument/2006/relationships/hyperlink" Target="https://aclanthology.org/2022.findings-emnlp.269/" TargetMode="External"/><Relationship Id="rId78" Type="http://schemas.openxmlformats.org/officeDocument/2006/relationships/hyperlink" Target="https://aclanthology.org/2022.naacl-main.341/" TargetMode="External"/><Relationship Id="rId62" Type="http://schemas.openxmlformats.org/officeDocument/2006/relationships/hyperlink" Target="https://aclanthology.org/2023.acl-long.754/" TargetMode="External"/><Relationship Id="rId60" Type="http://schemas.openxmlformats.org/officeDocument/2006/relationships/hyperlink" Target="https://aclanthology.org/2023.acl-long.806/" TargetMode="External"/><Relationship Id="rId92" Type="http://schemas.openxmlformats.org/officeDocument/2006/relationships/hyperlink" Target="https://aclanthology.org/2023.emnlp-main.153/" TargetMode="External"/><Relationship Id="rId126" Type="http://schemas.openxmlformats.org/officeDocument/2006/relationships/hyperlink" Target="https://aclanthology.org/N16-1014/" TargetMode="External"/><Relationship Id="rId56" Type="http://schemas.openxmlformats.org/officeDocument/2006/relationships/hyperlink" Target="https://arxiv.org/abs/1606.03498" TargetMode="External"/><Relationship Id="rId66" Type="http://schemas.openxmlformats.org/officeDocument/2006/relationships/hyperlink" Target="https://arxiv.org/abs/1611.02163" TargetMode="External"/><Relationship Id="rId80" Type="http://schemas.openxmlformats.org/officeDocument/2006/relationships/hyperlink" Target="https://arxiv.org/abs/2211.01910" TargetMode="External"/><Relationship Id="rId86" Type="http://schemas.openxmlformats.org/officeDocument/2006/relationships/hyperlink" Target="https://arxiv.org/abs/2309.16797" TargetMode="External"/><Relationship Id="rId90" Type="http://schemas.openxmlformats.org/officeDocument/2006/relationships/hyperlink" Target="https://arxiv.org/abs/2406.07496" TargetMode="External"/><Relationship Id="rId116" Type="http://schemas.openxmlformats.org/officeDocument/2006/relationships/hyperlink" Target="https://arxiv.org/abs/2410.12954" TargetMode="External"/><Relationship Id="rId124" Type="http://schemas.openxmlformats.org/officeDocument/2006/relationships/hyperlink" Target="https://arxiv.org/abs/2412.18645" TargetMode="External"/><Relationship Id="rId120" Type="http://schemas.openxmlformats.org/officeDocument/2006/relationships/hyperlink" Target="https://arxiv.org/abs/2502.15654" TargetMode="External"/><Relationship Id="rId102" Type="http://schemas.openxmlformats.org/officeDocument/2006/relationships/hyperlink" Target="https://arxiv.org/abs/2507.19457" TargetMode="External"/><Relationship Id="rId112" Type="http://schemas.openxmlformats.org/officeDocument/2006/relationships/hyperlink" Target="https://arxiv.org/abs/2509.23252" TargetMode="External"/><Relationship Id="rId110" Type="http://schemas.openxmlformats.org/officeDocument/2006/relationships/hyperlink" Target="https://arxiv.org/abs/2510.01171" TargetMode="External"/><Relationship Id="rId106" Type="http://schemas.openxmlformats.org/officeDocument/2006/relationships/hyperlink" Target="https://arxiv.org/abs/2510.06538" TargetMode="External"/><Relationship Id="rId108" Type="http://schemas.openxmlformats.org/officeDocument/2006/relationships/hyperlink" Target="https://arxiv.org/abs/2510.12697" TargetMode="External"/><Relationship Id="rId118" Type="http://schemas.openxmlformats.org/officeDocument/2006/relationships/hyperlink" Target="https://arxiv.org/abs/2511.01490" TargetMode="External"/><Relationship Id="rId72" Type="http://schemas.openxmlformats.org/officeDocument/2006/relationships/hyperlink" Target="https://dl.acm.org/doi/abs/10.1145/3477495.3531863" TargetMode="External"/><Relationship Id="rId52" Type="http://schemas.openxmlformats.org/officeDocument/2006/relationships/hyperlink" Target="https://github.com/ApartsinProjects/PromptForge" TargetMode="External"/><Relationship Id="rId58" Type="http://schemas.openxmlformats.org/officeDocument/2006/relationships/hyperlink" Target="https://openaccess.thecvf.com/content_CVPR_2019/html/Mao_Mode_Seeking_Generative_Adversarial_Networks_for_Diverse_Image_Synthesis_CVPR_2019_paper.html" TargetMode="External"/><Relationship Id="rId94" Type="http://schemas.openxmlformats.org/officeDocument/2006/relationships/hyperlink" Target="https://openreview.net/forum?id=1PL1NIMMrw" TargetMode="External"/><Relationship Id="rId82" Type="http://schemas.openxmlformats.org/officeDocument/2006/relationships/hyperlink" Target="https://openreview.net/forum?id=Bb4VGOWELI" TargetMode="External"/><Relationship Id="rId104" Type="http://schemas.openxmlformats.org/officeDocument/2006/relationships/hyperlink" Target="https://openreview.net/forum?id=HGCk5aaSvE" TargetMode="External"/><Relationship Id="rId122" Type="http://schemas.openxmlformats.org/officeDocument/2006/relationships/hyperlink" Target="https://openreview.net/forum?id=IBnCO8gtLA" TargetMode="External"/><Relationship Id="rId84" Type="http://schemas.openxmlformats.org/officeDocument/2006/relationships/hyperlink" Target="https://openreview.net/forum?id=ZG3RaNIsO8" TargetMode="External"/><Relationship Id="rId114" Type="http://schemas.openxmlformats.org/officeDocument/2006/relationships/hyperlink" Target="https://openreview.net/forum?id=et5l9qPUhm" TargetMode="External"/><Relationship Id="rId88" Type="http://schemas.openxmlformats.org/officeDocument/2006/relationships/hyperlink" Target="https://openreview.net/forum?id=sY5N0zY5Od" TargetMode="External"/><Relationship Id="rId64" Type="http://schemas.openxmlformats.org/officeDocument/2006/relationships/hyperlink" Target="https://openreview.net/forum?id=uccHPGDlao" TargetMode="External"/><Relationship Id="rId100" Type="http://schemas.openxmlformats.org/officeDocument/2006/relationships/hyperlink" Target="https://proceedings.mlr.press/v119/naeem20a.html" TargetMode="External"/><Relationship Id="rId68" Type="http://schemas.openxmlformats.org/officeDocument/2006/relationships/hyperlink" Target="https://proceedings.mlr.press/v70/arjovsky17a.html" TargetMode="External"/><Relationship Id="rId96" Type="http://schemas.openxmlformats.org/officeDocument/2006/relationships/hyperlink" Target="https://proceedings.neurips.cc/paper/2017/hash/8a1d694707eb0fefe65871369074926d-Abstract.html" TargetMode="External"/><Relationship Id="rId54" Type="http://schemas.openxmlformats.org/officeDocument/2006/relationships/hyperlink" Target="https://proceedings.neurips.cc/paper/2018/hash/288cc0ff022877bd3df94bc9360b9c5d-Abstract.html" TargetMode="External"/><Relationship Id="rId98" Type="http://schemas.openxmlformats.org/officeDocument/2006/relationships/hyperlink" Target="https://proceedings.neurips.cc/paper/2018/hash/f7696a9b362ac5a51c3dc8f098b73923-Abstract.html" TargetMode="External"/><Relationship Id="rId74" Type="http://schemas.openxmlformats.org/officeDocument/2006/relationships/hyperlink" Target="https://proceedings.neurips.cc/paper_files/paper/2022/hash/0346c148ba1c21c6b4780a961ea141dc-Abstract-Conference.html" TargetMode="External"/><Relationship Id="rId70"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2026-06-01T09:25:46Z</dcterms:created>
  <dcterms:modified xsi:type="dcterms:W3CDTF">2026-06-01T09:25:46Z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