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therefore the natural operating point: the theory establishes feasibility and the team-size scaling, and the experiments show the method reaches strong skill comfortably within that envelope.</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53967"/>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Table 4).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fraction of the centralized full-communication Hungarian-matching ceiling recovered at the unrestricted all-tasks menu under capacity-1 contention (matching-normalized so the centralized matcher is 1.00 and the random-collision floor is 0.00;</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Communication-free SwarmCF recovers about 30% of the centralized matcher, while the structure-free learner is at the floor; the substantial residual mixes imperfect estimation and within-round coordination (collisions under the shared all-tasks menu), the latter examined in Section 6.5.</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centralized Hungarian ceiling</w:t>
            </w:r>
            <w:r>
              <w:rPr>
                <w:rFonts w:ascii="Times New Roman" w:hAnsi="Times New Roman"/>
                <w:b/>
                <w:sz w:val="19"/>
              </w:rPr>
              <w:br/>
            </w:r>
            <w:r>
              <w:rPr>
                <w:rFonts w:ascii="Times New Roman" w:hAnsi="Times New Roman"/>
                <w:b/>
                <w:sz w:val="19"/>
              </w:rPr>
              <w:t xml:space="preserve">(ρ=0.25, all-tasks menu, capacity-1)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0.303 [0.291, 0.315]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[-0.001, 0.008]</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Proposition 1 above-floor-versus-at-floor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2052780"/>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05278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the clustering baseline (CLUB) and SwarmCF lead, far above the structure-free floor (independent-UCB collides and earns nothing under contention). Right: unseen-pair skill; SwarmCF leads, CLUB second, the structure-free learners at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An explicit communication-free de-confliction mechanism would close the remaining gap to the centralized ceiling: in a follow-up, a fixed, private per-robot offset (drawn once and never shared) roughly doubles earned reward at the most severe contention with no communication, exceeding communication-free reductions of auction-with-backoff and musical-chairs re-seating.</w:t>
      </w:r>
    </w:p>
    <w:p>
      <w:pPr>
        <w:pStyle w:val="BodyText"/>
        <w:jc w:val="center"/>
        <w:keepNext/>
        <w:keepLines/>
        <w:widowControl w:val="1"/>
      </w:pPr>
      <w:r>
        <w:drawing>
          <wp:inline>
            <wp:extent cx="5943600" cy="2135185"/>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35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essentially nothing, while SwarmCF and the clustering baseline spread robots across tasks via their learned models and collide rarely.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w:t>
      </w:r>
      <w:r>
        <w:t xml:space="preserve"> </w:t>
      </w:r>
      <w:r>
        <w:rPr>
          <w:b/>
          <w:bCs/>
        </w:rPr>
        <w:t xml:space="preserve">improves then stays robust</w:t>
      </w:r>
      <w:r>
        <w:t xml:space="preserve"> </w:t>
      </w:r>
      <w:r>
        <w:t xml:space="preserve">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09723"/>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with the discrete-clustering CLUB baseline second (unseen-pair</w:t>
      </w:r>
      <w:r>
        <w:t xml:space="preserve"> </w:t>
      </w:r>
      <m:oMath>
        <m:r>
          <m:t>0.11</m:t>
        </m:r>
      </m:oMath>
      <w:r>
        <w:t xml:space="preserve">),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781503"/>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i.i.d. as a signed Gaussian vector and L2-normalized to the unit sphere (every robot and task is individually distinct; no latent types),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13360"/>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590454"/>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590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2026-05-24T14:52:47Z</dcterms:created>
  <dcterms:modified xsi:type="dcterms:W3CDTF">2026-05-24T14:52:47Z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