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70"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F), recovering a substantial fraction (about a third)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6</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C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C),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C), not at the full-recovery threshold.</w:t>
      </w:r>
    </w:p>
    <w:bookmarkEnd w:id="18"/>
    <w:bookmarkStart w:id="45"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6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9a).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obvious decentralized candidates moreover reduce, once throttled to the communication-free passive-observation budget, to baselines already in the suite: a gossip or decentralized matrix-completion method without its message-passing is per-robot local low-rank completion, exactly our MF-SGD and PTF (and SwarmCF is its online-ALS member); and a clustered-bandit method that needs a prior similarity graph (Gang-of-Bandits style) is inadmissible, so its data-driven successor CLUB, which learns its clusters from the broadcast alone, is the admissible representative of that family. The remaining admissible communication-free baselines are the structure-free learners (Independent-UCB / tabular), the per-arm reductions of no-communication multiplayer-bandit methods. Two further recognized structure-sharing baselines, memory-based kNN collaborative filtering and convex nuclear-norm completion (SoftImpute), are added and evaluated across trait distributions in Appendix G.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3 (Appendix D) fixes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Proposition 1 above-floor-versus-at-floor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w:t>
      </w:r>
    </w:p>
    <w:p>
      <w:pPr>
        <w:pStyle w:val="BodyText"/>
        <w:jc w:val="both"/>
        <w:keepNext w:val="0"/>
        <w:keepLines w:val="0"/>
        <w:widowControl w:val="1"/>
      </w:pPr>
      <w:r>
        <w:rPr>
          <w:b/>
          <w:bCs/>
        </w:rPr>
        <w:t xml:space="preserve">Coordination versus estimation.</w:t>
      </w:r>
      <w:r>
        <w:t xml:space="preserve"> </w:t>
      </w:r>
      <w:r>
        <w:t xml:space="preserve">To quantify how much of the gap to the centralized ceiling is coordination rather than estimation, we add a minimal communication budget as a reference point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what a follow-up will study, where candidate mechanisms (for example fixed private per-robot offsets, or randomized near-best action selection that breaks ties stochastically rather than greedily) can be evaluated against the collision baseline measured here.</w:t>
      </w:r>
    </w:p>
    <w:bookmarkEnd w:id="35"/>
    <w:bookmarkStart w:id="39"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10).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w:t>
      </w:r>
      <w:r>
        <w:t xml:space="preserve"> </w:t>
      </w:r>
      <w:r>
        <w:rPr>
          <w:b/>
          <w:bCs/>
        </w:rPr>
        <w:t xml:space="preserve">improves then stays robust</w:t>
      </w:r>
      <w:r>
        <w:t xml:space="preserve"> </w:t>
      </w:r>
      <w:r>
        <w:t xml:space="preserve">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6).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37" name="Picture"/>
            <a:graphic>
              <a:graphicData uri="http://schemas.openxmlformats.org/drawingml/2006/picture">
                <pic:pic>
                  <pic:nvPicPr>
                    <pic:cNvPr descr="figures/F21_ranksweep.png" id="38" name="Picture"/>
                    <pic:cNvPicPr>
                      <a:picLocks noChangeArrowheads="1" noChangeAspect="1"/>
                    </pic:cNvPicPr>
                  </pic:nvPicPr>
                  <pic:blipFill>
                    <a:blip r:embed="rId36"/>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39"/>
    <w:bookmarkStart w:id="43"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a distance-degraded sensing-quality model in the spirit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with the discrete-clustering CLUB baseline second (unseen-pair</w:t>
      </w:r>
      <w:r>
        <w:t xml:space="preserve"> </w:t>
      </w:r>
      <m:oMath>
        <m:r>
          <m:t>0.11</m:t>
        </m:r>
      </m:oMath>
      <w:r>
        <w:t xml:space="preserve">), while structure-free Independent-UCB and MF-SGD sit at the floor (intervals straddling zero) and Independent-UCB earns below random by colliding (Figure 7). The absolute skill is lower than in the body because geometry-limited line-of-sight visibility is a harsher channel, so these values are a separate grounded instance rather than a restatement of Table 2; the separation itself is a property of the shared low-rank structure, not of the abstract trait or mask model.</w:t>
      </w:r>
    </w:p>
    <w:p>
      <w:pPr>
        <w:pStyle w:val="BodyText"/>
        <w:jc w:val="center"/>
        <w:keepNext/>
        <w:keepLines/>
        <w:widowControl w:val="1"/>
      </w:pPr>
      <w:r>
        <w:drawing>
          <wp:inline>
            <wp:extent cx="5943600" cy="1781503"/>
            <wp:effectExtent b="0" l="0" r="0" t="0"/>
            <wp:docPr descr="robotics-grounded instance" title="" id="41" name="Picture"/>
            <a:graphic>
              <a:graphicData uri="http://schemas.openxmlformats.org/drawingml/2006/picture">
                <pic:pic>
                  <pic:nvPicPr>
                    <pic:cNvPr descr="figures/F26_grounded.png" id="42" name="Picture"/>
                    <pic:cNvPicPr>
                      <a:picLocks noChangeArrowheads="1" noChangeAspect="1"/>
                    </pic:cNvPicPr>
                  </pic:nvPicPr>
                  <pic:blipFill>
                    <a:blip r:embed="rId40"/>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3"/>
    <w:bookmarkStart w:id="44"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4"/>
    <w:bookmarkEnd w:id="45"/>
    <w:bookmarkStart w:id="46"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a substantial fraction (about a third)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10).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so the finite-time rate under the strongly exploiting</w:t>
      </w:r>
      <w:r>
        <w:t xml:space="preserve"> </w:t>
      </w:r>
      <m:oMath>
        <m:r>
          <m:t>ε</m:t>
        </m:r>
      </m:oMath>
      <w:r>
        <w:t xml:space="preserve">-decay policy our experiments actually use (which can starve low-reward tasks of spanning coverage) remains an open guarantee, with Appendix C the empirical coverage evidence.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6"/>
    <w:bookmarkStart w:id="47"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and the method recovers a substantial fraction (about a third) of a centralized full-communication ceiling on earned (anytime) skill while assuming far less. We hope the setting, a swarm that must learn to coordinate from only what it passively senses, becomes a useful baseline regime for autonomous multi-robot systems.</w:t>
      </w:r>
    </w:p>
    <w:bookmarkEnd w:id="47"/>
    <w:bookmarkStart w:id="48"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8"/>
    <w:bookmarkStart w:id="49"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9"/>
    <w:bookmarkStart w:id="50"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0"/>
    <w:bookmarkStart w:id="52"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1">
        <w:r>
          <w:rPr>
            <w:rStyle w:val="Hyperlink"/>
          </w:rPr>
          <w:t xml:space="preserve">github.com/ApartsinProjects/ZKDroneSwarm</w:t>
        </w:r>
      </w:hyperlink>
      <w:r>
        <w:t xml:space="preserve">.</w:t>
      </w:r>
    </w:p>
    <w:bookmarkEnd w:id="52"/>
    <w:bookmarkStart w:id="53"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3"/>
    <w:bookmarkStart w:id="54"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4"/>
    <w:bookmarkStart w:id="55"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5"/>
    <w:bookmarkStart w:id="56"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6"/>
    <w:bookmarkStart w:id="57"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7"/>
    <w:bookmarkStart w:id="58"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i.i.d. as a signed Gaussian vector and L2-normalized to the unit sphere (every robot and task is individually distinct; no latent types),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8"/>
    <w:bookmarkStart w:id="68"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8 (top row) repeats the masking sweep under both menus. The categorical result is unchanged: every low-rank method stays well above the structure-free floor at both menu sizes (Figure 8a),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8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60" name="Picture"/>
            <a:graphic>
              <a:graphicData uri="http://schemas.openxmlformats.org/drawingml/2006/picture">
                <pic:pic>
                  <pic:nvPicPr>
                    <pic:cNvPr descr="figures/F22F8_robustness.png" id="61" name="Picture"/>
                    <pic:cNvPicPr>
                      <a:picLocks noChangeArrowheads="1" noChangeAspect="1"/>
                    </pic:cNvPicPr>
                  </pic:nvPicPr>
                  <pic:blipFill>
                    <a:blip r:embed="rId59"/>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8)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3" name="Picture"/>
            <a:graphic>
              <a:graphicData uri="http://schemas.openxmlformats.org/drawingml/2006/picture">
                <pic:pic>
                  <pic:nvPicPr>
                    <pic:cNvPr descr="figures/F28_appF_ablations.png" id="64" name="Picture"/>
                    <pic:cNvPicPr>
                      <a:picLocks noChangeArrowheads="1" noChangeAspect="1"/>
                    </pic:cNvPicPr>
                  </pic:nvPicPr>
                  <pic:blipFill>
                    <a:blip r:embed="rId62"/>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6" name="Picture"/>
            <a:graphic>
              <a:graphicData uri="http://schemas.openxmlformats.org/drawingml/2006/picture">
                <pic:pic>
                  <pic:nvPicPr>
                    <pic:cNvPr descr="figures/F27_approxrank.png" id="67" name="Picture"/>
                    <pic:cNvPicPr>
                      <a:picLocks noChangeArrowheads="1" noChangeAspect="1"/>
                    </pic:cNvPicPr>
                  </pic:nvPicPr>
                  <pic:blipFill>
                    <a:blip r:embed="rId65"/>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68"/>
    <w:bookmarkStart w:id="69" w:name="X4cf43806a018d5d6456fabf96bf37d9931ff3fc"/>
    <w:p>
      <w:pPr>
        <w:pStyle w:val="Heading2"/>
        <w:keepNext/>
        <w:keepLines/>
        <w:widowControl w:val="1"/>
      </w:pPr>
      <w:r>
        <w:t xml:space="preserve">Appendix G. Sensitivity to the trait distribution</w:t>
      </w:r>
    </w:p>
    <w:p>
      <w:pPr>
        <w:pStyle w:val="FirstParagraph"/>
        <w:jc w:val="both"/>
        <w:keepNext w:val="0"/>
        <w:keepLines w:val="0"/>
        <w:widowControl w:val="1"/>
      </w:pP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Appendix F).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w:t>
      </w:r>
      <w:r>
        <w:t xml:space="preserve"> </w:t>
      </w:r>
      <m:oMath>
        <m:r>
          <m:t>ε</m:t>
        </m:r>
      </m:oMath>
      <w:r>
        <w:t xml:space="preserve">-sweep of Appendix F. The separation is therefore a property of exploiting shared low-rank structure, not an artifact of the uniform trait distribution.</w:t>
      </w:r>
    </w:p>
    <w:bookmarkEnd w:id="69"/>
    <w:bookmarkEnd w:id="70"/>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36" Type="http://schemas.openxmlformats.org/officeDocument/2006/relationships/image" Target="media/rId36.png"/><Relationship Id="rId59" Type="http://schemas.openxmlformats.org/officeDocument/2006/relationships/image" Target="media/rId59.png"/><Relationship Id="rId40" Type="http://schemas.openxmlformats.org/officeDocument/2006/relationships/image" Target="media/rId40.png"/><Relationship Id="rId65" Type="http://schemas.openxmlformats.org/officeDocument/2006/relationships/image" Target="media/rId65.png"/><Relationship Id="rId62" Type="http://schemas.openxmlformats.org/officeDocument/2006/relationships/image" Target="media/rId62.png"/><Relationship Id="rId19" Type="http://schemas.openxmlformats.org/officeDocument/2006/relationships/image" Target="media/rId19.png"/><Relationship Id="rId23" Type="http://schemas.openxmlformats.org/officeDocument/2006/relationships/image" Target="media/rId23.png"/><Relationship Id="rId51"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1"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2026-05-24T16:38:21Z</dcterms:created>
  <dcterms:modified xsi:type="dcterms:W3CDTF">2026-05-24T16:38:21Z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