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5"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F),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7</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C), not at the full-recovery threshold.</w:t>
      </w:r>
    </w:p>
    <w:bookmarkEnd w:id="18"/>
    <w:bookmarkStart w:id="48"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7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baselines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Table 4).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fraction of the centralized full-communication Hungarian-matching ceiling recovered at the unrestricted all-tasks menu under capacity-1 contention (matching-normalized so the centralized matcher is 1.00 and the random-collision floor is 0.00;</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Communication-free SwarmCF recovers about 30% of the centralized matcher, while the structure-free learner is at the floor; the substantial residual mixes imperfect estimation and within-round coordination (collisions under the shared all-tasks menu), the latter examined in Section 6.5.</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centralized Hungarian ceiling</w:t>
            </w:r>
            <w:r>
              <w:rPr>
                <w:rFonts w:ascii="Times New Roman" w:hAnsi="Times New Roman"/>
                <w:b/>
                <w:sz w:val="19"/>
              </w:rPr>
              <w:br/>
            </w:r>
            <w:r>
              <w:rPr>
                <w:rFonts w:ascii="Times New Roman" w:hAnsi="Times New Roman"/>
                <w:b/>
                <w:sz w:val="19"/>
              </w:rPr>
              <w:t xml:space="preserve">(ρ=0.25, all-tasks menu, capacity-1)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0.303 [0.291, 0.315]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[-0.001, 0.008]</w:t>
            </w:r>
          </w:p>
        </w:tc>
      </w:tr>
    </w:tbl>
    <w:bookmarkEnd w:id="31"/>
    <w:bookmarkStart w:id="38"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2052780"/>
            <wp:effectExtent b="0" l="0" r="0" t="0"/>
            <wp:docPr descr="categorical separation under capacity-1 contention" title="" id="33" name="Picture"/>
            <a:graphic>
              <a:graphicData uri="http://schemas.openxmlformats.org/drawingml/2006/picture">
                <pic:pic>
                  <pic:nvPicPr>
                    <pic:cNvPr descr="figures/F13_realsim.png" id="34" name="Picture"/>
                    <pic:cNvPicPr>
                      <a:picLocks noChangeArrowheads="1" noChangeAspect="1"/>
                    </pic:cNvPicPr>
                  </pic:nvPicPr>
                  <pic:blipFill>
                    <a:blip r:embed="rId32"/>
                    <a:stretch>
                      <a:fillRect/>
                    </a:stretch>
                  </pic:blipFill>
                  <pic:spPr bwMode="auto">
                    <a:xfrm>
                      <a:off x="0" y="0"/>
                      <a:ext cx="5943600" cy="205278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the clustering baseline (CLUB) and SwarmCF lead, far above the structure-free floor (independent-UCB collides and earns nothing under contention). Right: unseen-pair skill; SwarmCF leads, CLUB second, the structure-free learners at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Closing the remaining coordination gap calls for explicit communication-free de-confliction. We leave a systematic study to a follow-up, where candidate communication-free mechanisms (for example fixed private per-robot offsets, or randomized near-best action selection that breaks ties stochastically rather than greedily) can be evaluated against the collision baseline measured here.</w:t>
      </w:r>
    </w:p>
    <w:p>
      <w:pPr>
        <w:pStyle w:val="BodyText"/>
        <w:jc w:val="center"/>
        <w:keepNext/>
        <w:keepLines/>
        <w:widowControl w:val="1"/>
      </w:pPr>
      <w:r>
        <w:drawing>
          <wp:inline>
            <wp:extent cx="5943600" cy="2135185"/>
            <wp:effectExtent b="0" l="0" r="0" t="0"/>
            <wp:docPr descr="LatentSwarm contention and de-confliction" title="" id="36" name="Picture"/>
            <a:graphic>
              <a:graphicData uri="http://schemas.openxmlformats.org/drawingml/2006/picture">
                <pic:pic>
                  <pic:nvPicPr>
                    <pic:cNvPr descr="figures/F23_ls_contention.png" id="37" name="Picture"/>
                    <pic:cNvPicPr>
                      <a:picLocks noChangeArrowheads="1" noChangeAspect="1"/>
                    </pic:cNvPicPr>
                  </pic:nvPicPr>
                  <pic:blipFill>
                    <a:blip r:embed="rId35"/>
                    <a:stretch>
                      <a:fillRect/>
                    </a:stretch>
                  </pic:blipFill>
                  <pic:spPr bwMode="auto">
                    <a:xfrm>
                      <a:off x="0" y="0"/>
                      <a:ext cx="5943600" cy="2135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essentially nothing, while SwarmCF and the clustering baseline spread robots across tasks via their learned models and collide rarely. (b) Collision rate per method under the all-tasks menu versus a size-</w:t>
      </w:r>
      <m:oMath>
        <m:r>
          <m:t>c</m:t>
        </m:r>
      </m:oMath>
      <w:r>
        <w:t xml:space="preserve"> </w:t>
      </w:r>
      <w:r>
        <w:t xml:space="preserve">menu: restricting the menu reduces collisions. Means over 16 seeds.</w:t>
      </w:r>
    </w:p>
    <w:bookmarkEnd w:id="38"/>
    <w:bookmarkStart w:id="42"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40" name="Picture"/>
            <a:graphic>
              <a:graphicData uri="http://schemas.openxmlformats.org/drawingml/2006/picture">
                <pic:pic>
                  <pic:nvPicPr>
                    <pic:cNvPr descr="figures/F21_ranksweep.png" id="41" name="Picture"/>
                    <pic:cNvPicPr>
                      <a:picLocks noChangeArrowheads="1" noChangeAspect="1"/>
                    </pic:cNvPicPr>
                  </pic:nvPicPr>
                  <pic:blipFill>
                    <a:blip r:embed="rId39"/>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2"/>
    <w:bookmarkStart w:id="46"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a distance-degraded sensing-quality model in the spirit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4" name="Picture"/>
            <a:graphic>
              <a:graphicData uri="http://schemas.openxmlformats.org/drawingml/2006/picture">
                <pic:pic>
                  <pic:nvPicPr>
                    <pic:cNvPr descr="figures/F26_grounded.png" id="45" name="Picture"/>
                    <pic:cNvPicPr>
                      <a:picLocks noChangeArrowheads="1" noChangeAspect="1"/>
                    </pic:cNvPicPr>
                  </pic:nvPicPr>
                  <pic:blipFill>
                    <a:blip r:embed="rId43"/>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6"/>
    <w:bookmarkStart w:id="47"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7"/>
    <w:bookmarkEnd w:id="48"/>
    <w:bookmarkStart w:id="49"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C the empirical coverage evidence.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9"/>
    <w:bookmarkStart w:id="50"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50"/>
    <w:bookmarkStart w:id="51"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51"/>
    <w:bookmarkStart w:id="52"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2"/>
    <w:bookmarkStart w:id="53"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3"/>
    <w:bookmarkStart w:id="55"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4">
        <w:r>
          <w:rPr>
            <w:rStyle w:val="Hyperlink"/>
          </w:rPr>
          <w:t xml:space="preserve">github.com/ApartsinProjects/ZKDroneSwarm</w:t>
        </w:r>
      </w:hyperlink>
      <w:r>
        <w:t xml:space="preserve">.</w:t>
      </w:r>
    </w:p>
    <w:bookmarkEnd w:id="55"/>
    <w:bookmarkStart w:id="56"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6"/>
    <w:bookmarkStart w:id="57"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7"/>
    <w:bookmarkStart w:id="58"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8"/>
    <w:bookmarkStart w:id="59"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9"/>
    <w:bookmarkStart w:id="60"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60"/>
    <w:bookmarkStart w:id="61"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61"/>
    <w:bookmarkStart w:id="74"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13360"/>
            <wp:effectExtent b="0" l="0" r="0" t="0"/>
            <wp:docPr descr="offer-size robustness" title="" id="63" name="Picture"/>
            <a:graphic>
              <a:graphicData uri="http://schemas.openxmlformats.org/drawingml/2006/picture">
                <pic:pic>
                  <pic:nvPicPr>
                    <pic:cNvPr descr="figures/F22_offersize.png" id="64" name="Picture"/>
                    <pic:cNvPicPr>
                      <a:picLocks noChangeArrowheads="1" noChangeAspect="1"/>
                    </pic:cNvPicPr>
                  </pic:nvPicPr>
                  <pic:blipFill>
                    <a:blip r:embed="rId62"/>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590454"/>
            <wp:effectExtent b="0" l="0" r="0" t="0"/>
            <wp:docPr descr="masking model robustness" title="" id="66" name="Picture"/>
            <a:graphic>
              <a:graphicData uri="http://schemas.openxmlformats.org/drawingml/2006/picture">
                <pic:pic>
                  <pic:nvPicPr>
                    <pic:cNvPr descr="figures/F8_iid_vs_persistent.png" id="67" name="Picture"/>
                    <pic:cNvPicPr>
                      <a:picLocks noChangeArrowheads="1" noChangeAspect="1"/>
                    </pic:cNvPicPr>
                  </pic:nvPicPr>
                  <pic:blipFill>
                    <a:blip r:embed="rId65"/>
                    <a:stretch>
                      <a:fillRect/>
                    </a:stretch>
                  </pic:blipFill>
                  <pic:spPr bwMode="auto">
                    <a:xfrm>
                      <a:off x="0" y="0"/>
                      <a:ext cx="5943600" cy="1590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9" name="Picture"/>
            <a:graphic>
              <a:graphicData uri="http://schemas.openxmlformats.org/drawingml/2006/picture">
                <pic:pic>
                  <pic:nvPicPr>
                    <pic:cNvPr descr="figures/F28_appF_ablations.png" id="70" name="Picture"/>
                    <pic:cNvPicPr>
                      <a:picLocks noChangeArrowheads="1" noChangeAspect="1"/>
                    </pic:cNvPicPr>
                  </pic:nvPicPr>
                  <pic:blipFill>
                    <a:blip r:embed="rId68"/>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72" name="Picture"/>
            <a:graphic>
              <a:graphicData uri="http://schemas.openxmlformats.org/drawingml/2006/picture">
                <pic:pic>
                  <pic:nvPicPr>
                    <pic:cNvPr descr="figures/F27_approxrank.png" id="73" name="Picture"/>
                    <pic:cNvPicPr>
                      <a:picLocks noChangeArrowheads="1" noChangeAspect="1"/>
                    </pic:cNvPicPr>
                  </pic:nvPicPr>
                  <pic:blipFill>
                    <a:blip r:embed="rId71"/>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4"/>
    <w:bookmarkEnd w:id="75"/>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39" Type="http://schemas.openxmlformats.org/officeDocument/2006/relationships/image" Target="media/rId39.png"/><Relationship Id="rId62" Type="http://schemas.openxmlformats.org/officeDocument/2006/relationships/image" Target="media/rId62.png"/><Relationship Id="rId35" Type="http://schemas.openxmlformats.org/officeDocument/2006/relationships/image" Target="media/rId35.png"/><Relationship Id="rId43" Type="http://schemas.openxmlformats.org/officeDocument/2006/relationships/image" Target="media/rId43.png"/><Relationship Id="rId71" Type="http://schemas.openxmlformats.org/officeDocument/2006/relationships/image" Target="media/rId71.png"/><Relationship Id="rId68" Type="http://schemas.openxmlformats.org/officeDocument/2006/relationships/image" Target="media/rId68.png"/><Relationship Id="rId19" Type="http://schemas.openxmlformats.org/officeDocument/2006/relationships/image" Target="media/rId19.png"/><Relationship Id="rId23" Type="http://schemas.openxmlformats.org/officeDocument/2006/relationships/image" Target="media/rId23.png"/><Relationship Id="rId65" Type="http://schemas.openxmlformats.org/officeDocument/2006/relationships/image" Target="media/rId65.png"/><Relationship Id="rId54"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2026-05-24T15:49:21Z</dcterms:created>
  <dcterms:modified xsi:type="dcterms:W3CDTF">2026-05-24T15:49:21Z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