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67"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A).</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E), recovering a substantial fraction (about a third)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D).</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8</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7 (Scope of the advantage).</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E),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E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 Appendix B).</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A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A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A),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A), not at the full-recovery threshold.</w:t>
      </w:r>
    </w:p>
    <w:bookmarkEnd w:id="18"/>
    <w:bookmarkStart w:id="41"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8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C),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E (Figure 9a). Appendix E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D details the simulator).</w:t>
      </w:r>
    </w:p>
    <w:p>
      <w:pPr>
        <w:pStyle w:val="BodyText"/>
        <w:jc w:val="both"/>
        <w:keepNext w:val="0"/>
        <w:keepLines w:val="0"/>
        <w:widowControl w:val="1"/>
      </w:pPr>
      <w:r>
        <w:rPr>
          <w:b/>
          <w:bCs/>
        </w:rPr>
        <w:t xml:space="preserve">How to read the comparison.</w:t>
      </w:r>
      <w:r>
        <w:t xml:space="preserve"> </w:t>
      </w:r>
      <w:r>
        <w:t xml:space="preserve">The setting is new, so this is a controlled sweep across the low-rank design space against the external structure-free paradigm and full-information ceilings, not a contest of rival systems: SwarmCF is ours; the structure-free learners (Independent-UCB, a per-arm UCB1 [53]; tabular) are the external paradigm; standard low-rank estimators (MF-SGD, spectral, Bayesian completion) are adapted to the setting; the Oracle and a centralized full-communication matcher are upper bounds, not competitors. Communication-based methods (auctions/CBBA, CTDE, federated/gossip CF) are</w:t>
      </w:r>
      <w:r>
        <w:t xml:space="preserve"> </w:t>
      </w:r>
      <w:r>
        <w:rPr>
          <w:b/>
          <w:bCs/>
        </w:rPr>
        <w:t xml:space="preserve">inadmissible by the problem definition</w:t>
      </w:r>
      <w:r>
        <w:t xml:space="preserve">: a gossip or decentralized matrix-completion method, throttled to the communication-free passive budget, reduces to per-robot local low-rank completion, exactly our MF-SGD and PTF (SwarmCF is its online-ALS member); and a Gang-of-Bandits method needs a prior similarity graph, so its data-driven successor CLUB is the admissible clustered-bandit. Two further structure-sharing baselines, memory-based kNN-CF and convex nuclear-norm SoftImpute, are evaluated in Appendix E. In our harness</w:t>
      </w:r>
      <w:r>
        <w:t xml:space="preserve"> </w:t>
      </w:r>
      <w:r>
        <w:rPr>
          <w:b/>
          <w:bCs/>
        </w:rPr>
        <w:t xml:space="preserve">every</w:t>
      </w:r>
      <w:r>
        <w:t xml:space="preserve"> </w:t>
      </w:r>
      <w:r>
        <w:t xml:space="preserve">method runs decentralized and communication-free (one estimator per robot), differing only in the update rule; Table 3 (Appendix C) gives each method's operating profile.</w:t>
      </w:r>
    </w:p>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E, Figure 9a);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2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2.</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bookmarkEnd w:id="31"/>
    <w:bookmarkStart w:id="35"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2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4317658"/>
            <wp:effectExtent b="0" l="0" r="0" t="0"/>
            <wp:docPr descr="capacity-1 contention: categorical separation and collisions" title="" id="33" name="Picture"/>
            <a:graphic>
              <a:graphicData uri="http://schemas.openxmlformats.org/drawingml/2006/picture">
                <pic:pic>
                  <pic:nvPicPr>
                    <pic:cNvPr descr="figures/F13F23_contention.png" id="34" name="Picture"/>
                    <pic:cNvPicPr>
                      <a:picLocks noChangeArrowheads="1" noChangeAspect="1"/>
                    </pic:cNvPicPr>
                  </pic:nvPicPr>
                  <pic:blipFill>
                    <a:blip r:embed="rId32"/>
                    <a:stretch>
                      <a:fillRect/>
                    </a:stretch>
                  </pic:blipFill>
                  <pic:spPr bwMode="auto">
                    <a:xfrm>
                      <a:off x="0" y="0"/>
                      <a:ext cx="5943600" cy="43176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Capacity-1 contention (LatentSwarm: signed low-rank reward, persistent partial and private broadcast, task scarcity). (a) Earned (anytime) skill and (b) unseen-pair skill: the clustering baseline (CLUB) and SwarmCF lead on earned skill, SwarmCF leads on unseen-pair, and the structure-free learners sit at the floor (intervals straddling zero); the oracle is the centralized capacity-1 (Hungarian) matching. (c) Earned skill versus collision rate on the all-tasks menu: structure-free independent-UCB collides on almost every engagement and earns essentially nothing, while SwarmCF and CLUB spread robots across tasks via their learned models and collide rarely. (d) Collision rate per method under the all-tasks menu versus a size-</w:t>
      </w:r>
      <m:oMath>
        <m:r>
          <m:t>c</m:t>
        </m:r>
      </m:oMath>
      <w:r>
        <w:t xml:space="preserve"> </w:t>
      </w:r>
      <w:r>
        <w:t xml:space="preserve">menu: restricting the menu reduces collisions. Means with bootstrap 95% CIs over 16 seeds.</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5c):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w:t>
      </w:r>
    </w:p>
    <w:p>
      <w:pPr>
        <w:pStyle w:val="BodyText"/>
        <w:jc w:val="both"/>
        <w:keepNext w:val="0"/>
        <w:keepLines w:val="0"/>
        <w:widowControl w:val="1"/>
      </w:pPr>
      <w:r>
        <w:rPr>
          <w:b/>
          <w:bCs/>
        </w:rPr>
        <w:t xml:space="preserve">Coordination versus estimation.</w:t>
      </w:r>
      <w:r>
        <w:t xml:space="preserve"> </w:t>
      </w:r>
      <w:r>
        <w:t xml:space="preserve">To quantify how much of the gap to the centralized ceiling is coordination rather than estimation, we add a minimal communication budget as a reference point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what a follow-up will study, where candidate mechanisms (for example fixed private per-robot offsets, or randomized near-best action selection that breaks ties stochastically rather than greedily) can be evaluated against the collision baseline measured here.</w:t>
      </w:r>
    </w:p>
    <w:bookmarkEnd w:id="35"/>
    <w:bookmarkStart w:id="36"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7 (an exploitable low-rank-but-personalized reward, task scarcity, and a shared channel), not from any particular team size or task count. Section 6.3 shows it widening with team size (Figure 4b); additional sweeps over</w:t>
      </w:r>
      <w:r>
        <w:t xml:space="preserve"> </w:t>
      </w:r>
      <m:oMath>
        <m:r>
          <m:t>n</m:t>
        </m:r>
      </m:oMath>
      <w:r>
        <w:t xml:space="preserve">,</w:t>
      </w:r>
      <w:r>
        <w:t xml:space="preserve"> </w:t>
      </w:r>
      <m:oMath>
        <m:r>
          <m:t>d</m:t>
        </m:r>
      </m:oMath>
      <w:r>
        <w:t xml:space="preserve">, and reward heterogeneity in the released data show the same pattern; and it stays intact when the reward is only approximately low-rank, under the offer size (size-</w:t>
      </w:r>
      <m:oMath>
        <m:r>
          <m:t>c</m:t>
        </m:r>
      </m:oMath>
      <w:r>
        <w:t xml:space="preserve"> </w:t>
      </w:r>
      <w:r>
        <w:t xml:space="preserve">versus all</w:t>
      </w:r>
      <w:r>
        <w:t xml:space="preserve"> </w:t>
      </w:r>
      <m:oMath>
        <m:r>
          <m:t>n</m:t>
        </m:r>
      </m:oMath>
      <w:r>
        <w:t xml:space="preserve"> </w:t>
      </w:r>
      <w:r>
        <w:t xml:space="preserve">tasks), under the masking model (persistent versus i.i.d.), and under a randomly guessed rank swept from</w:t>
      </w:r>
      <w:r>
        <w:t xml:space="preserve"> </w:t>
      </w:r>
      <m:oMath>
        <m:r>
          <m:t>d</m:t>
        </m:r>
        <m:r>
          <m:rPr>
            <m:sty m:val="p"/>
          </m:rPr>
          <m:t>/</m:t>
        </m:r>
        <m:r>
          <m:t>2</m:t>
        </m:r>
      </m:oMath>
      <w:r>
        <w:t xml:space="preserve"> </w:t>
      </w:r>
      <w:r>
        <w:t xml:space="preserve">to</w:t>
      </w:r>
      <w:r>
        <w:t xml:space="preserve"> </w:t>
      </w:r>
      <m:oMath>
        <m:r>
          <m:t>3</m:t>
        </m:r>
        <m:r>
          <m:t>d</m:t>
        </m:r>
      </m:oMath>
      <w:r>
        <w:t xml:space="preserve">, all detailed in Appendix E.</w:t>
      </w:r>
    </w:p>
    <w:bookmarkEnd w:id="36"/>
    <w:bookmarkStart w:id="40"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To check the separation is not an artifact of the abstract traits and Bernoulli mask, we instantiate the Section 3 model physically: robot and task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(rank-</w:t>
      </w:r>
      <m:oMath>
        <m:r>
          <m:t>d</m:t>
        </m:r>
      </m:oMath>
      <w:r>
        <w:t xml:space="preserve"> </w:t>
      </w:r>
      <w:r>
        <w:t xml:space="preserve">by construction, in the style of trait-based MRTA [1,19,20]), and the mask is a</w:t>
      </w:r>
      <w:r>
        <w:t xml:space="preserve"> </w:t>
      </w:r>
      <w:r>
        <w:rPr>
          <w:b/>
          <w:bCs/>
        </w:rPr>
        <w:t xml:space="preserve">range-limited line-of-sight</w:t>
      </w:r>
      <w:r>
        <w:t xml:space="preserve"> </w:t>
      </w:r>
      <w:r>
        <w:t xml:space="preserve">graph from 2-D patrol positions with distance-growing per-observer noise (coverage-control style [10]). Under capacity-1 contention and a randomly guessed rank the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the discrete-clustering CLUB second (</w:t>
      </w:r>
      <m:oMath>
        <m:r>
          <m:t>0.11</m:t>
        </m:r>
      </m:oMath>
      <w:r>
        <w:t xml:space="preserve">), while structure-free Independent-UCB and MF-SGD sit at the floor (Figure 6). The absolute skill is lower than in the body because line-of-sight visibility is a harsher channel, so these are a separate grounded instance, not a restatement of Table 2; the separation is a property of the shared low-rank structure, not of the trait or mask model.</w:t>
      </w:r>
    </w:p>
    <w:p>
      <w:pPr>
        <w:pStyle w:val="BodyText"/>
        <w:jc w:val="center"/>
        <w:keepNext/>
        <w:keepLines/>
        <w:widowControl w:val="1"/>
      </w:pPr>
      <w:r>
        <w:drawing>
          <wp:inline>
            <wp:extent cx="5943600" cy="1781503"/>
            <wp:effectExtent b="0" l="0" r="0" t="0"/>
            <wp:docPr descr="robotics-grounded instance" title="" id="38" name="Picture"/>
            <a:graphic>
              <a:graphicData uri="http://schemas.openxmlformats.org/drawingml/2006/picture">
                <pic:pic>
                  <pic:nvPicPr>
                    <pic:cNvPr descr="figures/F26_grounded.png" id="39" name="Picture"/>
                    <pic:cNvPicPr>
                      <a:picLocks noChangeArrowheads="1" noChangeAspect="1"/>
                    </pic:cNvPicPr>
                  </pic:nvPicPr>
                  <pic:blipFill>
                    <a:blip r:embed="rId37"/>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A robotics-grounded instance (LatentSwarm): non-negative sensing-modality traits and a range-limited line-of-sight mask with distance-dependent noise, under capacity-1 contention. (a) Example patrol layout and visibility graph; (b) earned and (c) unseen-pair skill. SwarmCF stays well above the structure-free floor. Means with bootstrap 95% CIs over 16 seeds.</w:t>
      </w:r>
    </w:p>
    <w:bookmarkEnd w:id="40"/>
    <w:bookmarkEnd w:id="41"/>
    <w:bookmarkStart w:id="42"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a substantial fraction (about a third)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E, Figure 10).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so the finite-time rate under the strongly exploiting</w:t>
      </w:r>
      <w:r>
        <w:t xml:space="preserve"> </w:t>
      </w:r>
      <m:oMath>
        <m:r>
          <m:t>ε</m:t>
        </m:r>
      </m:oMath>
      <w:r>
        <w:t xml:space="preserve">-decay policy our experiments actually use (which can starve low-reward tasks of spanning coverage) remains an open guarantee, with Appendix A the empirical coverage evidence.</w:t>
      </w:r>
    </w:p>
    <w:p>
      <w:pPr>
        <w:pStyle w:val="BodyText"/>
        <w:jc w:val="both"/>
        <w:keepNext w:val="0"/>
        <w:keepLines w:val="0"/>
        <w:widowControl w:val="1"/>
      </w:pPr>
      <w:r>
        <w:rPr>
          <w:b/>
          <w:bCs/>
        </w:rPr>
        <w:t xml:space="preserve">Scope of the advantage.</w:t>
      </w:r>
      <w:r>
        <w:t xml:space="preserve"> </w:t>
      </w:r>
      <w:r>
        <w:t xml:space="preserve">It is not universal, and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a bias/pooling baseline already captures;</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Outside these conditions,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2"/>
    <w:bookmarkStart w:id="43"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and the method recovers a substantial fraction (about a third) of a centralized full-communication ceiling on earned (anytime) skill while assuming far less. We hope the setting, a swarm that must learn to coordinate from only what it passively senses, becomes a useful baseline regime for autonomous multi-robot systems.</w:t>
      </w:r>
    </w:p>
    <w:bookmarkEnd w:id="43"/>
    <w:bookmarkStart w:id="4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4"/>
    <w:bookmarkStart w:id="4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5"/>
    <w:bookmarkStart w:id="4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46"/>
    <w:bookmarkStart w:id="48"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47">
        <w:r>
          <w:rPr>
            <w:rStyle w:val="Hyperlink"/>
          </w:rPr>
          <w:t xml:space="preserve">github.com/ApartsinProjects/ZKDroneSwarm</w:t>
        </w:r>
      </w:hyperlink>
      <w:r>
        <w:t xml:space="preserve">.</w:t>
      </w:r>
    </w:p>
    <w:bookmarkEnd w:id="48"/>
    <w:bookmarkStart w:id="49"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49"/>
    <w:bookmarkStart w:id="50" w:name="Xc4b77b9f289df85bfcd153174d89cf41c5737e9"/>
    <w:p>
      <w:pPr>
        <w:pStyle w:val="Heading2"/>
        <w:keepNext/>
        <w:keepLines/>
        <w:widowControl w:val="1"/>
      </w:pPr>
      <w:r>
        <w:t xml:space="preserve">Appendix A. Proofs and empirical validation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empirically at the end of this appendix.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p>
      <w:pPr>
        <w:pStyle w:val="BodyText"/>
        <w:jc w:val="both"/>
        <w:keepNext w:val="0"/>
        <w:keepLines w:val="0"/>
        <w:widowControl w:val="1"/>
      </w:pPr>
      <w:r>
        <w:rPr>
          <w:b/>
          <w:bCs/>
        </w:rPr>
        <w:t xml:space="preserve">Empirical validation of the recovery condition (Theorem 2).</w:t>
      </w:r>
      <w:r>
        <w:t xml:space="preserve"> </w:t>
      </w: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0"/>
    <w:bookmarkStart w:id="51"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p>
      <w:pPr>
        <w:pStyle w:val="BodyText"/>
        <w:jc w:val="both"/>
        <w:keepNext w:val="0"/>
        <w:keepLines w:val="0"/>
        <w:widowControl w:val="1"/>
      </w:pPr>
      <w:r>
        <w:t xml:space="preserve">The fold-in itself (referenced from Section 4) is a single ridge solve: it recovers a newcomer's</w:t>
      </w:r>
      <w:r>
        <w:t xml:space="preserve"> </w:t>
      </w:r>
      <m:oMath>
        <m:acc>
          <m:accPr>
            <m:chr m:val="̂"/>
          </m:accPr>
          <m:e>
            <m:r>
              <m:t>d</m:t>
            </m:r>
          </m:e>
        </m:acc>
      </m:oMath>
      <w:r>
        <w:t xml:space="preserve">-vector from a few observations against the known factor basis, after which the newcomer can be scored against any other entity.</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bookmarkEnd w:id="51"/>
    <w:bookmarkStart w:id="52" w:name="X8bd459205fc61202df49baf61ff37ee1638d4ae"/>
    <w:p>
      <w:pPr>
        <w:pStyle w:val="Heading2"/>
        <w:keepNext/>
        <w:keepLines/>
        <w:widowControl w:val="1"/>
      </w:pPr>
      <w:r>
        <w:t xml:space="preserve">Appendix C. Reproducibility and methods compared</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2),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p>
      <w:pPr>
        <w:pStyle w:val="TableCaption"/>
        <w:spacing w:before="160" w:after="60" w:line="240" w:lineRule="auto"/>
        <w:jc w:val="center"/>
        <w:keepNext/>
        <w:keepLines/>
        <w:widowControl w:val="1"/>
      </w:pPr>
      <w:r>
        <w:rPr>
          <w:b/>
          <w:bCs/>
        </w:rPr>
        <w:t xml:space="preserve">Table 3.</w:t>
      </w:r>
      <w:r>
        <w:t xml:space="preserve"> </w:t>
      </w:r>
      <w:r>
        <w:t xml:space="preserve">Operating profiles of the methods compared (referenced from Section 6);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2"/>
    <w:bookmarkStart w:id="53" w:name="appendix-d.-the-latentswarm-environment"/>
    <w:p>
      <w:pPr>
        <w:pStyle w:val="Heading2"/>
        <w:keepNext/>
        <w:keepLines/>
        <w:widowControl w:val="1"/>
      </w:pPr>
      <w:r>
        <w:t xml:space="preserve">Appendix D.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Model.</w:t>
      </w:r>
      <w:r>
        <w:t xml:space="preserve"> </w:t>
      </w:r>
      <w:r>
        <w:t xml:space="preserve">The environment uses the Section 3 reward and observation model verbatim: each robot</w:t>
      </w:r>
      <w:r>
        <w:t xml:space="preserve"> </w:t>
      </w:r>
      <m:oMath>
        <m:r>
          <m:t>i</m:t>
        </m:r>
      </m:oMath>
      <w:r>
        <w:t xml:space="preserve"> </w:t>
      </w:r>
      <w:r>
        <w:t xml:space="preserve">and task</w:t>
      </w:r>
      <w:r>
        <w:t xml:space="preserve"> </w:t>
      </w:r>
      <m:oMath>
        <m:r>
          <m:t>j</m:t>
        </m:r>
      </m:oMath>
      <w:r>
        <w:t xml:space="preserve"> </w:t>
      </w:r>
      <w:r>
        <w:t xml:space="preserve">gets a hidden</w:t>
      </w:r>
      <w:r>
        <w:t xml:space="preserve"> </w:t>
      </w:r>
      <m:oMath>
        <m:r>
          <m:t>d</m:t>
        </m:r>
      </m:oMath>
      <w:r>
        <w:t xml:space="preserve">-vector drawn i.i.d. and L2-normalized to the unit sphere (no latent types), giving the signed low-rank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robots do not communicate and read the public outcome stream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w:t>
      </w:r>
      <m:oMath>
        <m:sSub>
          <m:e>
            <m:r>
              <m:t>M</m:t>
            </m:r>
          </m:e>
          <m:sub>
            <m:r>
              <m:t>i</m:t>
            </m:r>
            <m:r>
              <m:t>i</m:t>
            </m:r>
          </m:sub>
        </m:sSub>
        <m:r>
          <m:rPr>
            <m:sty m:val="p"/>
          </m:rPr>
          <m:t>=</m:t>
        </m:r>
        <m:r>
          <m:t>1</m:t>
        </m:r>
      </m:oMath>
      <w:r>
        <w:t xml:space="preserve">) with 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To this it adds</w:t>
      </w:r>
      <w:r>
        <w:t xml:space="preserve"> </w:t>
      </w:r>
      <w:r>
        <w:rPr>
          <w:b/>
          <w:bCs/>
        </w:rPr>
        <w:t xml:space="preserve">capacity-1 contention</w:t>
      </w:r>
      <w:r>
        <w:t xml:space="preserve"> </w:t>
      </w:r>
      <w:r>
        <w:t xml:space="preserve">(only the first robot to pick a task each round succeeds; a colliding robot earns nothing) over a task-scarce (</w:t>
      </w:r>
      <m:oMath>
        <m:r>
          <m:t>n</m:t>
        </m:r>
        <m:r>
          <m:rPr>
            <m:sty m:val="p"/>
          </m:rPr>
          <m:t>≫</m:t>
        </m:r>
        <m:r>
          <m:t>T</m:t>
        </m:r>
      </m:oMath>
      <w:r>
        <w:t xml:space="preserve">) horizon, with a randomly guessed rank</w:t>
      </w:r>
      <w:r>
        <w:t xml:space="preserve"> </w:t>
      </w:r>
      <m:oMath>
        <m:acc>
          <m:accPr>
            <m:chr m:val="̂"/>
          </m:accPr>
          <m:e>
            <m:r>
              <m:t>d</m:t>
            </m:r>
          </m:e>
        </m:acc>
      </m:oMath>
      <w:r>
        <w:t xml:space="preserve"> </w:t>
      </w:r>
      <w:r>
        <w:t xml:space="preserve">and exploration schedule shared by every structured method. Algorithm 3 gives the full mission loop.</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53"/>
    <w:bookmarkStart w:id="66" w:name="Xfb5c0374fbe4b046648dbebaecd6d725ff79941"/>
    <w:p>
      <w:pPr>
        <w:pStyle w:val="Heading2"/>
        <w:keepNext/>
        <w:keepLines/>
        <w:widowControl w:val="1"/>
      </w:pPr>
      <w:r>
        <w:t xml:space="preserve">Appendix E. Robustness and trait-distribution sensitivity</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7 (top row) repeats the masking sweep under both menus. The categorical result is unchanged: every low-rank method stays well above the structure-free floor at both menu sizes (Figure 7a),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7 (bottom row)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3629468"/>
            <wp:effectExtent b="0" l="0" r="0" t="0"/>
            <wp:docPr descr="offer-size and masking-model robustness" title="" id="55" name="Picture"/>
            <a:graphic>
              <a:graphicData uri="http://schemas.openxmlformats.org/drawingml/2006/picture">
                <pic:pic>
                  <pic:nvPicPr>
                    <pic:cNvPr descr="figures/F22F8_robustness.png" id="56" name="Picture"/>
                    <pic:cNvPicPr>
                      <a:picLocks noChangeArrowheads="1" noChangeAspect="1"/>
                    </pic:cNvPicPr>
                  </pic:nvPicPr>
                  <pic:blipFill>
                    <a:blip r:embed="rId54"/>
                    <a:stretch>
                      <a:fillRect/>
                    </a:stretch>
                  </pic:blipFill>
                  <pic:spPr bwMode="auto">
                    <a:xfrm>
                      <a:off x="0" y="0"/>
                      <a:ext cx="5943600" cy="36294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two evaluation choices.</w:t>
      </w:r>
      <w:r>
        <w:t xml:space="preserve"> </w:t>
      </w:r>
      <w:r>
        <w:rPr>
          <w:b/>
          <w:bCs/>
        </w:rPr>
        <w:t xml:space="preserve">Top row, offer size:</w:t>
      </w:r>
      <w:r>
        <w:t xml:space="preserve"> </w:t>
      </w:r>
      <w:r>
        <w:t xml:space="preserve">(a)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every low-rank method stays above the structure-free floor at both menu sizes (the categorical separation is offer-size invariant), but SwarmCF's lead over batch completion narrows under the all-tasks menu, where greedy selection reduces engagement diversity; (b) anytime skill (</w:t>
      </w:r>
      <m:oMath>
        <m:r>
          <m:t>ρ</m:t>
        </m:r>
        <m:r>
          <m:rPr>
            <m:sty m:val="p"/>
          </m:rPr>
          <m:t>=</m:t>
        </m:r>
        <m:r>
          <m:t>0.25</m:t>
        </m:r>
      </m:oMath>
      <w:r>
        <w:t xml:space="preserve">): the tabular learner earns more under the all-tasks menu by re-exploiting engaged tasks.</w:t>
      </w:r>
      <w:r>
        <w:t xml:space="preserve"> </w:t>
      </w:r>
      <w:r>
        <w:rPr>
          <w:b/>
          <w:bCs/>
        </w:rPr>
        <w:t xml:space="preserve">Bottom row, masking model:</w:t>
      </w:r>
      <w:r>
        <w:t xml:space="preserve"> </w:t>
      </w:r>
      <w:r>
        <w:t xml:space="preserve">unseen (c) and anytime (d) skill are essentially invariant to a persistent versus an i.i.d. mask, while (e) decentralization (state-uniqueness of the robots' learned models) is durable under the persistent mask but transient under the i.i.d. mask. Means with bootstrap 95% CIs over 16 seeds.</w:t>
      </w:r>
    </w:p>
    <w:p>
      <w:pPr>
        <w:pStyle w:val="BodyText"/>
        <w:jc w:val="both"/>
        <w:keepNext w:val="0"/>
        <w:keepLines w:val="0"/>
        <w:widowControl w:val="1"/>
      </w:pPr>
      <w:r>
        <w:rPr>
          <w:b/>
          <w:bCs/>
        </w:rPr>
        <w:t xml:space="preserve">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 gracefully when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 improves then stays robust 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8).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58" name="Picture"/>
            <a:graphic>
              <a:graphicData uri="http://schemas.openxmlformats.org/drawingml/2006/picture">
                <pic:pic>
                  <pic:nvPicPr>
                    <pic:cNvPr descr="figures/F21_ranksweep.png" id="59" name="Picture"/>
                    <pic:cNvPicPr>
                      <a:picLocks noChangeArrowheads="1" noChangeAspect="1"/>
                    </pic:cNvPicPr>
                  </pic:nvPicPr>
                  <pic:blipFill>
                    <a:blip r:embed="rId57"/>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9a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7)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9b).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1" name="Picture"/>
            <a:graphic>
              <a:graphicData uri="http://schemas.openxmlformats.org/drawingml/2006/picture">
                <pic:pic>
                  <pic:nvPicPr>
                    <pic:cNvPr descr="figures/F28_appF_ablations.png" id="62" name="Picture"/>
                    <pic:cNvPicPr>
                      <a:picLocks noChangeArrowheads="1" noChangeAspect="1"/>
                    </pic:cNvPicPr>
                  </pic:nvPicPr>
                  <pic:blipFill>
                    <a:blip r:embed="rId60"/>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10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64" name="Picture"/>
            <a:graphic>
              <a:graphicData uri="http://schemas.openxmlformats.org/drawingml/2006/picture">
                <pic:pic>
                  <pic:nvPicPr>
                    <pic:cNvPr descr="figures/F27_approxrank.png" id="65" name="Picture"/>
                    <pic:cNvPicPr>
                      <a:picLocks noChangeArrowheads="1" noChangeAspect="1"/>
                    </pic:cNvPicPr>
                  </pic:nvPicPr>
                  <pic:blipFill>
                    <a:blip r:embed="rId63"/>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p>
      <w:pPr>
        <w:pStyle w:val="BodyText"/>
        <w:jc w:val="both"/>
        <w:keepNext w:val="0"/>
        <w:keepLines w:val="0"/>
        <w:widowControl w:val="1"/>
      </w:pPr>
      <w:r>
        <w:rPr>
          <w:b/>
          <w:bCs/>
        </w:rPr>
        <w:t xml:space="preserve">Trait distribution.</w:t>
      </w:r>
      <w:r>
        <w:t xml:space="preserve"> </w:t>
      </w:r>
      <w:r>
        <w:t xml:space="preserve">The body draws latent traits i.i.d. on the unit sphere with no discrete types (uniform_cosine). To check the categorical separation is a property of shared low-rank structure rather than of that particular distribution, we re-run the masked bake-off (the Table 2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above).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4 reports held-out unseen-pair skill.</w:t>
      </w:r>
    </w:p>
    <w:p>
      <w:pPr>
        <w:pStyle w:val="TableCaption"/>
        <w:spacing w:before="160" w:after="60" w:line="240" w:lineRule="auto"/>
        <w:jc w:val="center"/>
        <w:keepNext/>
        <w:keepLines/>
        <w:widowControl w:val="1"/>
      </w:pPr>
      <w:r>
        <w:rPr>
          <w:b/>
          <w:bCs/>
        </w:rPr>
        <w:t xml:space="preserve">Table 4.</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 approximate-low-rank sweep above. The separation is therefore a property of exploiting shared low-rank structure, not an artifact of the uniform trait distribution.</w:t>
      </w:r>
    </w:p>
    <w:bookmarkEnd w:id="66"/>
    <w:bookmarkEnd w:id="67"/>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57" Type="http://schemas.openxmlformats.org/officeDocument/2006/relationships/image" Target="media/rId57.png"/><Relationship Id="rId54" Type="http://schemas.openxmlformats.org/officeDocument/2006/relationships/image" Target="media/rId54.png"/><Relationship Id="rId37" Type="http://schemas.openxmlformats.org/officeDocument/2006/relationships/image" Target="media/rId37.png"/><Relationship Id="rId63" Type="http://schemas.openxmlformats.org/officeDocument/2006/relationships/image" Target="media/rId63.png"/><Relationship Id="rId60" Type="http://schemas.openxmlformats.org/officeDocument/2006/relationships/image" Target="media/rId60.png"/><Relationship Id="rId19" Type="http://schemas.openxmlformats.org/officeDocument/2006/relationships/image" Target="media/rId19.png"/><Relationship Id="rId23" Type="http://schemas.openxmlformats.org/officeDocument/2006/relationships/image" Target="media/rId23.png"/><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2026-05-24T16:55:22Z</dcterms:created>
  <dcterms:modified xsi:type="dcterms:W3CDTF">2026-05-24T16:55:22Z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