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Times New Roman" w:hAnsi="Times New Roman"/>
          <w:b w:val="0"/>
          <w:i/>
          <w:sz w:val="19"/>
        </w:rPr>
        <w:t xml:space="preserve">Yehudit Aperstein</w:t>
      </w:r>
      <w:r>
        <w:rPr>
          <w:rFonts w:ascii="Times New Roman" w:hAnsi="Times New Roman"/>
          <w:b w:val="0"/>
          <w:i/>
          <w:sz w:val="19"/>
          <w:vertAlign w:val="superscript"/>
        </w:rPr>
        <w:t xml:space="preserve">1,*</w:t>
      </w:r>
      <w:r>
        <w:rPr>
          <w:rFonts w:ascii="Times New Roman" w:hAnsi="Times New Roman"/>
          <w:b w:val="0"/>
          <w:i/>
          <w:sz w:val="19"/>
        </w:rPr>
        <w:t xml:space="preserve">, Amit Tzahar</w:t>
      </w:r>
      <w:r>
        <w:rPr>
          <w:rFonts w:ascii="Times New Roman" w:hAnsi="Times New Roman"/>
          <w:b w:val="0"/>
          <w:i/>
          <w:sz w:val="19"/>
          <w:vertAlign w:val="superscript"/>
        </w:rPr>
        <w:t xml:space="preserve">1</w:t>
      </w:r>
      <w:r>
        <w:rPr>
          <w:rFonts w:ascii="Times New Roman" w:hAnsi="Times New Roman"/>
          <w:b w:val="0"/>
          <w:i/>
          <w:sz w:val="19"/>
        </w:rPr>
        <w:t xml:space="preserve">, Alon Gottlib</w:t>
      </w:r>
      <w:r>
        <w:rPr>
          <w:rFonts w:ascii="Times New Roman" w:hAnsi="Times New Roman"/>
          <w:b w:val="0"/>
          <w:i/>
          <w:sz w:val="19"/>
          <w:vertAlign w:val="superscript"/>
        </w:rPr>
        <w:t xml:space="preserve">1</w:t>
      </w:r>
      <w:r>
        <w:rPr>
          <w:rFonts w:ascii="Times New Roman" w:hAnsi="Times New Roman"/>
          <w:b w:val="0"/>
          <w:i/>
          <w:sz w:val="19"/>
        </w:rPr>
        <w:t xml:space="preserve">, Tal Verber</w:t>
      </w:r>
      <w:r>
        <w:rPr>
          <w:rFonts w:ascii="Times New Roman" w:hAnsi="Times New Roman"/>
          <w:b w:val="0"/>
          <w:i/>
          <w:sz w:val="19"/>
          <w:vertAlign w:val="superscript"/>
        </w:rPr>
        <w:t xml:space="preserve">1</w:t>
      </w:r>
      <w:r>
        <w:rPr>
          <w:rFonts w:ascii="Times New Roman" w:hAnsi="Times New Roman"/>
          <w:b w:val="0"/>
          <w:i/>
          <w:sz w:val="19"/>
        </w:rPr>
        <w:t xml:space="preserve">, Ravit Shagan Damti</w:t>
      </w:r>
      <w:r>
        <w:rPr>
          <w:rFonts w:ascii="Times New Roman" w:hAnsi="Times New Roman"/>
          <w:b w:val="0"/>
          <w:i/>
          <w:sz w:val="19"/>
          <w:vertAlign w:val="superscript"/>
        </w:rPr>
        <w:t xml:space="preserve">1</w:t>
      </w:r>
      <w:r>
        <w:rPr>
          <w:rFonts w:ascii="Times New Roman" w:hAnsi="Times New Roman"/>
          <w:b w:val="0"/>
          <w:i/>
          <w:sz w:val="19"/>
        </w:rPr>
        <w:t xml:space="preserve">, Alexander Apartsin</w:t>
      </w:r>
      <w:r>
        <w:rPr>
          <w:rFonts w:ascii="Times New Roman" w:hAnsi="Times New Roman"/>
          <w:b w:val="0"/>
          <w:i/>
          <w:sz w:val="19"/>
          <w:vertAlign w:val="superscript"/>
        </w:rPr>
        <w:t xml:space="preserve">2</w:t>
      </w:r>
    </w:p>
    <w:p>
      <w:pPr>
        <w:pStyle w:val="BodyText"/>
        <w:jc w:val="both"/>
        <w:keepNext w:val="0"/>
        <w:keepLines w:val="0"/>
        <w:widowControl w:val="1"/>
      </w:pPr>
      <w:r>
        <w:t xml:space="preserve">1 Intelligent Systems, Afeka Academic College of Engineering, Tel Aviv 69988, Israel</w:t>
      </w:r>
      <w:r>
        <w:br/>
      </w:r>
      <w:r>
        <w:t xml:space="preserve">2 School of Computer Science, Faculty of Sciences, HIT-Holon Institute of Technology, Holon 58102, Israel</w:t>
      </w:r>
      <w:r>
        <w:br/>
      </w:r>
      <w:r>
        <w:t xml:space="preserve">* Corresponding Author: apersteiny@afeka.ac.il</w:t>
      </w:r>
    </w:p>
    <w:bookmarkStart w:id="9"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w:t>
      </w:r>
      <w:r>
        <w:t xml:space="preserve"> </w:t>
      </w:r>
      <w:r>
        <w:rPr>
          <w:highlight w:val="yellow"/>
        </w:rPr>
        <w:t xml:space="preserve">an entropy-based selective prediction mechanism that abstains, on a per-pathology basis, from predictions whose binary entropy exceeds a calibrated threshold, deferring those findings to clinical experts.</w:t>
      </w:r>
      <w:r>
        <w:t xml:space="preserve"> </w:t>
      </w:r>
      <w:r>
        <w:t xml:space="preserve">A quantile-based calibration procedure tunes rejection thresholds using either global or class-specific strategies.</w:t>
      </w:r>
      <w:r>
        <w:t xml:space="preserve"> </w:t>
      </w:r>
      <w:r>
        <w:rPr>
          <w:highlight w:val="yellow"/>
        </w:rPr>
        <w:t xml:space="preserve">On NIH ChestX-ray14, MIMIC-CXR, and PadChest, selective prediction is evaluated with risk-coverage analysis and balanced accuracy under non-parametric bootstrap confidence intervals. At a calibrated operating point, abstention improves balanced accuracy for all four target pathologies, with gains of 0.04 to 0.09 at a coverage of 0.70 on NIH ChestX-ray14 (95% confidence intervals excluding zero), and the improvement replicates on MIMIC-CXR, on the geographically independent PadChest cohort, and on an independently trained model. A leave-one-dataset-out evaluation shows that, although domain shift lowers discrimination, deferral improves retained balanced accuracy on the unseen source in both transfer directions and on PadChest, a geographically distinct cohort never seen during training.</w:t>
      </w:r>
      <w:r>
        <w:t xml:space="preserve"> </w:t>
      </w:r>
      <w:r>
        <w:t xml:space="preserve">These results support the integration of selective prediction into AI-assisted diagnostic workflows, providing a practical step toward safer, uncertainty-aware deployment of deep learning in clinical settings.</w:t>
      </w:r>
    </w:p>
    <w:p>
      <w:pPr>
        <w:pStyle w:val="Keywords"/>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w:t>
      </w:r>
      <w:r>
        <w:t xml:space="preserve"> </w:t>
      </w:r>
      <w:r>
        <w:rPr>
          <w:highlight w:val="green"/>
        </w:rPr>
        <w:t xml:space="preserve">Risk-coverage analysis; Balanced accuracy; Domain shift</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9"/>
    <w:bookmarkStart w:id="13" w:name="introduction"/>
    <w:p>
      <w:pPr>
        <w:pStyle w:val="Heading2"/>
        <w:keepNext/>
        <w:keepLines/>
        <w:widowControl w:val="1"/>
      </w:pPr>
      <w:r>
        <w:t xml:space="preserve">1. Introduction</w:t>
      </w:r>
    </w:p>
    <w:p>
      <w:pPr>
        <w:pStyle w:val="FirstParagraph"/>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3628345"/>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6400800" cy="362834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Overview of the proposed selective chest X-ray classification framework. The multi-pathology model produces per-class probability estimates, which are processed through a confidence estimation module. Based on calibrated thresholds derived from predictive entropy, the decision module either accepts confident predictions or defers the finding for expert review.</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jc w:val="both"/>
        <w:keepNext w:val="0"/>
        <w:keepLines w:val="0"/>
        <w:widowControl w:val="1"/>
      </w:pPr>
      <w:r>
        <w:t xml:space="preserve">To address these concerns, we propose a chest X-ray classification framework built on a DenseNet-121 backbone and augmented with</w:t>
      </w:r>
      <w:r>
        <w:t xml:space="preserve"> </w:t>
      </w:r>
      <w:r>
        <w:rPr>
          <w:highlight w:val="yellow"/>
        </w:rPr>
        <w:t xml:space="preserve">an entropy-based rejection mechanism that measures per-pathology uncertainty using binary entropy and abstains, independently for each pathology, when that uncertainty exceeds a calibrated threshold.</w:t>
      </w:r>
      <w:r>
        <w:t xml:space="preserve"> </w:t>
      </w:r>
      <w:r>
        <w:rPr>
          <w:highlight w:val="green"/>
        </w:rPr>
        <w:t xml:space="preserve">Each pathology prediction is accepted or deferred on its own; acceptance yields a partial-label output and is not a global clearance of the image.</w:t>
      </w:r>
      <w:r>
        <w:t xml:space="preserve"> </w:t>
      </w:r>
      <w:r>
        <w:t xml:space="preserve">This allows the model to selectively defer uncertain findings to human experts, reducing the risk of overconfident misclassifications.</w:t>
      </w:r>
    </w:p>
    <w:p>
      <w:pPr>
        <w:pStyle w:val="BodyText"/>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jc w:val="both"/>
        <w:keepNext w:val="0"/>
        <w:keepLines w:val="0"/>
        <w:widowControl w:val="1"/>
      </w:pPr>
      <w:r>
        <w:t xml:space="preserve">This study makes the following contributions to AI-assisted medical imaging: (1)</w:t>
      </w:r>
      <w:r>
        <w:t xml:space="preserve"> </w:t>
      </w:r>
      <w:r>
        <w:rPr>
          <w:highlight w:val="yellow"/>
        </w:rPr>
        <w:t xml:space="preserve">an uncertainty-aware framework that integrates a DenseNet-121 backbone with a per-pathology entropy-based rejection mechanism for multi-pathology diagnosis;</w:t>
      </w:r>
      <w:r>
        <w:t xml:space="preserve"> </w:t>
      </w:r>
      <w:r>
        <w:t xml:space="preserve">(2) a quantile-based calibration procedure that supports both global and class-specific thresholds, enabling fine-grained control over the trade-off between diagnostic performance and rejection coverage; (3)</w:t>
      </w:r>
      <w:r>
        <w:t xml:space="preserve"> </w:t>
      </w:r>
      <w:r>
        <w:rPr>
          <w:highlight w:val="yellow"/>
        </w:rPr>
        <w:t xml:space="preserve">an evaluation based on risk-coverage analysis and balanced accuracy with bootstrap confidence intervals, together with a formal leave-one-dataset-out assessment of selective behaviour under domain shift across NIH ChestX-ray14, MIMIC-CXR, and the geographically independent PadChest cohort.</w:t>
      </w:r>
    </w:p>
    <w:p>
      <w:pPr>
        <w:pStyle w:val="BodyText"/>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[3] introduced the ChestX-ray8 dataset (approximately 112,000 frontal radiographs, 14 labels) and demonstrated multi-label classification and localization of common thoracic diseases. Rajpurkar et al. [4] trained a 121-layer DenseNet (CheXNet) on ChestX-ray14 and reported radiologist-level pneumonia detection. The CheXpert dataset [5] includes 224,316 chest radiographs with uncertainty labels and has been used to show that CNN models can reach radiologist-level performance on several pathologies. Lakhani and Sundaram [6] classified tuberculosis with an AUC near 0.99; Majkowska et al. [7] matched radiologist performance on five findings; and Park et al. [8] applied a self-evolving vision transformer with knowledge distillation. Cohen et al. [9] study balanced batch sampling across multiple chest X-ray datasets to improve out-of-distribution generalization for Cardiomegaly, Consolidation, Edema, and Effusion, using a DenseNet-121 with a leave-one-dataset-out strategy across ChestX-ray8 [10], CheXpert [5], MIMIC-CXR [11], and PadChest [12]; we adopt this backbone and augment it with a rejection mechanism.</w:t>
      </w:r>
      <w:r>
        <w:t xml:space="preserve"> </w:t>
      </w:r>
      <w:r>
        <w:rPr>
          <w:highlight w:val="green"/>
        </w:rPr>
        <w:t xml:space="preserve">Cross-domain generalization in this setting is known to be fragile: Zech et al. [32] show that models can exploit hospital-specific confounders and degrade across acquisition sites, and Cohen et al. [9] attribute much of the cross-dataset gap to label shift. Ovadia et al. [33]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[13] and machine learning [14] shows that increased uncertainty leads to greater sensitivity to small perturbations, often indicating operation near a decision boundary. Such instability motivates analyzing perturbation responses as a diagnostic tool [15] and is frequently leveraged in active learning [16],[17], where uncertain samples are prioritized for annotation. Selective classification, the reject option, allows a model to abstain on uncertain inputs to reduce errors. Chow [18] formalized the error-reject trade-off, and Cortes et al. [19] developed frameworks for learning with a reject option. For deep networks, Geifman and El-Yaniv [20] introduced a risk-coverage framework that thresholds the maximal softmax response to guarantee a user-specified error rate, and proposed SelectiveNet [21], which optimizes the accuracy-coverage trade-off during training. Lakshminarayanan et al. [22] showed that deep ensembles provide high-quality uncertainty estimates. Fisch et al. [23] train a selector for calibrated selective classification; Cattelan and Silva [24] propose a logit normalization that improves confidence-based rejection; and Rabanser et al. [25] reject inputs whose predictions flip during training.</w:t>
      </w:r>
      <w:r>
        <w:t xml:space="preserve"> </w:t>
      </w:r>
      <w:r>
        <w:rPr>
          <w:highlight w:val="green"/>
        </w:rPr>
        <w:t xml:space="preserve">The risk-coverage curve and its area introduced in this line of work [20] provide the threshold-free evaluation we adopt in Section 4.</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[26] emphasize that machine learning systems in healthcare should be able to say "I do not know" for high-uncertainty cases, and survey abstention methods. Faghani et al. [27] outline emerging trends in uncertainty quantification for medical imaging, noting that an uncertainty measure allows experts to re-evaluate doubtful cases. In chest radiography specifically, Whata et al. [28] developed a Bayesian CNN that quantifies predictive uncertainty for multi-class classification, and Das et al. [29]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6"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21"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yellow"/>
        </w:rPr>
        <w:t>Table 1:</w:t>
      </w:r>
      <w:r>
        <w:rPr>
          <w:b w:val="0"/>
          <w:i/>
        </w:rPr>
        <w:t xml:space="preserve"> </w:t>
      </w:r>
      <w:r>
        <w:rPr>
          <w:b w:val="0"/>
          <w:i/>
          <w:highlight w:val="yellow"/>
        </w:rPr>
        <w:t>Class distribution of the evaluation data across the three sources (NIH ChestX-ray14, MIMIC-CXR, and PadChest; N = 24,397 frontal images), reported as positive-label counts. The data is imbalanced, with Effusion and Cardiomegaly more prevalent than the rarer Edema and Consolidation, and a subset of images carry multiple positive labels.</w:t>
      </w:r>
    </w:p>
    <w:tbl>
      <w:tblPr>
        <w:tblStyle w:val="Table"/>
        <w:tblW w:type="pct" w:w="5000"/>
        <w:jc w:val="center"/>
        <w:tblLook w:firstRow="1" w:lastRow="0" w:firstColumn="0" w:lastColumn="0" w:noHBand="0" w:noVBand="0" w:val="0020"/>
        <w:tblCaption w:val="Table 1: Class distribution of the evaluation data across the three sources (NIH ChestX-ray14, MIMIC-CXR, and PadChest; N = 24,397 frontal images), reported as positive-label counts. The data is imbalanced, with Effusion and Cardiomegaly more prevalent than the rarer Edema and Consolidation, and a subset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Category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Positive count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Percentage (%)</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highlight w:val="green"/>
              </w:rPr>
              <w:t xml:space="preserve">Cardiomegaly</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Times New Roman" w:hAnsi="Times New Roman"/>
                <w:sz w:val="19"/>
              </w:rPr>
              <w:t xml:space="preserve">2284</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Times New Roman" w:hAnsi="Times New Roman"/>
                <w:sz w:val="19"/>
              </w:rPr>
              <w:t xml:space="preserve">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highlight w:val="green"/>
              </w:rPr>
              <w:t xml:space="preserve">Effusion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Times New Roman" w:hAnsi="Times New Roman"/>
                <w:sz w:val="19"/>
              </w:rPr>
              <w:t xml:space="preserve">3608</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Times New Roman" w:hAnsi="Times New Roman"/>
                <w:sz w:val="19"/>
              </w:rPr>
              <w:t xml:space="preserve">14.8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highlight w:val="green"/>
              </w:rPr>
              <w:t xml:space="preserve">Edema</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Times New Roman" w:hAnsi="Times New Roman"/>
                <w:sz w:val="19"/>
              </w:rPr>
              <w:t xml:space="preserve">1255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Times New Roman" w:hAnsi="Times New Roman"/>
                <w:sz w:val="19"/>
              </w:rPr>
              <w:t xml:space="preserve">5.1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highlight w:val="green"/>
              </w:rPr>
              <w:t xml:space="preserve">Consolidation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Times New Roman" w:hAnsi="Times New Roman"/>
                <w:sz w:val="19"/>
              </w:rPr>
              <w:t xml:space="preserve">959</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Times New Roman" w:hAnsi="Times New Roman"/>
                <w:sz w:val="19"/>
              </w:rPr>
              <w:t xml:space="preserve">3.9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Multi-Pathology</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Times New Roman" w:hAnsi="Times New Roman"/>
                <w:sz w:val="19"/>
              </w:rPr>
              <w:t xml:space="preserve">1661</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Times New Roman" w:hAnsi="Times New Roman"/>
                <w:sz w:val="19"/>
              </w:rPr>
              <w:t xml:space="preserve">6.8</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center"/>
        <w:keepNext/>
        <w:keepLines/>
        <w:widowControl w:val="1"/>
      </w:pPr>
      <w:r>
        <w:drawing>
          <wp:inline>
            <wp:extent cx="2984601" cy="2089220"/>
            <wp:effectExtent b="0" l="0" r="0" t="0"/>
            <wp:docPr descr="example chest X-rays" title="" id="19" name="Picture"/>
            <a:graphic>
              <a:graphicData uri="http://schemas.openxmlformats.org/drawingml/2006/picture">
                <pic:pic>
                  <pic:nvPicPr>
                    <pic:cNvPr descr="assets/examples.png" id="20" name="Picture"/>
                    <pic:cNvPicPr>
                      <a:picLocks noChangeArrowheads="1" noChangeAspect="1"/>
                    </pic:cNvPicPr>
                  </pic:nvPicPr>
                  <pic:blipFill>
                    <a:blip r:embed="rId18"/>
                    <a:stretch>
                      <a:fillRect/>
                    </a:stretch>
                  </pic:blipFill>
                  <pic:spPr bwMode="auto">
                    <a:xfrm>
                      <a:off x="0" y="0"/>
                      <a:ext cx="2984601" cy="20892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Examples of chest X-ray images with their associated pathology labels. The figure displays representative frontal chest radiographs corresponding to various thoracic conditions, including Cardiomegaly, Consolidation, Edema, and Effusion, which are among the four pathologies studied in this work.</w:t>
      </w:r>
    </w:p>
    <w:bookmarkEnd w:id="21"/>
    <w:bookmarkStart w:id="22"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 In inter-source splitting, two or three complete datasets are used for training while the remaining dataset is held out entirely for validation, creating an out-of-distribution test scenario. The intra-source approach supports stable tuning under controlled conditions, while the inter-source setup tests robustness to domain shift.</w:t>
      </w:r>
    </w:p>
    <w:bookmarkEnd w:id="22"/>
    <w:bookmarkStart w:id="23"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[30]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[4],[5]. We employ a fine-tuning strategy with multi-domain balanced sampling, constructing each mini-batch to include an equal number of samples from each domain to encourage domain-invariant features [9],[31].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learning rate</w:t>
      </w:r>
      <w:r>
        <w:t xml:space="preserve"> </w:t>
      </w:r>
      <m:oMath>
        <m:sSup>
          <m:e>
            <m:r>
              <m:t>10</m:t>
            </m:r>
          </m:e>
          <m:sup>
            <m:r>
              <m:rPr>
                <m:sty m:val="p"/>
              </m:rPr>
              <m:t>−</m:t>
            </m:r>
            <m:r>
              <m:t>4</m:t>
            </m:r>
          </m:sup>
        </m:sSup>
      </m:oMath>
      <w:r>
        <w:t xml:space="preserve">, batch size 64) for up to 30 epochs, with a ReduceLROnPlateau schedule (factor 0.2, patience 4) and square-root inverse-frequency class weighting within a weighted binary cross-entropy loss to mitigate class imbalance while maintaining calibrated probability estimates.</w:t>
      </w:r>
      <w:r>
        <w:t xml:space="preserve"> </w:t>
      </w:r>
      <w:r>
        <w:rPr>
          <w:highlight w:val="green"/>
        </w:rPr>
        <w:t xml:space="preserve">Input images are converted to single-channel grayscale, center-cropped, resized to 224x224, and intensity-normalized to the [-1024, 1024] range expected by the backbone. Calibration and evaluation splits are patient-level, and the random seed is fixed (1337) throughout; code and frozen per-image predictions are released for full reproducibility. The primary evaluation uses the released TorchXRayVision DenseNet-121 [9]; to verify that the findings are not specific to that backbone, an independently trained weighted-BCE DenseNet-121 following the procedure above is also evaluated (Section 4.1).</w:t>
      </w:r>
    </w:p>
    <w:bookmarkEnd w:id="23"/>
    <w:bookmarkStart w:id="24" w:name="rejection-mechanism"/>
    <w:p>
      <w:pPr>
        <w:pStyle w:val="Heading3"/>
        <w:keepNext/>
        <w:keepLines/>
        <w:widowControl w:val="1"/>
      </w:pPr>
      <w:r>
        <w:t xml:space="preserve">3.4 Rejection mechanism</w:t>
      </w:r>
    </w:p>
    <w:p>
      <w:pPr>
        <w:pStyle w:val="FirstParagraph"/>
        <w:jc w:val="both"/>
        <w:keepNext w:val="0"/>
        <w:keepLines w:val="0"/>
        <w:widowControl w:val="1"/>
      </w:pPr>
      <w:r>
        <w:rPr>
          <w:highlight w:val="yellow"/>
        </w:rPr>
        <w:t xml:space="preserve">Rejection is defined independently for each pathology.</w:t>
      </w:r>
      <w:r>
        <w:t xml:space="preserve"> </w:t>
      </w:r>
      <w:r>
        <w:t xml:space="preserve">For a predicted probability</w:t>
      </w:r>
      <w:r>
        <w:t xml:space="preserve"> </w:t>
      </w:r>
      <m:oMath>
        <m:r>
          <m:t>p</m:t>
        </m:r>
      </m:oMath>
      <w:r>
        <w:t xml:space="preserve"> </w:t>
      </w:r>
      <w:r>
        <w:t xml:space="preserve">of a given pathology, the binary entropy is</w:t>
      </w:r>
    </w:p>
    <w:p>
      <w:pPr>
        <w:pStyle w:val="BodyText"/>
      </w:pPr>
      <m:oMathPara>
        <m:oMathParaPr>
          <m:jc m:val="center"/>
        </m:oMathParaPr>
        <m:oMath>
          <m:r>
            <m:t>H</m:t>
          </m:r>
          <m:r>
            <m:rPr>
              <m:sty m:val="p"/>
            </m:rPr>
            <m:t>(</m:t>
          </m:r>
          <m:sSub>
            <m:e>
              <m:r>
                <m:t>p</m:t>
              </m:r>
            </m:e>
            <m:sub>
              <m:r>
                <m:t>i</m:t>
              </m:r>
            </m:sub>
          </m:sSub>
          <m:r>
            <m:rPr>
              <m:sty m:val="p"/>
            </m:rPr>
            <m:t>)</m:t>
          </m:r>
          <m:r>
            <m:rPr>
              <m:sty m:val="p"/>
            </m:rPr>
            <m:t>=</m:t>
          </m:r>
          <m:r>
            <m:rPr>
              <m:sty m:val="p"/>
            </m:rPr>
            <m:t>−</m:t>
          </m:r>
          <m:d>
            <m:dPr>
              <m:begChr m:val="["/>
              <m:sepChr m:val=""/>
              <m:endChr m:val="]"/>
              <m:grow/>
            </m:dPr>
            <m:e>
              <m:r>
                <m:t> </m:t>
              </m:r>
              <m:sSub>
                <m:e>
                  <m:r>
                    <m:t>p</m:t>
                  </m:r>
                </m:e>
                <m:sub>
                  <m:r>
                    <m:t>i</m:t>
                  </m:r>
                </m:sub>
              </m:sSub>
              <m:sSub>
                <m:e>
                  <m:r>
                    <m:rPr>
                      <m:sty m:val="p"/>
                    </m:rPr>
                    <m:t>log</m:t>
                  </m:r>
                </m:e>
                <m:sub>
                  <m:r>
                    <m:t>2</m:t>
                  </m:r>
                </m:sub>
              </m:sSub>
              <m:sSub>
                <m:e>
                  <m:r>
                    <m:t>p</m:t>
                  </m:r>
                </m:e>
                <m:sub>
                  <m:r>
                    <m:t>i</m:t>
                  </m:r>
                </m:sub>
              </m:sSub>
              <m:r>
                <m:rPr>
                  <m:sty m:val="p"/>
                </m:rPr>
                <m:t>+</m:t>
              </m:r>
              <m:r>
                <m:rPr>
                  <m:sty m:val="p"/>
                </m:rPr>
                <m:t>(</m:t>
              </m:r>
              <m:r>
                <m:t>1</m:t>
              </m:r>
              <m:r>
                <m:rPr>
                  <m:sty m:val="p"/>
                </m:rPr>
                <m:t>−</m:t>
              </m:r>
              <m:sSub>
                <m:e>
                  <m:r>
                    <m:t>p</m:t>
                  </m:r>
                </m:e>
                <m:sub>
                  <m:r>
                    <m:t>i</m:t>
                  </m:r>
                </m:sub>
              </m:sSub>
              <m:r>
                <m:rPr>
                  <m:sty m:val="p"/>
                </m:rPr>
                <m:t>)</m:t>
              </m:r>
              <m:sSub>
                <m:e>
                  <m:r>
                    <m:rPr>
                      <m:sty m:val="p"/>
                    </m:rPr>
                    <m:t>log</m:t>
                  </m:r>
                </m:e>
                <m:sub>
                  <m:r>
                    <m:t>2</m:t>
                  </m:r>
                </m:sub>
              </m:sSub>
              <m:r>
                <m:rPr>
                  <m:sty m:val="p"/>
                </m:rPr>
                <m:t>(</m:t>
              </m:r>
              <m:r>
                <m:t>1</m:t>
              </m:r>
              <m:r>
                <m:rPr>
                  <m:sty m:val="p"/>
                </m:rPr>
                <m:t>−</m:t>
              </m:r>
              <m:sSub>
                <m:e>
                  <m:r>
                    <m:t>p</m:t>
                  </m:r>
                </m:e>
                <m:sub>
                  <m:r>
                    <m:t>i</m:t>
                  </m:r>
                </m:sub>
              </m:sSub>
              <m:r>
                <m:rPr>
                  <m:sty m:val="p"/>
                </m:rPr>
                <m:t>)</m:t>
              </m:r>
              <m:r>
                <m:t> </m:t>
              </m:r>
            </m:e>
          </m:d>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r>
          <m:t>p</m:t>
        </m:r>
        <m:r>
          <m:rPr>
            <m:sty m:val="p"/>
          </m:rPr>
          <m:t>→</m:t>
        </m:r>
        <m:r>
          <m:t>0</m:t>
        </m:r>
      </m:oMath>
      <w:r>
        <w:t xml:space="preserve"> </w:t>
      </w:r>
      <w:r>
        <w:t xml:space="preserve">or</w:t>
      </w:r>
      <w:r>
        <w:t xml:space="preserve"> </w:t>
      </w:r>
      <m:oMath>
        <m:r>
          <m:t>p</m:t>
        </m:r>
        <m:r>
          <m:rPr>
            <m:sty m:val="p"/>
          </m:rPr>
          <m:t>→</m:t>
        </m:r>
        <m:r>
          <m:t>1</m:t>
        </m:r>
      </m:oMath>
      <w:r>
        <w:t xml:space="preserve">. A pathology prediction is rejected when its entropy exceeds a calibrated threshold</w:t>
      </w:r>
      <w:r>
        <w:t xml:space="preserve"> </w:t>
      </w:r>
      <m:oMath>
        <m:sSub>
          <m:e>
            <m:r>
              <m:t>τ</m:t>
            </m:r>
          </m:e>
          <m:sub>
            <m:r>
              <m:t>i</m:t>
            </m:r>
          </m:sub>
        </m:sSub>
      </m:oMath>
      <w:r>
        <w:t xml:space="preserve">,</w:t>
      </w:r>
    </w:p>
    <w:p>
      <w:pPr>
        <w:pStyle w:val="BodyText"/>
      </w:pPr>
      <m:oMathPara>
        <m:oMathParaPr>
          <m:jc m:val="center"/>
        </m:oMathParaPr>
        <m:oMath>
          <m:r>
            <m:rPr>
              <m:nor/>
              <m:sty m:val="p"/>
            </m:rPr>
            <m:t>reject class </m:t>
          </m:r>
          <m:r>
            <m:t>i</m:t>
          </m:r>
          <m:r>
            <m:rPr>
              <m:sty m:val="p"/>
            </m:rPr>
            <m:t>⇔</m:t>
          </m:r>
          <m:r>
            <m:t>H</m:t>
          </m:r>
          <m:r>
            <m:rPr>
              <m:sty m:val="p"/>
            </m:rPr>
            <m:t>(</m:t>
          </m:r>
          <m:sSub>
            <m:e>
              <m:r>
                <m:t>p</m:t>
              </m:r>
            </m:e>
            <m:sub>
              <m:r>
                <m:t>i</m:t>
              </m:r>
            </m:sub>
          </m:sSub>
          <m:r>
            <m:rPr>
              <m:sty m:val="p"/>
            </m:rPr>
            <m:t>)</m:t>
          </m:r>
          <m:r>
            <m:rPr>
              <m:sty m:val="p"/>
            </m:rPr>
            <m:t>&gt;</m:t>
          </m:r>
          <m:sSub>
            <m:e>
              <m:r>
                <m:t>τ</m:t>
              </m:r>
            </m:e>
            <m:sub>
              <m:r>
                <m:t>i</m:t>
              </m:r>
            </m:sub>
          </m:sSub>
          <m:r>
            <m:rPr>
              <m:sty m:val="p"/>
            </m:rPr>
            <m:t>.</m:t>
          </m:r>
        </m:oMath>
      </m:oMathPara>
    </w:p>
    <w:p>
      <w:pPr>
        <w:pStyle w:val="FirstParagraph"/>
        <w:jc w:val="both"/>
        <w:keepNext w:val="0"/>
        <w:keepLines w:val="0"/>
        <w:widowControl w:val="1"/>
      </w:pPr>
      <w:r>
        <w:rPr>
          <w:highlight w:val="yellow"/>
        </w:rP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w:t>
      </w:r>
    </w:p>
    <w:p>
      <w:pPr>
        <w:pStyle w:val="BodyText"/>
        <w:jc w:val="both"/>
        <w:keepNext w:val="0"/>
        <w:keepLines w:val="0"/>
        <w:widowControl w:val="1"/>
      </w:pPr>
      <w:r>
        <w:rPr>
          <w:highlight w:val="green"/>
        </w:rP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w:t>
      </w:r>
      <w:r>
        <w:t xml:space="preserve"> </w:t>
      </w:r>
      <w:r>
        <w:t xml:space="preserve">Thresholds are selected globally or per class on a held-out calibration subset.</w:t>
      </w:r>
    </w:p>
    <w:bookmarkEnd w:id="24"/>
    <w:bookmarkStart w:id="25"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(for example, 75% to 95%) and compute either a class-specific or a global threshold corresponding to the selected quantile.</w:t>
      </w:r>
      <w:r>
        <w:t xml:space="preserve"> </w:t>
      </w:r>
      <w:r>
        <w:rPr>
          <w:highlight w:val="green"/>
        </w:rPr>
        <w:t xml:space="preserve">A threshold-sensitivity analysis (Figure 7) reports the selective metric and rejection rate across calibration percentiles from 0.70 to 0.99, so that the operating point is an interpretable, tunable design choice rather than a fixed property of the model.</w:t>
      </w:r>
      <w:r>
        <w:t xml:space="preserve"> </w:t>
      </w:r>
      <w:r>
        <w:t xml:space="preserve">Although results are reported at fixed thresholds for consistency, the mechanism outputs a continuous confidence score, allowing thresholds to be tuned post hoc to a clinical risk tolerance.</w:t>
      </w:r>
    </w:p>
    <w:bookmarkEnd w:id="25"/>
    <w:bookmarkEnd w:id="26"/>
    <w:bookmarkStart w:id="53"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w:t>
      </w:r>
      <w:r>
        <w:t xml:space="preserve"> </w:t>
      </w:r>
      <w:r>
        <w:rPr>
          <w:highlight w:val="green"/>
        </w:rPr>
        <w:t xml:space="preserve">Results are reported on 11,212 NIH ChestX-ray14 frontal images, 8,185 MIMIC-CXR frontal images, and 5,000 PadChest frontal images.</w:t>
      </w:r>
      <w:r>
        <w:t xml:space="preserve"> </w:t>
      </w:r>
      <w:r>
        <w:t xml:space="preserve">The backbone attains per-pathology discrimination in the range of AUC 0.79 to 0.87 on the evaluation data.</w:t>
      </w:r>
      <w:r>
        <w:t xml:space="preserve"> </w:t>
      </w:r>
      <w:r>
        <w:rPr>
          <w:highlight w:val="green"/>
        </w:rPr>
        <w:t xml:space="preserve">We characterize selective behaviour with two complementary, threshold-aware measures: balanced accuracy at a calibrated operating point, and the risk-coverage curve. Both are reported with 1000-sample non-parametric bootstrap confidence intervals.</w:t>
      </w:r>
    </w:p>
    <w:bookmarkStart w:id="36"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rPr>
          <w:highlight w:val="green"/>
        </w:rPr>
        <w:t xml:space="preserve">Predictive entropy is informative about correctness: incorrect predictions concentrate at high entropy and correct predictions at low entropy (Figure 3), the signal that selective deferral exploits.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3657600"/>
            <wp:effectExtent b="0" l="0" r="0" t="0"/>
            <wp:docPr descr="entropy distribution: correct vs incorrect" title="" id="28" name="Picture"/>
            <a:graphic>
              <a:graphicData uri="http://schemas.openxmlformats.org/drawingml/2006/picture">
                <pic:pic>
                  <pic:nvPicPr>
                    <pic:cNvPr descr="assets/entropy_dist.png" id="29" name="Picture"/>
                    <pic:cNvPicPr>
                      <a:picLocks noChangeArrowheads="1" noChangeAspect="1"/>
                    </pic:cNvPicPr>
                  </pic:nvPicPr>
                  <pic:blipFill>
                    <a:blip r:embed="rId27"/>
                    <a:stretch>
                      <a:fillRect/>
                    </a:stretch>
                  </pic:blipFill>
                  <pic:spPr bwMode="auto">
                    <a:xfrm>
                      <a:off x="0" y="0"/>
                      <a:ext cx="6400800" cy="36576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Distribution of predictive entropy for correct versus incorrect predictions at the calibrated operating point, shown for PadChest. Correct predictions concentrate at low entropy while incorrect predictions concentrate at high entropy, which is what makes uncertainty-based deferral effective.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green"/>
        </w:rPr>
        <w:t>Table 2:</w:t>
      </w:r>
      <w:r>
        <w:rPr>
          <w:b w:val="0"/>
          <w:i/>
        </w:rPr>
        <w:t xml:space="preserve"> </w:t>
      </w:r>
      <w:r>
        <w:rPr>
          <w:b w:val="0"/>
          <w:i/>
          <w:highlight w:val="green"/>
        </w:rPr>
        <w:t>Selective balanced accuracy at a calibrated operating point (NIH ChestX-ray14, rejection rate 0.30). All four gains have 95% bootstrap confidence intervals excluding zero.</w:t>
      </w:r>
    </w:p>
    <w:tbl>
      <w:tblPr>
        <w:tblStyle w:val="Table"/>
        <w:tblW w:type="pct" w:w="5000"/>
        <w:jc w:val="center"/>
        <w:tblLook w:firstRow="1" w:lastRow="0" w:firstColumn="0" w:lastColumn="0" w:noHBand="0" w:noVBand="0" w:val="0020"/>
        <w:tblCaption w:val="Table 2: Selective balanced accuracy at a calibrated operating point (NIH ChestX-ray14, rejection rate 0.3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Change (95% CI)</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0.757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0.839</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+0.082 [0.056, 0.113]</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0.780</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0.822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+0.043 [0.029, 0.060]</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0.754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0.841</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+0.086 [0.054, 0.125]</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0.730</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0.807</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+0.076 [0.057, 0.095]</w:t>
            </w:r>
          </w:p>
        </w:tc>
      </w:tr>
    </w:tbl>
    <w:p>
      <w:pPr>
        <w:pStyle w:val="BodyText"/>
        <w:jc w:val="center"/>
        <w:keepNext/>
        <w:keepLines/>
        <w:widowControl w:val="1"/>
      </w:pPr>
      <w:r>
        <w:drawing>
          <wp:inline>
            <wp:extent cx="5852160" cy="3474720"/>
            <wp:effectExtent b="0" l="0" r="0" t="0"/>
            <wp:docPr descr="selective balanced accuracy vs coverage" title="" id="31" name="Picture"/>
            <a:graphic>
              <a:graphicData uri="http://schemas.openxmlformats.org/drawingml/2006/picture">
                <pic:pic>
                  <pic:nvPicPr>
                    <pic:cNvPr descr="assets/selective_bacc_nih22k.png" id="32" name="Picture"/>
                    <pic:cNvPicPr>
                      <a:picLocks noChangeArrowheads="1" noChangeAspect="1"/>
                    </pic:cNvPicPr>
                  </pic:nvPicPr>
                  <pic:blipFill>
                    <a:blip r:embed="rId30"/>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Selective balanced accuracy as a function of coverage for each pathology. Balanced accuracy increases as the most uncertain predictions are deferred.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On MIMIC-CXR (8,185 frontal images), the same calibrated-threshold analysis yields supported balanced-accuracy gains for three of the four pathologies (Cardiomegaly +0.073 [0.061, 0.088], Effusion +0.088 [0.076, 0.100], Edema +0.060 [0.043, 0.076]; 95% confidence intervals excluding zero), and an independently trained weighted-BCE DenseNet-121 (Section 3.3; validation macro-AUC 0.85) reproduces the improvement on all four pathologies both on the held-out NIH test set (Cardiomegaly +0.074 [0.049, 0.098], Effusion +0.062 [0.052, 0.073], Edema +0.060 [0.022, 0.101], Consolidation +0.044 [0.012, 0.073]) and cross-dataset on MIMIC-CXR, a source it never trained on (Cardiomegaly +0.055 [0.042, 0.066], Effusion +0.087 [0.075, 0.098], Edema +0.073 [0.057, 0.090], Consolidation +0.067 [0.036, 0.100]); all gains have 95% confidence intervals excluding zero, confirming the effect is specific to neither the backbone nor the dataset. On PadChest, where the backbone attains strong discrimination (Cardiomegaly AUC 0.90, Effusion 0.96, Consolidation 0.92), deferral improves Cardiomegaly balanced accuracy from 0.81 to 0.90 at a coverage of 0.70 (+0.086 [0.062, 0.110]; 95% confidence interval excluding zero), confirming the benefit on a third, geographically independent cohort.</w:t>
      </w:r>
    </w:p>
    <w:p>
      <w:pPr>
        <w:pStyle w:val="BodyText"/>
        <w:jc w:val="both"/>
        <w:keepNext w:val="0"/>
        <w:keepLines w:val="0"/>
        <w:widowControl w:val="1"/>
      </w:pPr>
      <w:r>
        <w:rPr>
          <w:highlight w:val="green"/>
        </w:rPr>
        <w:t xml:space="preserve">A non-parametric bootstrap confirms these gains are not resampling artefacts: across 1,000 resamples the balanced accuracy with rejection exceeds the baseline for every pathology on both large evaluation sets (Figure 5).</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2688335"/>
            <wp:effectExtent b="0" l="0" r="0" t="0"/>
            <wp:docPr descr="bootstrap balanced-accuracy boxplots" title="" id="34" name="Picture"/>
            <a:graphic>
              <a:graphicData uri="http://schemas.openxmlformats.org/drawingml/2006/picture">
                <pic:pic>
                  <pic:nvPicPr>
                    <pic:cNvPr descr="assets/bootstrap_bacc.png" id="35" name="Picture"/>
                    <pic:cNvPicPr>
                      <a:picLocks noChangeArrowheads="1" noChangeAspect="1"/>
                    </pic:cNvPicPr>
                  </pic:nvPicPr>
                  <pic:blipFill>
                    <a:blip r:embed="rId33"/>
                    <a:stretch>
                      <a:fillRect/>
                    </a:stretch>
                  </pic:blipFill>
                  <pic:spPr bwMode="auto">
                    <a:xfrm>
                      <a:off x="0" y="0"/>
                      <a:ext cx="6400800" cy="268833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Bootstrap validation of the balanced-accuracy change before and after rejection. Boxplots show the distribution of balanced accuracy over 1,000 bootstrap resamples at full coverage (baseline, blue) and at a coverage of 0.70 (with rejection, orange), per pathology, on the two large evaluation sets (NIH ChestX-ray14 and MIMIC-CXR). The with-rejection distribution exceeds the baseline for every pathology.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6"/>
    <w:bookmarkStart w:id="40" w:name="risk-coverage-analysis"/>
    <w:p>
      <w:pPr>
        <w:pStyle w:val="Heading3"/>
        <w:keepNext/>
        <w:keepLines/>
        <w:widowControl w:val="1"/>
      </w:pPr>
      <w:r>
        <w:t xml:space="preserve">4.2 Risk-coverage analysis</w:t>
      </w:r>
    </w:p>
    <w:p>
      <w:pPr>
        <w:pStyle w:val="FirstParagraph"/>
        <w:jc w:val="both"/>
        <w:keepNext w:val="0"/>
        <w:keepLines w:val="0"/>
        <w:widowControl w:val="1"/>
      </w:pPr>
      <w:r>
        <w:rPr>
          <w:highlight w:val="green"/>
        </w:rPr>
        <w:t xml:space="preserve">Figure 6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852160" cy="3474720"/>
            <wp:effectExtent b="0" l="0" r="0" t="0"/>
            <wp:docPr descr="risk-coverage curves" title="" id="38" name="Picture"/>
            <a:graphic>
              <a:graphicData uri="http://schemas.openxmlformats.org/drawingml/2006/picture">
                <pic:pic>
                  <pic:nvPicPr>
                    <pic:cNvPr descr="assets/e1_risk_coverage_nih22k.png" id="39" name="Picture"/>
                    <pic:cNvPicPr>
                      <a:picLocks noChangeArrowheads="1" noChangeAspect="1"/>
                    </pic:cNvPicPr>
                  </pic:nvPicPr>
                  <pic:blipFill>
                    <a:blip r:embed="rId37"/>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Risk-coverage curves per pathology. The retained-prediction performance is traced against coverage as the entropy threshold varies.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0"/>
    <w:bookmarkStart w:id="41"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rPr>
          <w:highlight w:val="green"/>
        </w:rPr>
        <w:t xml:space="preserve">To assess behaviour under domain shift, we evaluate a single-source model on an unseen source in a leave-one-dataset-out protocol (Table 3). The discrimination of a model trained on NIH ChestX-ray14 decreases when it is applied to MIMIC-CXR, quantifying the domain-shift penalty that the inter-source setting is designed to expose and against which selective prediction provides a safeguard by deferring uncertain cases.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green"/>
        </w:rPr>
        <w:t>Table 3:</w:t>
      </w:r>
      <w:r>
        <w:rPr>
          <w:b w:val="0"/>
          <w:i/>
        </w:rPr>
        <w:t xml:space="preserve"> </w:t>
      </w:r>
      <w:r>
        <w:rPr>
          <w:b w:val="0"/>
          <w:i/>
          <w:highlight w:val="green"/>
        </w:rPr>
        <w:t>Leave-one-dataset-out evaluation (model trained on NIH ChestX-ray14, evaluated on MIMIC-CXR). Discrimination decreases on the unseen source, quantifying the domain-shift penalty.</w:t>
      </w:r>
    </w:p>
    <w:tbl>
      <w:tblPr>
        <w:tblStyle w:val="Table"/>
        <w:tblW w:type="pct" w:w="5000"/>
        <w:jc w:val="center"/>
        <w:tblLook w:firstRow="1" w:lastRow="0" w:firstColumn="0" w:lastColumn="0" w:noHBand="0" w:noVBand="0" w:val="0020"/>
        <w:tblCaption w:val="Table 3: Leave-one-dataset-out evaluation (model trained on NIH ChestX-ray14, evaluated on MIMIC-CXR). Discrimination decreases on the unseen source, quantifying the domain-shift penal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In-domain AUC (NIH)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Out-of-distribution AUC (MIMIC)</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0.864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0.687</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0.818</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0.793</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0.867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0.763</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0.793</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0.694</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Domain shift lowers discrimination, but the selective mechanism remains effective on the shifted distribution: deferring the most uncertain predictions improves retained balanced accuracy on the unseen source. Table 4 reports this for the NIH-trained model evaluated on MIMIC-CXR, where all four gains at a coverage of 0.70 have 95% bootstrap confidence intervals excluding zero. The same pattern holds in the reverse direction (a MIMIC-trained model evaluated on NIH ChestX-ray14): deferral improves retained balanced accuracy for Effusion (+0.083 [0.053, 0.114]), Edema (+0.109 [0.044, 0.190]), and Consolidation (+0.069 [0.028, 0.118]). The robustness extends to a geographically independent source: applying the NIH-trained model to PadChest, a Spanish cohort never seen during training, deferral improves retained balanced accuracy for Effusion (+0.054 [0.010, 0.091]), Edema (+0.090 [0.058, 0.110]), and Consolidation (+0.081 [0.059, 0.095]), all with 95% confidence intervals excluding zero. Selective prediction therefore provides a safeguard precisely where it is most needed, on out-of-distribution inputs.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green"/>
        </w:rPr>
        <w:t>Table 4:</w:t>
      </w:r>
      <w:r>
        <w:rPr>
          <w:b w:val="0"/>
          <w:i/>
        </w:rPr>
        <w:t xml:space="preserve"> </w:t>
      </w:r>
      <w:r>
        <w:rPr>
          <w:b w:val="0"/>
          <w:i/>
          <w:highlight w:val="green"/>
        </w:rPr>
        <w:t>Selective balanced accuracy under domain shift (NIH-trained model evaluated on MIMIC-CXR), at full coverage and at a coverage of 0.70. All four gains have 95% bootstrap confidence intervals excluding zero.</w:t>
      </w:r>
    </w:p>
    <w:tbl>
      <w:tblPr>
        <w:tblStyle w:val="Table"/>
        <w:tblW w:type="pct" w:w="5000"/>
        <w:jc w:val="center"/>
        <w:tblLook w:firstRow="1" w:lastRow="0" w:firstColumn="0" w:lastColumn="0" w:noHBand="0" w:noVBand="0" w:val="0020"/>
        <w:tblCaption w:val="Table 4: Selective balanced accuracy under domain shift (NIH-trained model evaluated on MIMIC-CXR), at full coverage and at a coverage of 0.7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Change (95% CI)</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0.632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0.672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+0.040 [0.028, 0.053]</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0.716</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0.789</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+0.073 [0.062, 0.084]</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0.673</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0.755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+0.083 [0.076, 0.088]</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0.619</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0.671</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+0.052 [0.030, 0.084]</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1"/>
    <w:bookmarkStart w:id="45" w:name="threshold-sensitivity"/>
    <w:p>
      <w:pPr>
        <w:pStyle w:val="Heading3"/>
        <w:keepNext/>
        <w:keepLines/>
        <w:widowControl w:val="1"/>
      </w:pPr>
      <w:r>
        <w:t xml:space="preserve">4.4 Threshold sensitivity</w:t>
      </w:r>
    </w:p>
    <w:p>
      <w:pPr>
        <w:pStyle w:val="FirstParagraph"/>
        <w:jc w:val="both"/>
        <w:keepNext w:val="0"/>
        <w:keepLines w:val="0"/>
        <w:widowControl w:val="1"/>
      </w:pPr>
      <w:r>
        <w:rPr>
          <w:highlight w:val="green"/>
        </w:rPr>
        <w:t xml:space="preserve">Figure 7 traces the rejection rate and retained performance across calibration percentiles. Selective performance varies smoothly with the calibration percentile, so the accuracy-coverage trade-off is a controllable design parameter that can be set to a clinical risk tolerance.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2211185"/>
            <wp:effectExtent b="0" l="0" r="0" t="0"/>
            <wp:docPr descr="threshold sensitivity" title="" id="43" name="Picture"/>
            <a:graphic>
              <a:graphicData uri="http://schemas.openxmlformats.org/drawingml/2006/picture">
                <pic:pic>
                  <pic:nvPicPr>
                    <pic:cNvPr descr="assets/e4_threshold_sweep_nih22k.png" id="44" name="Picture"/>
                    <pic:cNvPicPr>
                      <a:picLocks noChangeArrowheads="1" noChangeAspect="1"/>
                    </pic:cNvPicPr>
                  </pic:nvPicPr>
                  <pic:blipFill>
                    <a:blip r:embed="rId42"/>
                    <a:stretch>
                      <a:fillRect/>
                    </a:stretch>
                  </pic:blipFill>
                  <pic:spPr bwMode="auto">
                    <a:xfrm>
                      <a:off x="0" y="0"/>
                      <a:ext cx="6400800" cy="221118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7:</w:t>
      </w:r>
      <w:r>
        <w:rPr>
          <w:b w:val="0"/>
          <w:i/>
        </w:rPr>
        <w:t xml:space="preserve"> </w:t>
      </w:r>
      <w:r>
        <w:rPr>
          <w:b w:val="0"/>
          <w:i/>
        </w:rPr>
        <w:t>Threshold sensitivity. Rejection rate and retained performance as a function of the calibration percentile.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5"/>
    <w:bookmarkStart w:id="52"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t xml:space="preserve">The decision regions of accepted and deferred predictions can be examined directly. Input-gradient sensitivity provides one view: we compute the saliency map of a prediction, recompute it after low-variance Gaussian perturbation of the input, and measure stability by the signal-to-noise ratio between the two maps. Confident accepted predictions yield stable saliency maps, whereas borderline deferred predictions show substantial gradient change under the same perturbation (Figure 8), indicating an unstable decision surface near the boundary.</w:t>
      </w:r>
    </w:p>
    <w:p>
      <w:pPr>
        <w:pStyle w:val="BodyText"/>
        <w:jc w:val="center"/>
        <w:keepNext/>
        <w:keepLines/>
        <w:widowControl w:val="1"/>
      </w:pPr>
      <w:r>
        <w:drawing>
          <wp:inline>
            <wp:extent cx="2984601" cy="4476901"/>
            <wp:effectExtent b="0" l="0" r="0" t="0"/>
            <wp:docPr descr="gradient volatility accepted vs rejected" title="" id="47" name="Picture"/>
            <a:graphic>
              <a:graphicData uri="http://schemas.openxmlformats.org/drawingml/2006/picture">
                <pic:pic>
                  <pic:nvPicPr>
                    <pic:cNvPr descr="assets/gradvol_nih.png" id="48" name="Picture"/>
                    <pic:cNvPicPr>
                      <a:picLocks noChangeArrowheads="1" noChangeAspect="1"/>
                    </pic:cNvPicPr>
                  </pic:nvPicPr>
                  <pic:blipFill>
                    <a:blip r:embed="rId46"/>
                    <a:stretch>
                      <a:fillRect/>
                    </a:stretch>
                  </pic:blipFill>
                  <pic:spPr bwMode="auto">
                    <a:xfrm>
                      <a:off x="0" y="0"/>
                      <a:ext cx="2984601" cy="447690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8:</w:t>
      </w:r>
      <w:r>
        <w:rPr>
          <w:b w:val="0"/>
          <w:i/>
        </w:rPr>
        <w:t xml:space="preserve"> </w:t>
      </w:r>
      <w:r>
        <w:rPr>
          <w:b w:val="0"/>
          <w:i/>
          <w:highlight w:val="green"/>
        </w:rPr>
        <w:t>Gradient volatility for accepted (top) versus deferred (bottom) predictions. Each row shows the input-gradient saliency map, the map after low-variance Gaussian perturbation, and their difference. Accepted predictions are stable (high signal-to-noise ratio); deferred predictions change substantially under the same perturbation (low signal-to-noise ratio).</w:t>
      </w:r>
    </w:p>
    <w:p>
      <w:pPr>
        <w:pStyle w:val="BodyText"/>
        <w:jc w:val="both"/>
        <w:keepNext w:val="0"/>
        <w:keepLines w:val="0"/>
        <w:widowControl w:val="1"/>
      </w:pPr>
      <w:r>
        <w:rPr>
          <w:highlight w:val="green"/>
        </w:rPr>
        <w:t xml:space="preserve">Grad-CAM offers a complementary spatial view (Figure 9): for confident accepted predictions the activation concentrates over the lung fields, whereas borderline deferred predictions show more diffuse activation, consistent with the uncertainty-driven abstention used throughout this work.</w:t>
      </w:r>
    </w:p>
    <w:p>
      <w:pPr>
        <w:pStyle w:val="BodyText"/>
        <w:jc w:val="center"/>
        <w:keepNext/>
        <w:keepLines/>
        <w:widowControl w:val="1"/>
      </w:pPr>
      <w:r>
        <w:drawing>
          <wp:inline>
            <wp:extent cx="2984601" cy="2103432"/>
            <wp:effectExtent b="0" l="0" r="0" t="0"/>
            <wp:docPr descr="Grad-CAM borderline vs confident" title="" id="50" name="Picture"/>
            <a:graphic>
              <a:graphicData uri="http://schemas.openxmlformats.org/drawingml/2006/picture">
                <pic:pic>
                  <pic:nvPicPr>
                    <pic:cNvPr descr="assets/e5_gradcam_nih.png" id="51" name="Picture"/>
                    <pic:cNvPicPr>
                      <a:picLocks noChangeArrowheads="1" noChangeAspect="1"/>
                    </pic:cNvPicPr>
                  </pic:nvPicPr>
                  <pic:blipFill>
                    <a:blip r:embed="rId49"/>
                    <a:stretch>
                      <a:fillRect/>
                    </a:stretch>
                  </pic:blipFill>
                  <pic:spPr bwMode="auto">
                    <a:xfrm>
                      <a:off x="0" y="0"/>
                      <a:ext cx="2984601" cy="210343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9:</w:t>
      </w:r>
      <w:r>
        <w:rPr>
          <w:b w:val="0"/>
          <w:i/>
        </w:rPr>
        <w:t xml:space="preserve"> </w:t>
      </w:r>
      <w:r>
        <w:rPr>
          <w:b w:val="0"/>
          <w:i/>
          <w:highlight w:val="green"/>
        </w:rPr>
        <w:t>Representative Grad-CAM overlays for confident accepted predictions (top) and borderline deferred predictions (bottom). Accepted predictions show activation concentrated over the lung fields, whereas deferred predictions show more diffuse activation.</w:t>
      </w:r>
    </w:p>
    <w:bookmarkEnd w:id="52"/>
    <w:bookmarkEnd w:id="53"/>
    <w:bookmarkStart w:id="54"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w:t>
      </w:r>
      <w:r>
        <w:t xml:space="preserve"> </w:t>
      </w:r>
      <w:r>
        <w:rPr>
          <w:highlight w:val="yellow"/>
        </w:rPr>
        <w:t xml:space="preserve">At a calibrated operating point, deferring the most uncertain per-pathology predictions improves balanced accuracy across all four conditions, across datasets, and across training regimes, and the risk-coverage curves give a complete, threshold-aware view of the accuracy-coverage trade-off.</w:t>
      </w:r>
      <w:r>
        <w:t xml:space="preserve"> </w:t>
      </w:r>
      <w:r>
        <w:t xml:space="preserve">The improvement is most pronounced for conditions where the model is less certain, consistent with rejection concentrating on ambiguous and low-prevalence findings such as Edema.</w:t>
      </w:r>
      <w:r>
        <w:t xml:space="preserve"> </w:t>
      </w:r>
      <w:r>
        <w:rPr>
          <w:highlight w:val="green"/>
        </w:rPr>
        <w:t xml:space="preserve">A leave-one-dataset-out evaluation quantifies the domain-shift penalty and shows that deferring uncertain cases improves retained balanced accuracy on the unseen source in both transfer directions, so selective prediction is most valuable precisely on the out-of-distribution inputs that most threaten reliability.</w:t>
      </w:r>
      <w:r>
        <w:t xml:space="preserve"> </w:t>
      </w:r>
      <w:r>
        <w:t xml:space="preserve">Together these findings support uncertainty-aware selective prediction as a route to safer, more trustworthy AI-assisted diagnosis.</w:t>
      </w:r>
    </w:p>
    <w:bookmarkEnd w:id="54"/>
    <w:bookmarkStart w:id="55"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w:t>
      </w:r>
      <w:r>
        <w:t xml:space="preserve"> </w:t>
      </w:r>
      <w:r>
        <w:rPr>
          <w:highlight w:val="yellow"/>
        </w:rPr>
        <w:t xml:space="preserve">a per-pathology entropy-based rejection mechanism and a quantile-based calibration of global or class-specific thresholds.</w:t>
      </w:r>
      <w:r>
        <w:t xml:space="preserve"> </w:t>
      </w:r>
      <w:r>
        <w:rPr>
          <w:highlight w:val="yellow"/>
        </w:rPr>
        <w:t xml:space="preserve">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w:t>
      </w:r>
      <w:r>
        <w:t xml:space="preserve"> </w:t>
      </w:r>
      <w:r>
        <w:t xml:space="preserve">Two boundary conditions scope these results: the evaluation covers four thoracic findings and frontal views, and multimodal inputs and additional findings remain for future work. Future work will incorporate complementary clinical information, extend the approach to additional disease classes, and explore Bayesian and ensemble uncertainty estimators.</w:t>
      </w:r>
      <w:r>
        <w:t xml:space="preserve"> </w:t>
      </w:r>
      <w:r>
        <w:rPr>
          <w:highlight w:val="green"/>
        </w:rPr>
        <w:t xml:space="preserve">Code and frozen per-image predictions are released to support reproduction.</w:t>
      </w:r>
    </w:p>
    <w:bookmarkEnd w:id="55"/>
    <w:bookmarkStart w:id="56" w:name="data-availability"/>
    <w:p>
      <w:pPr>
        <w:pStyle w:val="Heading2"/>
        <w:keepNext/>
        <w:keepLines/>
        <w:widowControl w:val="1"/>
      </w:pPr>
      <w:r>
        <w:t xml:space="preserve">Data Availability</w:t>
      </w:r>
    </w:p>
    <w:p>
      <w:pPr>
        <w:pStyle w:val="FirstParagraph"/>
        <w:jc w:val="both"/>
        <w:keepNext w:val="0"/>
        <w:keepLines w:val="0"/>
        <w:widowControl w:val="1"/>
      </w:pPr>
      <w:r>
        <w:t xml:space="preserve">All datasets used in this study are publicly available. CheXpert: stanfordmlgroup.github.io/competitions/chexpert/; MIMIC-CXR: physionet.org/content/mimic-cxr/2.0.0/; NIH ChestX-ray14: nihcc.app.box.com/v/ChestXray-NIHCC; PadChest: bimcv.cipf.es/bimcv-projects/padchest/.</w:t>
      </w:r>
    </w:p>
    <w:bookmarkEnd w:id="56"/>
    <w:bookmarkStart w:id="57"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57"/>
    <w:bookmarkStart w:id="58" w:name="references"/>
    <w:p>
      <w:pPr>
        <w:pStyle w:val="ReferencesHeading"/>
        <w:jc w:val="left"/>
        <w:keepNext/>
        <w:keepLines/>
        <w:widowControl w:val="1"/>
      </w:pPr>
      <w:r>
        <w:t xml:space="preserve">References</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1. </w:t>
      </w:r>
      <w:r>
        <w:t xml:space="preserve">Sufian, M. A., et al. (2024). AI-Driven Thoracic X-ray Diagnostics: Transformative Transfer Learning for Clinical Validation in Pulmonary Radiography.</w:t>
      </w:r>
      <w:r>
        <w:t xml:space="preserve"> </w:t>
      </w:r>
      <w:r>
        <w:rPr>
          <w:i/>
          <w:iCs/>
        </w:rPr>
        <w:t xml:space="preserve">Journal of Personalized Medicine</w:t>
      </w:r>
      <w:r>
        <w:t xml:space="preserve">, 14(8), 856.</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2. </w:t>
      </w:r>
      <w:r>
        <w:t xml:space="preserve">Arulananth, T. S., et al. (2024). Classification of pediatric pneumonia using modified DenseNet-121 deep-learning model.</w:t>
      </w:r>
      <w:r>
        <w:t xml:space="preserve"> </w:t>
      </w:r>
      <w:r>
        <w:rPr>
          <w:i/>
          <w:iCs/>
        </w:rPr>
        <w:t xml:space="preserve">IEEE Access</w:t>
      </w:r>
      <w:r>
        <w:t xml:space="preserve">.</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3. </w:t>
      </w:r>
      <w:r>
        <w:t xml:space="preserve">Wang, X., Peng, Y., Lu, L., Lu, Z., Bagheri, M., Summers, R. M. (2017). ChestX-ray8: Hospital-scale chest X-ray database and benchmarks.</w:t>
      </w:r>
      <w:r>
        <w:t xml:space="preserve"> </w:t>
      </w:r>
      <w:r>
        <w:rPr>
          <w:i/>
          <w:iCs/>
        </w:rPr>
        <w:t xml:space="preserve">CVPR 2017</w:t>
      </w:r>
      <w:r>
        <w:t xml:space="preserve">, 3462-3471.</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4. </w:t>
      </w:r>
      <w:r>
        <w:t xml:space="preserve">Rajpurkar, P., et al. (2017). CheXNet: Radiologist-level pneumonia detection on chest X-rays with deep learning. arXiv:1711.05225.</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5. </w:t>
      </w:r>
      <w:r>
        <w:t xml:space="preserve">Irvin, J., et al. (2019). CheXpert: A large chest radiograph dataset with uncertainty labels and expert comparison.</w:t>
      </w:r>
      <w:r>
        <w:t xml:space="preserve"> </w:t>
      </w:r>
      <w:r>
        <w:rPr>
          <w:i/>
          <w:iCs/>
        </w:rPr>
        <w:t xml:space="preserve">AAAI</w:t>
      </w:r>
      <w:r>
        <w:t xml:space="preserve">, 33(1), 590-597.</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6. </w:t>
      </w:r>
      <w:r>
        <w:t xml:space="preserve">Lakhani, P., Sundaram, B. (2017). Deep learning at chest radiography: Automated classification of pulmonary tuberculosis.</w:t>
      </w:r>
      <w:r>
        <w:t xml:space="preserve"> </w:t>
      </w:r>
      <w:r>
        <w:rPr>
          <w:i/>
          <w:iCs/>
        </w:rPr>
        <w:t xml:space="preserve">Radiology</w:t>
      </w:r>
      <w:r>
        <w:t xml:space="preserve">, 284(2), 574-582.</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7. </w:t>
      </w:r>
      <w:r>
        <w:t xml:space="preserve">Majkowska, A. E., et al. (2020). Chest radiograph interpretation with deep learning models.</w:t>
      </w:r>
      <w:r>
        <w:t xml:space="preserve"> </w:t>
      </w:r>
      <w:r>
        <w:rPr>
          <w:i/>
          <w:iCs/>
        </w:rPr>
        <w:t xml:space="preserve">Radiology</w:t>
      </w:r>
      <w:r>
        <w:t xml:space="preserve">, 294(2), 421-431.</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8. </w:t>
      </w:r>
      <w:r>
        <w:t xml:space="preserve">Park, S., et al. (2022). Self-evolving vision transformer for chest X-ray diagnosis through knowledge distillation.</w:t>
      </w:r>
      <w:r>
        <w:t xml:space="preserve"> </w:t>
      </w:r>
      <w:r>
        <w:rPr>
          <w:i/>
          <w:iCs/>
        </w:rPr>
        <w:t xml:space="preserve">Nature Communications</w:t>
      </w:r>
      <w:r>
        <w:t xml:space="preserve">, 13, 3848.</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9. </w:t>
      </w:r>
      <w:r>
        <w:t xml:space="preserve">Cohen, J. P., Viviano, J., Morrison, P., Brooks, R., Hashir, M., Bertrand, H. (2020). TorchXRayVision: A library of chest X-ray datasets and models. arXiv:2111.00595.</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10. </w:t>
      </w:r>
      <w:r>
        <w:t xml:space="preserve">Wang, X., et al. (2017). ChestX-ray8.</w:t>
      </w:r>
      <w:r>
        <w:t xml:space="preserve"> </w:t>
      </w:r>
      <w:r>
        <w:rPr>
          <w:i/>
          <w:iCs/>
        </w:rPr>
        <w:t xml:space="preserve">CVPR 2017</w:t>
      </w:r>
      <w:r>
        <w:t xml:space="preserve">, 3462-3471.</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11. </w:t>
      </w:r>
      <w:r>
        <w:t xml:space="preserve">Johnson, A. E., et al. (2019). MIMIC-CXR-JPG, a large publicly available database of labeled chest radiographs. arXiv:1901.07042.</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12. </w:t>
      </w:r>
      <w:r>
        <w:t xml:space="preserve">Bustos, A., Pertusa, A., Salinas, J. M., de la Iglesia-Vaya, M. (2020). PadChest: A large chest X-ray image dataset with multi-label annotated reports.</w:t>
      </w:r>
      <w:r>
        <w:t xml:space="preserve"> </w:t>
      </w:r>
      <w:r>
        <w:rPr>
          <w:i/>
          <w:iCs/>
        </w:rPr>
        <w:t xml:space="preserve">Medical Image Analysis</w:t>
      </w:r>
      <w:r>
        <w:t xml:space="preserve">, 66, 101797.</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13. </w:t>
      </w:r>
      <w:r>
        <w:t xml:space="preserve">Apartsin, A., Cooper, L. N., Intrator, N. (2012). Semi-coherent time of arrival estimation using regression.</w:t>
      </w:r>
      <w:r>
        <w:t xml:space="preserve"> </w:t>
      </w:r>
      <w:r>
        <w:rPr>
          <w:i/>
          <w:iCs/>
        </w:rPr>
        <w:t xml:space="preserve">JASA</w:t>
      </w:r>
      <w:r>
        <w:t xml:space="preserve">, 132(2), 832-837.</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14. </w:t>
      </w:r>
      <w:r>
        <w:t xml:space="preserve">Goodfellow, I. J., Shlens, J., Szegedy, C. (2014). Explaining and harnessing adversarial examples. arXiv:1412.6572.</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15. </w:t>
      </w:r>
      <w:r>
        <w:t xml:space="preserve">Lee, J., AlRegib, G. (2020). Gradients as a measure of uncertainty in neural networks.</w:t>
      </w:r>
      <w:r>
        <w:t xml:space="preserve"> </w:t>
      </w:r>
      <w:r>
        <w:rPr>
          <w:i/>
          <w:iCs/>
        </w:rPr>
        <w:t xml:space="preserve">ICIP 2020</w:t>
      </w:r>
      <w:r>
        <w:t xml:space="preserve">, 2416-2420.</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16. </w:t>
      </w:r>
      <w:r>
        <w:t xml:space="preserve">Rokach, L., Aperstein, Y., Akselrod-Ballin, A. (2025). Deep active learning framework for chest-abdominal CT scans segmentation.</w:t>
      </w:r>
      <w:r>
        <w:t xml:space="preserve"> </w:t>
      </w:r>
      <w:r>
        <w:rPr>
          <w:i/>
          <w:iCs/>
        </w:rPr>
        <w:t xml:space="preserve">Expert Systems with Applications</w:t>
      </w:r>
      <w:r>
        <w:t xml:space="preserve">, 263, 125522.</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17. </w:t>
      </w:r>
      <w:r>
        <w:t xml:space="preserve">Levy, D., et al. (2026). From Cold Start to Active Learning: Embedding-Based Scan Selection for Medical Image Segmentation. arXiv:2601.18532.</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18. </w:t>
      </w:r>
      <w:r>
        <w:t xml:space="preserve">Chow, C. (1970). On optimum recognition error and reject tradeoff.</w:t>
      </w:r>
      <w:r>
        <w:t xml:space="preserve"> </w:t>
      </w:r>
      <w:r>
        <w:rPr>
          <w:i/>
          <w:iCs/>
        </w:rPr>
        <w:t xml:space="preserve">IEEE Transactions on Information Theory</w:t>
      </w:r>
      <w:r>
        <w:t xml:space="preserve">, 16(1), 41-46.</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19. </w:t>
      </w:r>
      <w:r>
        <w:t xml:space="preserve">Cortes, C., DeSalvo, G., Mohri, M. (2016). Learning with rejection.</w:t>
      </w:r>
      <w:r>
        <w:t xml:space="preserve"> </w:t>
      </w:r>
      <w:r>
        <w:rPr>
          <w:i/>
          <w:iCs/>
        </w:rPr>
        <w:t xml:space="preserve">Journal of Machine Learning Research</w:t>
      </w:r>
      <w:r>
        <w:t xml:space="preserve">, 17(216), 1-40.</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20. </w:t>
      </w:r>
      <w:r>
        <w:t xml:space="preserve">Geifman, Y., El-Yaniv, R. (2017). Selective classification for deep neural networks.</w:t>
      </w:r>
      <w:r>
        <w:t xml:space="preserve"> </w:t>
      </w:r>
      <w:r>
        <w:rPr>
          <w:i/>
          <w:iCs/>
        </w:rPr>
        <w:t xml:space="preserve">NeurIPS 30</w:t>
      </w:r>
      <w:r>
        <w:t xml:space="preserve">, 4878-4887.</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21. </w:t>
      </w:r>
      <w:r>
        <w:t xml:space="preserve">Geifman, Y., El-Yaniv, R. (2019). SelectiveNet: A deep neural network with an integrated reject option.</w:t>
      </w:r>
      <w:r>
        <w:t xml:space="preserve"> </w:t>
      </w:r>
      <w:r>
        <w:rPr>
          <w:i/>
          <w:iCs/>
        </w:rPr>
        <w:t xml:space="preserve">ICML 2019</w:t>
      </w:r>
      <w:r>
        <w:t xml:space="preserve">, 2151-2160.</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22. </w:t>
      </w:r>
      <w:r>
        <w:t xml:space="preserve">Lakshminarayanan, B., Pritzel, A., Blundell, C. (2017). Simple and scalable predictive uncertainty estimation using deep ensembles.</w:t>
      </w:r>
      <w:r>
        <w:t xml:space="preserve"> </w:t>
      </w:r>
      <w:r>
        <w:rPr>
          <w:i/>
          <w:iCs/>
        </w:rPr>
        <w:t xml:space="preserve">NeurIPS 30</w:t>
      </w:r>
      <w:r>
        <w:t xml:space="preserve">, 6405-6416.</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23. </w:t>
      </w:r>
      <w:r>
        <w:t xml:space="preserve">Fisch, A., Jaakkola, T. S., Barzilay, R. (2022). Calibrated selective classification.</w:t>
      </w:r>
      <w:r>
        <w:t xml:space="preserve"> </w:t>
      </w:r>
      <w:r>
        <w:rPr>
          <w:i/>
          <w:iCs/>
        </w:rPr>
        <w:t xml:space="preserve">Transactions on Machine Learning Research</w:t>
      </w:r>
      <w:r>
        <w:t xml:space="preserve">.</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24. </w:t>
      </w:r>
      <w:r>
        <w:t xml:space="preserve">Cattelan, L., Silva, R. (2024). How to fix a broken confidence estimator: evaluating post-hoc methods for selective classification with deep neural networks.</w:t>
      </w:r>
      <w:r>
        <w:t xml:space="preserve"> </w:t>
      </w:r>
      <w:r>
        <w:rPr>
          <w:i/>
          <w:iCs/>
        </w:rPr>
        <w:t xml:space="preserve">UAI 2024</w:t>
      </w:r>
      <w:r>
        <w:t xml:space="preserve">. arXiv:2305.15508.</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25. </w:t>
      </w:r>
      <w:r>
        <w:t xml:space="preserve">Rabanser, S., Thudi, A., Hamidieh, K., Dziedzic, A., Papernot, N. (2022). Selective classification via neural network training dynamics.</w:t>
      </w:r>
      <w:r>
        <w:t xml:space="preserve"> </w:t>
      </w:r>
      <w:r>
        <w:rPr>
          <w:i/>
          <w:iCs/>
        </w:rPr>
        <w:t xml:space="preserve">UAI 2022</w:t>
      </w:r>
      <w:r>
        <w:t xml:space="preserve">. arXiv:2205.13532.</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26. </w:t>
      </w:r>
      <w:r>
        <w:t xml:space="preserve">Kompa, B., Snoek, J., Beam, A. L. (2021). Second opinion needed: Communicating uncertainty in medical machine learning.</w:t>
      </w:r>
      <w:r>
        <w:t xml:space="preserve"> </w:t>
      </w:r>
      <w:r>
        <w:rPr>
          <w:i/>
          <w:iCs/>
        </w:rPr>
        <w:t xml:space="preserve">NPJ Digital Medicine</w:t>
      </w:r>
      <w:r>
        <w:t xml:space="preserve">, 4, 4.</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27. </w:t>
      </w:r>
      <w:r>
        <w:t xml:space="preserve">Faghani, S., et al. (2023). Quantifying uncertainty in deep learning of radiologic images.</w:t>
      </w:r>
      <w:r>
        <w:t xml:space="preserve"> </w:t>
      </w:r>
      <w:r>
        <w:rPr>
          <w:i/>
          <w:iCs/>
        </w:rPr>
        <w:t xml:space="preserve">Radiology</w:t>
      </w:r>
      <w:r>
        <w:t xml:space="preserve">, 308(2).</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28. </w:t>
      </w:r>
      <w:r>
        <w:t xml:space="preserve">Whata, A., et al. (2024). Uncertainty quantification in multi-class image classification using chest X-ray images of COVID-19 and pneumonia.</w:t>
      </w:r>
      <w:r>
        <w:t xml:space="preserve"> </w:t>
      </w:r>
      <w:r>
        <w:rPr>
          <w:i/>
          <w:iCs/>
        </w:rPr>
        <w:t xml:space="preserve">Frontiers in Artificial Intelligence</w:t>
      </w:r>
      <w:r>
        <w:t xml:space="preserve">, 7, 1410841.</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29. </w:t>
      </w:r>
      <w:r>
        <w:t xml:space="preserve">Das, A., et al. (2024). Confidence-guided semi-supervised learning for generalized lesion localization in X-ray images.</w:t>
      </w:r>
      <w:r>
        <w:t xml:space="preserve"> </w:t>
      </w:r>
      <w:r>
        <w:rPr>
          <w:i/>
          <w:iCs/>
        </w:rPr>
        <w:t xml:space="preserve">MICCAI 2024</w:t>
      </w:r>
      <w:r>
        <w:t xml:space="preserve">, LNCS 15001, 242-252.</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30. </w:t>
      </w:r>
      <w:r>
        <w:t xml:space="preserve">Huang, G., Liu, Z., Van Der Maaten, L., Weinberger, K. Q. (2017). Densely connected convolutional networks.</w:t>
      </w:r>
      <w:r>
        <w:t xml:space="preserve"> </w:t>
      </w:r>
      <w:r>
        <w:rPr>
          <w:i/>
          <w:iCs/>
        </w:rPr>
        <w:t xml:space="preserve">CVPR 2017</w:t>
      </w:r>
      <w:r>
        <w:t xml:space="preserve">, 4700-4708.</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31. </w:t>
      </w:r>
      <w:r>
        <w:t xml:space="preserve">Seyyed-Kalantari, L., Liu, G., McDermott, M., Chen, I. Y., Ghassemi, M. (2020). CheXclusion: Fairness gaps in deep chest X-ray classifiers.</w:t>
      </w:r>
      <w:r>
        <w:t xml:space="preserve"> </w:t>
      </w:r>
      <w:r>
        <w:rPr>
          <w:i/>
          <w:iCs/>
        </w:rPr>
        <w:t xml:space="preserve">Pacific Symposium on Biocomputing 2021</w:t>
      </w:r>
      <w:r>
        <w:t xml:space="preserve">, 232-243.</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32. </w:t>
      </w:r>
      <w:r>
        <w:rPr>
          <w:highlight w:val="green"/>
        </w:rPr>
        <w:t xml:space="preserve">Zech, J. R., Badgeley, M. A., Liu, M., Costa, A. B., Titano, J. J., Oermann, E. K. (2018). Variable generalization performance of a deep learning model to detect pneumonia in chest radiographs.</w:t>
      </w:r>
      <w:r>
        <w:t xml:space="preserve"> </w:t>
      </w:r>
      <w:r>
        <w:rPr>
          <w:i/>
          <w:iCs/>
          <w:highlight w:val="green"/>
        </w:rPr>
        <w:t xml:space="preserve">PLOS Medicine</w:t>
      </w:r>
      <w:r>
        <w:rPr>
          <w:highlight w:val="green"/>
        </w:rPr>
        <w:t xml:space="preserve">, 15(11), e1002683.</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33. </w:t>
      </w:r>
      <w:r>
        <w:rPr>
          <w:highlight w:val="green"/>
        </w:rPr>
        <w:t xml:space="preserve">Ovadia, Y., et al. (2019). Can you trust your model's uncertainty? Evaluating predictive uncertainty under dataset shift.</w:t>
      </w:r>
      <w:r>
        <w:t xml:space="preserve"> </w:t>
      </w:r>
      <w:r>
        <w:rPr>
          <w:i/>
          <w:iCs/>
          <w:highlight w:val="green"/>
        </w:rPr>
        <w:t xml:space="preserve">NeurIPS 32</w:t>
      </w:r>
      <w:r>
        <w:t xml:space="preserve">.</w:t>
      </w:r>
    </w:p>
    <w:bookmarkEnd w:id="58"/>
    <w:bookmarkEnd w:id="59"/>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Times New Roman" w:hAnsi="Times New Roman"/>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Times New Roman" w:hAnsi="Times New Roman"/>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Times New Roman" w:hAnsi="Times New Roman"/>
      <w:b w:val="0"/>
      <w:i w:val="0"/>
      <w:sz w:val="20"/>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0"/>
    </w:rPr>
  </w:style>
  <w:style w:customStyle="1" w:styleId="AbstractLabel" w:type="paragraph">
    <w:name w:val="Abstract Label"/>
    <w:basedOn w:val="BodyText"/>
    <w:pPr>
      <w:keepNext/>
      <w:spacing w:after="80" w:before="80"/>
      <w:ind w:firstLine="0"/>
      <w:jc w:val="center"/>
    </w:pPr>
    <w:rPr>
      <w:rFonts w:ascii="Times New Roman" w:hAnsi="Times New Roman"/>
      <w:b/>
      <w:i w:val="0"/>
      <w:sz w:val="20"/>
    </w:rPr>
  </w:style>
  <w:style w:customStyle="1" w:styleId="Keywords" w:type="paragraph">
    <w:name w:val="Keywords"/>
    <w:basedOn w:val="BodyText"/>
    <w:pPr>
      <w:keepNext w:val="0"/>
      <w:spacing w:after="80" w:before="0"/>
      <w:ind w:firstLine="0"/>
      <w:jc w:val="both"/>
    </w:pPr>
    <w:rPr>
      <w:rFonts w:ascii="Times New Roman" w:hAnsi="Times New Roman"/>
      <w:b w:val="0"/>
      <w:i w:val="0"/>
      <w:sz w:val="20"/>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8"/>
    </w:rPr>
  </w:style>
  <w:style w:customStyle="1" w:styleId="TableCaption" w:type="paragraph">
    <w:name w:val="Table Caption"/>
    <w:basedOn w:val="BodyText"/>
    <w:pPr>
      <w:keepNext/>
      <w:spacing w:after="60" w:before="240" w:line="240" w:lineRule="auto"/>
      <w:jc w:val="center"/>
    </w:pPr>
    <w:rPr>
      <w:rFonts w:ascii="Times New Roman" w:hAnsi="Times New Roman"/>
      <w:b w:val="0"/>
      <w:i/>
      <w:sz w:val="18"/>
    </w:rPr>
  </w:style>
  <w:style w:customStyle="1" w:styleId="ReferencesHeading" w:type="paragraph">
    <w:name w:val="References Heading"/>
    <w:basedOn w:val="Heading1"/>
    <w:pPr>
      <w:keepNext/>
      <w:spacing w:after="120" w:before="240"/>
    </w:pPr>
    <w:rPr>
      <w:rFonts w:ascii="Times New Roman" w:hAnsi="Times New Roman"/>
      <w:b/>
      <w:i w:val="0"/>
      <w:sz w:val="24"/>
    </w:rPr>
  </w:style>
  <w:style w:customStyle="1" w:styleId="ReferenceEntry" w:type="paragraph">
    <w:name w:val="Reference Entry"/>
    <w:basedOn w:val="BodyText"/>
    <w:pPr>
      <w:keepNext w:val="0"/>
      <w:spacing w:after="60" w:before="0" w:line="252" w:lineRule="auto"/>
      <w:ind w:left="403" w:hanging="403"/>
      <w:jc w:val="left"/>
    </w:pPr>
    <w:rPr>
      <w:rFonts w:ascii="Times New Roman" w:hAnsi="Times New Roman"/>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png"/><Relationship Id="rId37" Type="http://schemas.openxmlformats.org/officeDocument/2006/relationships/image" Target="media/rId37.png"/><Relationship Id="rId42" Type="http://schemas.openxmlformats.org/officeDocument/2006/relationships/image" Target="media/rId42.png"/><Relationship Id="rId49" Type="http://schemas.openxmlformats.org/officeDocument/2006/relationships/image" Target="media/rId49.png"/><Relationship Id="rId27" Type="http://schemas.openxmlformats.org/officeDocument/2006/relationships/image" Target="media/rId27.png"/><Relationship Id="rId18" Type="http://schemas.openxmlformats.org/officeDocument/2006/relationships/image" Target="media/rId18.png"/><Relationship Id="rId46" Type="http://schemas.openxmlformats.org/officeDocument/2006/relationships/image" Target="media/rId46.png"/><Relationship Id="rId10" Type="http://schemas.openxmlformats.org/officeDocument/2006/relationships/image" Target="media/rId10.png"/><Relationship Id="rId30" Type="http://schemas.openxmlformats.org/officeDocument/2006/relationships/image" Target="media/rId3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2026-06-04T16:38:46Z</dcterms:created>
  <dcterms:modified xsi:type="dcterms:W3CDTF">2026-06-04T16:38:46Z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