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The improvement reproduces on all four pathologies on both MIMIC-CXR and PadChest, and it holds for all four pathologies on an independently trained model, including when that model is evaluated cross-dataset on a source it never trained on.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 Deferral operates per pathology: individual uncertain findings are deferred rather than the whole image being rejected.</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we adopt this backbone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852160" cy="347472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+0.084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pStyle w:val="TableCaption"/>
        <w:spacing w:before="28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+0.070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four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2026-06-05T13:52:33Z</dcterms:created>
  <dcterms:modified xsi:type="dcterms:W3CDTF">2026-06-05T13:52:33Z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