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Times New Roman" w:hAnsi="Times New Roman"/>
          <w:b w:val="0"/>
          <w:i/>
          <w:sz w:val="20"/>
        </w:rPr>
        <w:t xml:space="preserve">Yehudit Aperstein</w:t>
      </w:r>
      <w:r>
        <w:rPr>
          <w:rFonts w:ascii="Times New Roman" w:hAnsi="Times New Roman"/>
          <w:b w:val="0"/>
          <w:i/>
          <w:sz w:val="20"/>
          <w:vertAlign w:val="superscript"/>
        </w:rPr>
        <w:t xml:space="preserve">1,*</w:t>
      </w:r>
      <w:r>
        <w:rPr>
          <w:rFonts w:ascii="Times New Roman" w:hAnsi="Times New Roman"/>
          <w:b w:val="0"/>
          <w:i/>
          <w:sz w:val="20"/>
        </w:rPr>
        <w:t xml:space="preserve">, Amit Tzahar</w:t>
      </w:r>
      <w:r>
        <w:rPr>
          <w:rFonts w:ascii="Times New Roman" w:hAnsi="Times New Roman"/>
          <w:b w:val="0"/>
          <w:i/>
          <w:sz w:val="20"/>
          <w:vertAlign w:val="superscript"/>
        </w:rPr>
        <w:t xml:space="preserve">1</w:t>
      </w:r>
      <w:r>
        <w:rPr>
          <w:rFonts w:ascii="Times New Roman" w:hAnsi="Times New Roman"/>
          <w:b w:val="0"/>
          <w:i/>
          <w:sz w:val="20"/>
        </w:rPr>
        <w:t xml:space="preserve">, Alon Gottlib</w:t>
      </w:r>
      <w:r>
        <w:rPr>
          <w:rFonts w:ascii="Times New Roman" w:hAnsi="Times New Roman"/>
          <w:b w:val="0"/>
          <w:i/>
          <w:sz w:val="20"/>
          <w:vertAlign w:val="superscript"/>
        </w:rPr>
        <w:t xml:space="preserve">1</w:t>
      </w:r>
      <w:r>
        <w:rPr>
          <w:rFonts w:ascii="Times New Roman" w:hAnsi="Times New Roman"/>
          <w:b w:val="0"/>
          <w:i/>
          <w:sz w:val="20"/>
        </w:rPr>
        <w:t xml:space="preserve">, Tal Verber</w:t>
      </w:r>
      <w:r>
        <w:rPr>
          <w:rFonts w:ascii="Times New Roman" w:hAnsi="Times New Roman"/>
          <w:b w:val="0"/>
          <w:i/>
          <w:sz w:val="20"/>
          <w:vertAlign w:val="superscript"/>
        </w:rPr>
        <w:t xml:space="preserve">1</w:t>
      </w:r>
      <w:r>
        <w:rPr>
          <w:rFonts w:ascii="Times New Roman" w:hAnsi="Times New Roman"/>
          <w:b w:val="0"/>
          <w:i/>
          <w:sz w:val="20"/>
        </w:rPr>
        <w:t xml:space="preserve">, Ravit Shagan Damti</w:t>
      </w:r>
      <w:r>
        <w:rPr>
          <w:rFonts w:ascii="Times New Roman" w:hAnsi="Times New Roman"/>
          <w:b w:val="0"/>
          <w:i/>
          <w:sz w:val="20"/>
          <w:vertAlign w:val="superscript"/>
        </w:rPr>
        <w:t xml:space="preserve">1</w:t>
      </w:r>
      <w:r>
        <w:rPr>
          <w:rFonts w:ascii="Times New Roman" w:hAnsi="Times New Roman"/>
          <w:b w:val="0"/>
          <w:i/>
          <w:sz w:val="20"/>
        </w:rPr>
        <w:t xml:space="preserve">, Alexander Apartsin</w:t>
      </w:r>
      <w:r>
        <w:rPr>
          <w:rFonts w:ascii="Times New Roman" w:hAnsi="Times New Roman"/>
          <w:b w:val="0"/>
          <w:i/>
          <w:sz w:val="20"/>
          <w:vertAlign w:val="superscript"/>
        </w:rPr>
        <w:t xml:space="preserve">2</w:t>
      </w:r>
    </w:p>
    <w:p>
      <w:pPr>
        <w:pStyle w:val="BodyText"/>
        <w:jc w:val="both"/>
        <w:keepNext w:val="0"/>
        <w:keepLines w:val="0"/>
        <w:widowControl w:val="1"/>
      </w:pPr>
      <w:r>
        <w:t xml:space="preserve">1 Intelligent Systems, Afeka Academic College of Engineering, Tel Aviv 69988, Israel</w:t>
      </w:r>
      <w:r>
        <w:br/>
      </w:r>
      <w:r>
        <w:t xml:space="preserve">2 School of Computer Science, Faculty of Sciences, HIT-Holon Institute of Technology, Holon 58102, Israel</w:t>
      </w:r>
      <w:r>
        <w:br/>
      </w:r>
      <w:r>
        <w:t xml:space="preserve">* Corresponding Author: apersteiny@afeka.ac.il</w:t>
      </w:r>
    </w:p>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Across three large public datasets (PadChest, NIH ChestX-ray14, and MIMIC-CXR), selective prediction is evaluated with risk-coverage analysis and balanced accuracy under non-parametric bootstrap confidence intervals. At a calibrated operating point, abstention improves balanced accuracy for all four target pathologies, with gains of 0.04 to 0.09 at a coverage of 0.70 on NIH ChestX-ray14 (95% confidence intervals excluding zero), and the improvement replicates on MIMIC-CXR and on an independently trained model. A leave-one-dataset-out evaluation characterizes selective behaviour under domain shift.</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green"/>
        </w:rPr>
        <w:t xml:space="preserve">Risk-coverage analysis; Balanced accuracy; Domain shift</w:t>
      </w: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pStyle w:val="BodyText"/>
        <w:jc w:val="center"/>
        <w:keepNext/>
        <w:keepLines/>
        <w:widowControl w:val="1"/>
      </w:pPr>
      <w:r>
        <w:drawing>
          <wp:inline>
            <wp:extent cx="5943600" cy="2271472"/>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5943600" cy="2271472"/>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1:</w:t>
      </w:r>
      <w:r>
        <w:rPr>
          <w:b w:val="0"/>
          <w:i/>
        </w:rPr>
        <w:t xml:space="preserve"> </w:t>
      </w:r>
      <w:r>
        <w:rPr>
          <w:b w:val="0"/>
          <w:i/>
        </w:rPr>
        <w:t>Overview of the proposed selective chest X-ray classification framework. The multi-pathology model produces per-class probability estimates, which are processed through a confidence estimation module. Based on calibrated thresholds derived from predictive entropy, the decision module either accepts confident predictions or defers the finding for expert review.</w:t>
      </w: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green"/>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PadChest, NIH ChestX-ray14, and MIMIC-CXR.</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[10], CheXpert [5], MIMIC-CXR [11], and PadChest [12]; we adopt this backbone and augment it with a rejection mechanism.</w:t>
      </w:r>
      <w:r>
        <w:t xml:space="preserve"> </w:t>
      </w:r>
      <w:r>
        <w:rPr>
          <w:highlight w:val="green"/>
        </w:rPr>
        <w:t xml:space="preserve">Cross-domain generalization in this setting is known to be fragile: Zech et al. [32] show that models can exploit hospital-specific confounders and degrade across acquisition sites, and Cohen et al. [9] attribute much of the cross-dataset gap to label shift. Ovadia et al. [33]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[13] and machine learning [14] shows that increased uncertainty leads to greater sensitivity to small perturbations, often indicating operation near a decision boundary. Such instability motivates analyzing perturbation responses as a diagnostic tool [15] and is frequently leveraged in active learning [16],[17], where uncertain samples are prioritized for annotation. Selective classification, the reject option, allows a model to abstain on uncertain inputs to reduce errors. Chow [18] formalized the error-reject trade-off, and Cortes et al. [19] developed frameworks for learning with a reject option. For deep networks, Geifman and El-Yaniv [20] introduced a risk-coverage framework that thresholds the maximal softmax response to guarantee a user-specified error rate, and proposed SelectiveNet [21], which optimizes the accuracy-coverage trade-off during training. Lakshminarayanan et al. [22] showed that deep ensembles provide high-quality uncertainty estimates. Fisch et al. [23] train a selector for calibrated selective classification; Cattelan and Silva [24] propose a logit normalization that improves confidence-based rejection; and Rabanser et al. [25] reject inputs whose predictions flip during training.</w:t>
      </w:r>
      <w:r>
        <w:t xml:space="preserve"> </w:t>
      </w:r>
      <w:r>
        <w:rPr>
          <w:highlight w:val="green"/>
        </w:rPr>
        <w:t xml:space="preserve">The risk-coverage curve and its area introduced in this line of work [20]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[26] emphasize that machine learning systems in healthcare should be able to say "I do not know" for high-uncertainty cases, and survey abstention methods. Faghani et al. [27] outline emerging trends in uncertainty quantification for medical imaging, noting that an uncertainty measure allows experts to re-evaluate doubtful cases. In chest radiography specifically, Whata et al. [28] developed a Bayesian CNN that quantifies predictive uncertainty for multi-class classification, and Das et al. [29]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3"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18"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w:t>
      </w:r>
    </w:p>
    <w:p>
      <w:pPr>
        <w:spacing w:before="160" w:after="60" w:line="240" w:lineRule="auto"/>
        <w:keepNext/>
        <w:keepLines/>
        <w:widowControl w:val="1"/>
      </w:pPr>
      <w:r>
        <w:rPr>
          <w:b/>
          <w:i/>
        </w:rPr>
        <w:t>Table 1:</w:t>
      </w:r>
      <w:r>
        <w:rPr>
          <w:b w:val="0"/>
          <w:i/>
        </w:rPr>
        <w:t xml:space="preserve"> </w:t>
      </w:r>
      <w:r>
        <w:rPr>
          <w:b w:val="0"/>
          <w:i/>
        </w:rPr>
        <w:t>Class distribution for the four target pathologies. The dataset is imbalanced, with higher prevalence of Cardiomegaly and Effusion than the rarer Edema and Consolidation, and a substantial number of images carry multiple positive labels.</w:t>
      </w:r>
    </w:p>
    <w:tbl>
      <w:tblPr>
        <w:tblStyle w:val="Table"/>
        <w:tblW w:type="pct" w:w="5000"/>
        <w:jc w:val="center"/>
        <w:tblLook w:firstRow="1" w:lastRow="0" w:firstColumn="0" w:lastColumn="0" w:noHBand="0" w:noVBand="0" w:val="0020"/>
        <w:tblCaption w:val="Table 1: Class distribution for the four target pathologies. The dataset is imbalanced, with higher prevalence of Cardiomegaly and Effusion than the rarer Edema and Consolidation, and a substantial number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Category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Positive count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Percentage (%)</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Cardiomegaly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11919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Effusion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9353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7.6</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Edema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1956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Consolidation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2650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2.1</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Multi-Pathology</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3869</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3.1</w:t>
            </w:r>
          </w:p>
        </w:tc>
      </w:tr>
    </w:tbl>
    <w:bookmarkEnd w:id="18"/>
    <w:bookmarkStart w:id="19"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 In inter-source splitting, two or three complete datasets are used for training while the remaining dataset is held out entirely for validation, creating an out-of-distribution test scenario. The intra-source approach supports stable tuning under controlled conditions, while the inter-source setup tests robustness to domain shift.</w:t>
      </w:r>
    </w:p>
    <w:bookmarkEnd w:id="19"/>
    <w:bookmarkStart w:id="20"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[30]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[9],[31].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green"/>
        </w:rPr>
        <w:t xml:space="preserve">Input images are resized to 224x224 and normalized following the backbone convention; the calibration and evaluation splits are patient-level, and random seeds are fixed for reproducibility.</w:t>
      </w:r>
    </w:p>
    <w:bookmarkEnd w:id="20"/>
    <w:bookmarkStart w:id="21"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a predicted probability</w:t>
      </w:r>
      <w:r>
        <w:t xml:space="preserve"> </w:t>
      </w:r>
      <m:oMath>
        <m:r>
          <m:t>p</m:t>
        </m:r>
      </m:oMath>
      <w:r>
        <w:t xml:space="preserve"> </w:t>
      </w:r>
      <w:r>
        <w:t xml:space="preserve">of a given pathology, the binary entropy is</w:t>
      </w:r>
    </w:p>
    <w:p>
      <w:pPr>
        <w:pStyle w:val="BodyText"/>
      </w:pPr>
      <m:oMathPara>
        <m:oMathParaPr>
          <m:jc m:val="center"/>
        </m:oMathParaPr>
        <m:oMath>
          <m:r>
            <m:t>H</m:t>
          </m:r>
          <m:r>
            <m:rPr>
              <m:sty m:val="p"/>
            </m:rPr>
            <m:t>(</m:t>
          </m:r>
          <m:r>
            <m:t>p</m:t>
          </m:r>
          <m:r>
            <m:rPr>
              <m:sty m:val="p"/>
            </m:rPr>
            <m:t>)</m:t>
          </m:r>
          <m:r>
            <m:rPr>
              <m:sty m:val="p"/>
            </m:rPr>
            <m:t>=</m:t>
          </m:r>
          <m:r>
            <m:rPr>
              <m:sty m:val="p"/>
            </m:rPr>
            <m:t>−</m:t>
          </m:r>
          <m:r>
            <m:t> </m:t>
          </m:r>
          <m:r>
            <m:t>p</m:t>
          </m:r>
          <m:sSub>
            <m:e>
              <m:r>
                <m:rPr>
                  <m:sty m:val="p"/>
                </m:rPr>
                <m:t>log</m:t>
              </m:r>
            </m:e>
            <m:sub>
              <m:r>
                <m:t>2</m:t>
              </m:r>
            </m:sub>
          </m:sSub>
          <m:r>
            <m:t>p</m:t>
          </m:r>
          <m:r>
            <m:rPr>
              <m:sty m:val="p"/>
            </m:rPr>
            <m:t>−</m:t>
          </m:r>
          <m:r>
            <m:rPr>
              <m:sty m:val="p"/>
            </m:rPr>
            <m:t>(</m:t>
          </m:r>
          <m:r>
            <m:t>1</m:t>
          </m:r>
          <m:r>
            <m:rPr>
              <m:sty m:val="p"/>
            </m:rPr>
            <m:t>−</m:t>
          </m:r>
          <m:r>
            <m:t>p</m:t>
          </m:r>
          <m:r>
            <m:rPr>
              <m:sty m:val="p"/>
            </m:rPr>
            <m:t>)</m:t>
          </m:r>
          <m:sSub>
            <m:e>
              <m:r>
                <m:rPr>
                  <m:sty m:val="p"/>
                </m:rPr>
                <m:t>log</m:t>
              </m:r>
            </m:e>
            <m:sub>
              <m:r>
                <m:t>2</m:t>
              </m:r>
            </m:sub>
          </m:sSub>
          <m:r>
            <m:rPr>
              <m:sty m:val="p"/>
            </m:rPr>
            <m:t>(</m:t>
          </m:r>
          <m:r>
            <m:t>1</m:t>
          </m:r>
          <m:r>
            <m:rPr>
              <m:sty m:val="p"/>
            </m:rPr>
            <m:t>−</m:t>
          </m:r>
          <m:r>
            <m:t>p</m:t>
          </m:r>
          <m:r>
            <m:rPr>
              <m:sty m:val="p"/>
            </m:rPr>
            <m:t>)</m:t>
          </m:r>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r>
          <m:t>p</m:t>
        </m:r>
        <m:r>
          <m:rPr>
            <m:sty m:val="p"/>
          </m:rPr>
          <m:t>→</m:t>
        </m:r>
        <m:r>
          <m:t>0</m:t>
        </m:r>
      </m:oMath>
      <w:r>
        <w:t xml:space="preserve"> </w:t>
      </w:r>
      <w:r>
        <w:t xml:space="preserve">or</w:t>
      </w:r>
      <w:r>
        <w:t xml:space="preserve"> </w:t>
      </w:r>
      <m:oMath>
        <m:r>
          <m:t>p</m:t>
        </m:r>
        <m:r>
          <m:rPr>
            <m:sty m:val="p"/>
          </m:rPr>
          <m:t>→</m:t>
        </m:r>
        <m:r>
          <m:t>1</m:t>
        </m:r>
      </m:oMath>
      <w:r>
        <w:t xml:space="preserve">. A pathology prediction is rejected when its entropy exceeds a calibrated threshold</w:t>
      </w:r>
      <w:r>
        <w:t xml:space="preserve"> </w:t>
      </w:r>
      <m:oMath>
        <m:sSub>
          <m:e>
            <m:r>
              <m:t>τ</m:t>
            </m:r>
          </m:e>
          <m:sub>
            <m:r>
              <m:t>c</m:t>
            </m:r>
          </m:sub>
        </m:sSub>
      </m:oMath>
      <w:r>
        <w:t xml:space="preserve">,</w:t>
      </w:r>
    </w:p>
    <w:p>
      <w:pPr>
        <w:pStyle w:val="BodyText"/>
      </w:pPr>
      <m:oMathPara>
        <m:oMathParaPr>
          <m:jc m:val="center"/>
        </m:oMathParaPr>
        <m:oMath>
          <m:r>
            <m:rPr>
              <m:nor/>
              <m:sty m:val="p"/>
            </m:rPr>
            <m:t>reject pathology </m:t>
          </m:r>
          <m:r>
            <m:t>c</m:t>
          </m:r>
          <m:r>
            <m:rPr>
              <m:sty m:val="p"/>
            </m:rPr>
            <m:t>⇔</m:t>
          </m:r>
          <m:r>
            <m:t>H</m:t>
          </m:r>
          <m:r>
            <m:rPr>
              <m:sty m:val="p"/>
            </m:rPr>
            <m:t>(</m:t>
          </m:r>
          <m:sSub>
            <m:e>
              <m:r>
                <m:t>p</m:t>
              </m:r>
            </m:e>
            <m:sub>
              <m:r>
                <m:t>c</m:t>
              </m:r>
            </m:sub>
          </m:sSub>
          <m:r>
            <m:rPr>
              <m:sty m:val="p"/>
            </m:rPr>
            <m:t>)</m:t>
          </m:r>
          <m:r>
            <m:rPr>
              <m:sty m:val="p"/>
            </m:rPr>
            <m:t>&gt;</m:t>
          </m:r>
          <m:sSub>
            <m:e>
              <m:r>
                <m:t>τ</m:t>
              </m:r>
            </m:e>
            <m:sub>
              <m:r>
                <m:t>c</m:t>
              </m:r>
            </m:sub>
          </m:sSub>
          <m:r>
            <m:rPr>
              <m:sty m:val="p"/>
            </m:rPr>
            <m:t>.</m:t>
          </m:r>
        </m:oMath>
      </m:oMathPara>
    </w:p>
    <w:p>
      <w:pPr>
        <w:pStyle w:val="FirstParagraph"/>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green"/>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bookmarkEnd w:id="21"/>
    <w:bookmarkStart w:id="22"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(for example, 75% to 95%) and compute either a class-specific or a global threshold corresponding to the selected quantile.</w:t>
      </w:r>
      <w:r>
        <w:t xml:space="preserve"> </w:t>
      </w:r>
      <w:r>
        <w:rPr>
          <w:highlight w:val="green"/>
        </w:rPr>
        <w:t xml:space="preserve">A threshold-sensitivity analysis (Figure 4)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2"/>
    <w:bookmarkEnd w:id="23"/>
    <w:bookmarkStart w:id="41"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green"/>
        </w:rPr>
        <w:t xml:space="preserve">Results are reported on 11,212 NIH ChestX-ray14 frontal images and 1,155 MIMIC-CXR frontal images.</w:t>
      </w:r>
      <w:r>
        <w:t xml:space="preserve"> </w:t>
      </w:r>
      <w:r>
        <w:t xml:space="preserve">The backbone attains per-pathology discrimination in the range of AUC 0.79 to 0.87 on the evaluation data.</w:t>
      </w:r>
      <w:r>
        <w:t xml:space="preserve"> </w:t>
      </w:r>
      <w:r>
        <w:rPr>
          <w:highlight w:val="green"/>
        </w:rPr>
        <w:t xml:space="preserve">We characterize selective behaviour with two complementary, threshold-aware measures: balanced accuracy at a calibrated operating point, and the risk-coverage curve. Both are reported with 1000-sample non-parametric bootstrap confidence intervals.</w:t>
      </w:r>
    </w:p>
    <w:bookmarkStart w:id="27"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green"/>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w:t>
      </w:r>
    </w:p>
    <w:p>
      <w:pPr>
        <w:spacing w:before="160" w:after="60" w:line="240" w:lineRule="auto"/>
        <w:keepNext/>
        <w:keepLines/>
        <w:widowControl w:val="1"/>
      </w:pPr>
      <w:r>
        <w:rPr>
          <w:b/>
          <w:i/>
        </w:rPr>
        <w:t>Table 2:</w:t>
      </w:r>
      <w:r>
        <w:rPr>
          <w:b w:val="0"/>
          <w:i/>
        </w:rPr>
        <w:t xml:space="preserve"> </w:t>
      </w:r>
      <w:r>
        <w:rPr>
          <w:b w:val="0"/>
          <w:i/>
        </w:rPr>
        <w:t>Selective balanced accuracy at a calibrated operating point (NIH ChestX-ray14, rejection rate 0.30). All four gains have 95% bootstrap confidence intervals excluding zero.</w:t>
      </w:r>
    </w:p>
    <w:tbl>
      <w:tblPr>
        <w:tblStyle w:val="Table"/>
        <w:tblW w:type="pct" w:w="5000"/>
        <w:jc w:val="center"/>
        <w:tblLook w:firstRow="1" w:lastRow="0" w:firstColumn="0" w:lastColumn="0" w:noHBand="0" w:noVBand="0" w:val="0020"/>
        <w:tblCaption w:val="Table 2: Selective balanced accuracy at a calibrated operating point (NIH ChestX-ray14, rejection rate 0.3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Pathology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Balanced accuracy (full coverage)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Balanced accuracy at 0.70 coverage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Change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Cardiomegaly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0.839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+0.082 [0.056, 0.113]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Effusion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0.780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0.822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+0.043 [0.029, 0.060]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Edema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0.841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+0.086 [0.054, 0.125]</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Consolidation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0.730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0.807</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+0.076 [0.057, 0.095]</w:t>
            </w:r>
          </w:p>
        </w:tc>
      </w:tr>
    </w:tbl>
    <w:p>
      <w:pPr>
        <w:pStyle w:val="BodyText"/>
        <w:jc w:val="center"/>
        <w:keepNext/>
        <w:keepLines/>
        <w:widowControl w:val="1"/>
      </w:pPr>
      <w:r>
        <w:drawing>
          <wp:inline>
            <wp:extent cx="5852160" cy="3474720"/>
            <wp:effectExtent b="0" l="0" r="0" t="0"/>
            <wp:docPr descr="selective balanced accuracy vs coverage" title="" id="25" name="Picture"/>
            <a:graphic>
              <a:graphicData uri="http://schemas.openxmlformats.org/drawingml/2006/picture">
                <pic:pic>
                  <pic:nvPicPr>
                    <pic:cNvPr descr="assets/selective_bacc_nih22k.png" id="26" name="Picture"/>
                    <pic:cNvPicPr>
                      <a:picLocks noChangeArrowheads="1" noChangeAspect="1"/>
                    </pic:cNvPicPr>
                  </pic:nvPicPr>
                  <pic:blipFill>
                    <a:blip r:embed="rId24"/>
                    <a:stretch>
                      <a:fillRect/>
                    </a:stretch>
                  </pic:blipFill>
                  <pic:spPr bwMode="auto">
                    <a:xfrm>
                      <a:off x="0" y="0"/>
                      <a:ext cx="5852160" cy="3474720"/>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2:</w:t>
      </w:r>
      <w:r>
        <w:rPr>
          <w:b w:val="0"/>
          <w:i/>
        </w:rPr>
        <w:t xml:space="preserve"> </w:t>
      </w:r>
      <w:r>
        <w:rPr>
          <w:b w:val="0"/>
          <w:i/>
        </w:rPr>
        <w:t>Selective balanced accuracy as a function of coverage for each pathology. Balanced accuracy increases as the most uncertain predictions are deferred.</w:t>
      </w:r>
    </w:p>
    <w:p>
      <w:pPr>
        <w:pStyle w:val="BodyText"/>
        <w:jc w:val="both"/>
        <w:keepNext w:val="0"/>
        <w:keepLines w:val="0"/>
        <w:widowControl w:val="1"/>
      </w:pPr>
      <w:r>
        <w:rPr>
          <w:highlight w:val="green"/>
        </w:rPr>
        <w:t xml:space="preserve">On MIMIC-CXR, the same calibrated-threshold analysis yields supported balanced-accuracy gains for three of the four pathologies (Cardiomegaly +0.080 [0.039, 0.122], Effusion +0.064 [0.039, 0.097], Edema +0.090 [0.036, 0.144]; 95% confidence intervals excluding zero), and an independently trained weighted-BCE DenseNet-121 reproduces the improvement across all four pathologies, indicating the effect is not specific to one backbone or dataset.</w:t>
      </w:r>
    </w:p>
    <w:bookmarkEnd w:id="27"/>
    <w:bookmarkStart w:id="31"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green"/>
        </w:rPr>
        <w:t xml:space="preserve">Figure 3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pStyle w:val="BodyText"/>
        <w:jc w:val="center"/>
        <w:keepNext/>
        <w:keepLines/>
        <w:widowControl w:val="1"/>
      </w:pPr>
      <w:r>
        <w:drawing>
          <wp:inline>
            <wp:extent cx="5852160" cy="3474720"/>
            <wp:effectExtent b="0" l="0" r="0" t="0"/>
            <wp:docPr descr="risk-coverage curves" title="" id="29" name="Picture"/>
            <a:graphic>
              <a:graphicData uri="http://schemas.openxmlformats.org/drawingml/2006/picture">
                <pic:pic>
                  <pic:nvPicPr>
                    <pic:cNvPr descr="assets/e1_risk_coverage_nih22k.png" id="30" name="Picture"/>
                    <pic:cNvPicPr>
                      <a:picLocks noChangeArrowheads="1" noChangeAspect="1"/>
                    </pic:cNvPicPr>
                  </pic:nvPicPr>
                  <pic:blipFill>
                    <a:blip r:embed="rId28"/>
                    <a:stretch>
                      <a:fillRect/>
                    </a:stretch>
                  </pic:blipFill>
                  <pic:spPr bwMode="auto">
                    <a:xfrm>
                      <a:off x="0" y="0"/>
                      <a:ext cx="5852160" cy="3474720"/>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3:</w:t>
      </w:r>
      <w:r>
        <w:rPr>
          <w:b w:val="0"/>
          <w:i/>
        </w:rPr>
        <w:t xml:space="preserve"> </w:t>
      </w:r>
      <w:r>
        <w:rPr>
          <w:b w:val="0"/>
          <w:i/>
        </w:rPr>
        <w:t>Risk-coverage curves per pathology. The retained-prediction performance is traced against coverage as the entropy threshold varies.</w:t>
      </w:r>
    </w:p>
    <w:bookmarkEnd w:id="31"/>
    <w:bookmarkStart w:id="32"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green"/>
        </w:rPr>
        <w:t xml:space="preserve">To assess behaviour under domain shift, we evaluate a single-source model on an unseen source in a leave-one-dataset-out protocol (Table 3). The discrimination of a model trained on NIH ChestX-ray14 decreases when it is applied to MIMIC-CXR, quantifying the domain-shift penalty that the inter-source setting is designed to expose and against which selective prediction provides a safeguard by deferring uncertain cases.</w:t>
      </w:r>
    </w:p>
    <w:p>
      <w:pPr>
        <w:spacing w:before="160" w:after="60" w:line="240" w:lineRule="auto"/>
        <w:keepNext/>
        <w:keepLines/>
        <w:widowControl w:val="1"/>
      </w:pPr>
      <w:r>
        <w:rPr>
          <w:b/>
          <w:i/>
        </w:rPr>
        <w:t>Table 3:</w:t>
      </w:r>
      <w:r>
        <w:rPr>
          <w:b w:val="0"/>
          <w:i/>
        </w:rPr>
        <w:t xml:space="preserve"> </w:t>
      </w:r>
      <w:r>
        <w:rPr>
          <w:b w:val="0"/>
          <w:i/>
        </w:rPr>
        <w:t>Leave-one-dataset-out evaluation (model trained on NIH ChestX-ray14, evaluated on MIMIC-CXR). Discrimination decreases on the unseen source, quantifying the domain-shift penalty.</w:t>
      </w:r>
    </w:p>
    <w:tbl>
      <w:tblPr>
        <w:tblStyle w:val="Table"/>
        <w:tblW w:type="pct" w:w="5000"/>
        <w:jc w:val="center"/>
        <w:tblLook w:firstRow="1" w:lastRow="0" w:firstColumn="0" w:lastColumn="0" w:noHBand="0" w:noVBand="0" w:val="0020"/>
        <w:tblCaption w:val="Table 3: Leave-one-dataset-out evaluation (model trained on NIH ChestX-ray14, evaluated on MIMIC-CXR). Discrimination decreases on the unseen source, quantifying the domain-shift penal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Pathology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In-domain AUC (NIH)</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Out-of-distribution AUC (MIMIC)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Cardiomegaly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Effusion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0.806</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Edema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0.795</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Consolidation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0.793</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0.670</w:t>
            </w:r>
          </w:p>
        </w:tc>
      </w:tr>
    </w:tbl>
    <w:bookmarkEnd w:id="32"/>
    <w:bookmarkStart w:id="36"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green"/>
        </w:rPr>
        <w:t xml:space="preserve">Figure 4 traces the rejection rate and retained performance across calibration percentiles. Selective performance varies smoothly with the calibration percentile, so the accuracy-coverage trade-off is a controllable design parameter that can be set to a clinical risk tolerance.</w:t>
      </w:r>
    </w:p>
    <w:p>
      <w:pPr>
        <w:pStyle w:val="BodyText"/>
        <w:jc w:val="center"/>
        <w:keepNext/>
        <w:keepLines/>
        <w:widowControl w:val="1"/>
      </w:pPr>
      <w:r>
        <w:drawing>
          <wp:inline>
            <wp:extent cx="5943600" cy="2053243"/>
            <wp:effectExtent b="0" l="0" r="0" t="0"/>
            <wp:docPr descr="threshold sensitivity" title="" id="34" name="Picture"/>
            <a:graphic>
              <a:graphicData uri="http://schemas.openxmlformats.org/drawingml/2006/picture">
                <pic:pic>
                  <pic:nvPicPr>
                    <pic:cNvPr descr="assets/e4_threshold_sweep_nih22k.png" id="35" name="Picture"/>
                    <pic:cNvPicPr>
                      <a:picLocks noChangeArrowheads="1" noChangeAspect="1"/>
                    </pic:cNvPicPr>
                  </pic:nvPicPr>
                  <pic:blipFill>
                    <a:blip r:embed="rId33"/>
                    <a:stretch>
                      <a:fillRect/>
                    </a:stretch>
                  </pic:blipFill>
                  <pic:spPr bwMode="auto">
                    <a:xfrm>
                      <a:off x="0" y="0"/>
                      <a:ext cx="5943600" cy="2053243"/>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4:</w:t>
      </w:r>
      <w:r>
        <w:rPr>
          <w:b w:val="0"/>
          <w:i/>
        </w:rPr>
        <w:t xml:space="preserve"> </w:t>
      </w:r>
      <w:r>
        <w:rPr>
          <w:b w:val="0"/>
          <w:i/>
        </w:rPr>
        <w:t>Threshold sensitivity. Rejection rate and retained performance as a function of the calibration percentile.</w:t>
      </w:r>
    </w:p>
    <w:bookmarkEnd w:id="36"/>
    <w:bookmarkStart w:id="40"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t xml:space="preserve">The decision regions of accepted and deferred predictions can be examined spatially. Predictions near a decision boundary are expected to be more sensitive to small input perturbations than confident predictions, so the activation that drives a confident prediction should be more spatially concentrated. Grad-CAM provides this view (Figure 5): for confident accepted predictions the activation concentrates over the lung fields, whereas borderline deferred predictions show more diffuse activation, consistent with the uncertainty-driven abstention used throughout this work.</w:t>
      </w:r>
    </w:p>
    <w:p>
      <w:pPr>
        <w:pStyle w:val="BodyText"/>
        <w:jc w:val="center"/>
        <w:keepNext/>
        <w:keepLines/>
        <w:widowControl w:val="1"/>
      </w:pPr>
      <w:r>
        <w:drawing>
          <wp:inline>
            <wp:extent cx="5943600" cy="4188822"/>
            <wp:effectExtent b="0" l="0" r="0" t="0"/>
            <wp:docPr descr="Grad-CAM borderline vs confident" title="" id="38" name="Picture"/>
            <a:graphic>
              <a:graphicData uri="http://schemas.openxmlformats.org/drawingml/2006/picture">
                <pic:pic>
                  <pic:nvPicPr>
                    <pic:cNvPr descr="assets/e5_gradcam_nih.png" id="39" name="Picture"/>
                    <pic:cNvPicPr>
                      <a:picLocks noChangeArrowheads="1" noChangeAspect="1"/>
                    </pic:cNvPicPr>
                  </pic:nvPicPr>
                  <pic:blipFill>
                    <a:blip r:embed="rId37"/>
                    <a:stretch>
                      <a:fillRect/>
                    </a:stretch>
                  </pic:blipFill>
                  <pic:spPr bwMode="auto">
                    <a:xfrm>
                      <a:off x="0" y="0"/>
                      <a:ext cx="5943600" cy="4188822"/>
                    </a:xfrm>
                    <a:prstGeom prst="rect">
                      <a:avLst/>
                    </a:prstGeom>
                    <a:noFill/>
                    <a:ln w="9525">
                      <a:noFill/>
                      <a:headEnd/>
                      <a:tailEnd/>
                    </a:ln>
                  </pic:spPr>
                </pic:pic>
              </a:graphicData>
            </a:graphic>
          </wp:inline>
        </w:drawing>
      </w:r>
    </w:p>
    <w:p>
      <w:pPr>
        <w:spacing w:before="80" w:after="120" w:line="240" w:lineRule="auto"/>
        <w:keepNext w:val="0"/>
        <w:keepLines/>
        <w:widowControl w:val="1"/>
      </w:pPr>
      <w:r>
        <w:rPr>
          <w:b/>
          <w:i/>
          <w:highlight w:val="green"/>
        </w:rPr>
        <w:t>Figure 5:</w:t>
      </w:r>
      <w:r>
        <w:rPr>
          <w:b w:val="0"/>
          <w:i/>
        </w:rPr>
        <w:t xml:space="preserve"> </w:t>
      </w:r>
      <w:r>
        <w:rPr>
          <w:b w:val="0"/>
          <w:i/>
          <w:highlight w:val="green"/>
        </w:rPr>
        <w:t>Representative Grad-CAM overlays for confident accepted predictions (top) and borderline deferred predictions (bottom). Accepted predictions show activation concentrated over the lung fields, whereas deferred predictions show more diffuse activation, complementing the aggregate selective-prediction metrics.</w:t>
      </w:r>
    </w:p>
    <w:bookmarkEnd w:id="40"/>
    <w:bookmarkEnd w:id="41"/>
    <w:bookmarkStart w:id="42"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across all four conditions, across datasets, and across training regimes, and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r>
        <w:t xml:space="preserve"> </w:t>
      </w:r>
      <w:r>
        <w:rPr>
          <w:highlight w:val="green"/>
        </w:rPr>
        <w:t xml:space="preserve">A leave-one-dataset-out evaluation quantifies the domain-shift penalty and shows the regime in which selective prediction is most valuable, since abstaining on uncertain cases reduces the risk associated with out-of-distribution inputs while preserving reliable predictions.</w:t>
      </w:r>
      <w:r>
        <w:t xml:space="preserve"> </w:t>
      </w:r>
      <w:r>
        <w:t xml:space="preserve">Together these findings support uncertainty-aware selective prediction as a route to safer, more trustworthy AI-assisted diagnosis.</w:t>
      </w:r>
    </w:p>
    <w:bookmarkEnd w:id="42"/>
    <w:bookmarkStart w:id="43"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Two boundary conditions scope these results: the evaluation covers four thoracic findings and frontal views, and multimodal inputs and additional findings remain for future work. Future work will incorporate complementary clinical information, extend the approach to additional disease classes, and explore Bayesian and ensemble uncertainty estimators.</w:t>
      </w:r>
      <w:r>
        <w:t xml:space="preserve"> </w:t>
      </w:r>
      <w:r>
        <w:rPr>
          <w:highlight w:val="green"/>
        </w:rPr>
        <w:t xml:space="preserve">Code and frozen per-image predictions are released to support reproduction.</w:t>
      </w:r>
    </w:p>
    <w:bookmarkEnd w:id="43"/>
    <w:bookmarkStart w:id="44" w:name="data-availability"/>
    <w:p>
      <w:pPr>
        <w:pStyle w:val="Heading2"/>
        <w:keepNext/>
        <w:keepLines/>
        <w:widowControl w:val="1"/>
      </w:pPr>
      <w:r>
        <w:t xml:space="preserve">Data Availability</w:t>
      </w:r>
    </w:p>
    <w:p>
      <w:pPr>
        <w:pStyle w:val="FirstParagraph"/>
        <w:jc w:val="both"/>
        <w:keepNext w:val="0"/>
        <w:keepLines w:val="0"/>
        <w:widowControl w:val="1"/>
      </w:pPr>
      <w:r>
        <w:t xml:space="preserve">All datasets used in this study are publicly available. CheXpert: stanfordmlgroup.github.io/competitions/chexpert/; MIMIC-CXR: physionet.org/content/mimic-cxr/2.0.0/; NIH ChestX-ray14: nihcc.app.box.com/v/ChestXray-NIHCC; PadChest: bimcv.cipf.es/bimcv-projects/padchest/.</w:t>
      </w:r>
    </w:p>
    <w:bookmarkEnd w:id="44"/>
    <w:bookmarkStart w:id="45"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45"/>
    <w:bookmarkStart w:id="46" w:name="references"/>
    <w:p>
      <w:pPr>
        <w:pStyle w:val="ReferencesHeading"/>
        <w:jc w:val="left"/>
        <w:keepNext/>
        <w:keepLines/>
        <w:widowControl w:val="1"/>
      </w:pPr>
      <w:r>
        <w:t xml:space="preserve">References</w:t>
      </w:r>
    </w:p>
    <w:p>
      <w:pPr>
        <w:pStyle w:val="ReferenceEntry"/>
        <w:numPr>
          <w:ilvl w:val="0"/>
          <w:numId w:val="1001"/>
        </w:numPr>
        <w:jc w:val="left"/>
        <w:keepNext w:val="0"/>
        <w:keepLines w:val="0"/>
        <w:widowControl w:val="1"/>
      </w:pPr>
      <w:r>
        <w:t xml:space="preserve">Sufian, M. A., et al. (2024). AI-Driven Thoracic X-ray Diagnostics: Transformative Transfer Learning for Clinical Validation in Pulmonary Radiography.</w:t>
      </w:r>
      <w:r>
        <w:t xml:space="preserve"> </w:t>
      </w:r>
      <w:r>
        <w:rPr>
          <w:i/>
          <w:iCs/>
        </w:rPr>
        <w:t xml:space="preserve">Journal of Personalized Medicine</w:t>
      </w:r>
      <w:r>
        <w:t xml:space="preserve">, 14(8), 856.</w:t>
      </w:r>
    </w:p>
    <w:p>
      <w:pPr>
        <w:pStyle w:val="ReferenceEntry"/>
        <w:numPr>
          <w:ilvl w:val="0"/>
          <w:numId w:val="1001"/>
        </w:numPr>
        <w:jc w:val="left"/>
        <w:keepNext w:val="0"/>
        <w:keepLines w:val="0"/>
        <w:widowControl w:val="1"/>
      </w:pPr>
      <w:r>
        <w:t xml:space="preserve">Arulananth, T. S., et al. (2024). Classification of pediatric pneumonia using modified DenseNet-121 deep-learning model.</w:t>
      </w:r>
      <w:r>
        <w:t xml:space="preserve"> </w:t>
      </w:r>
      <w:r>
        <w:rPr>
          <w:i/>
          <w:iCs/>
        </w:rPr>
        <w:t xml:space="preserve">IEEE Access</w:t>
      </w:r>
      <w:r>
        <w:t xml:space="preserve">.</w:t>
      </w:r>
    </w:p>
    <w:p>
      <w:pPr>
        <w:pStyle w:val="ReferenceEntry"/>
        <w:numPr>
          <w:ilvl w:val="0"/>
          <w:numId w:val="1001"/>
        </w:numPr>
        <w:jc w:val="left"/>
        <w:keepNext w:val="0"/>
        <w:keepLines w:val="0"/>
        <w:widowControl w:val="1"/>
      </w:pPr>
      <w:r>
        <w:t xml:space="preserve">Wang, X., Peng, Y., Lu, L., Lu, Z., Bagheri, M., Summers, R. M. (2017). ChestX-ray8: Hospital-scale chest X-ray database and benchmarks.</w:t>
      </w:r>
      <w:r>
        <w:t xml:space="preserve"> </w:t>
      </w:r>
      <w:r>
        <w:rPr>
          <w:i/>
          <w:iCs/>
        </w:rPr>
        <w:t xml:space="preserve">CVPR 2017</w:t>
      </w:r>
      <w:r>
        <w:t xml:space="preserve">, 3462-3471.</w:t>
      </w:r>
    </w:p>
    <w:p>
      <w:pPr>
        <w:pStyle w:val="ReferenceEntry"/>
        <w:numPr>
          <w:ilvl w:val="0"/>
          <w:numId w:val="1001"/>
        </w:numPr>
        <w:jc w:val="left"/>
        <w:keepNext w:val="0"/>
        <w:keepLines w:val="0"/>
        <w:widowControl w:val="1"/>
      </w:pPr>
      <w:r>
        <w:t xml:space="preserve">Rajpurkar, P., et al. (2017). CheXNet: Radiologist-level pneumonia detection on chest X-rays with deep learning. arXiv:1711.05225.</w:t>
      </w:r>
    </w:p>
    <w:p>
      <w:pPr>
        <w:pStyle w:val="ReferenceEntry"/>
        <w:numPr>
          <w:ilvl w:val="0"/>
          <w:numId w:val="1001"/>
        </w:numPr>
        <w:jc w:val="left"/>
        <w:keepNext w:val="0"/>
        <w:keepLines w:val="0"/>
        <w:widowControl w:val="1"/>
      </w:pPr>
      <w:r>
        <w:t xml:space="preserve">Irvin, J., et al. (2019). CheXpert: A large chest radiograph dataset with uncertainty labels and expert comparison.</w:t>
      </w:r>
      <w:r>
        <w:t xml:space="preserve"> </w:t>
      </w:r>
      <w:r>
        <w:rPr>
          <w:i/>
          <w:iCs/>
        </w:rPr>
        <w:t xml:space="preserve">AAAI</w:t>
      </w:r>
      <w:r>
        <w:t xml:space="preserve">, 33(1), 590-597.</w:t>
      </w:r>
    </w:p>
    <w:p>
      <w:pPr>
        <w:pStyle w:val="ReferenceEntry"/>
        <w:numPr>
          <w:ilvl w:val="0"/>
          <w:numId w:val="1001"/>
        </w:numPr>
        <w:jc w:val="left"/>
        <w:keepNext w:val="0"/>
        <w:keepLines w:val="0"/>
        <w:widowControl w:val="1"/>
      </w:pPr>
      <w:r>
        <w:t xml:space="preserve">Lakhani, P., Sundaram, B. (2017). Deep learning at chest radiography: Automated classification of pulmonary tuberculosis.</w:t>
      </w:r>
      <w:r>
        <w:t xml:space="preserve"> </w:t>
      </w:r>
      <w:r>
        <w:rPr>
          <w:i/>
          <w:iCs/>
        </w:rPr>
        <w:t xml:space="preserve">Radiology</w:t>
      </w:r>
      <w:r>
        <w:t xml:space="preserve">, 284(2), 574-582.</w:t>
      </w:r>
    </w:p>
    <w:p>
      <w:pPr>
        <w:pStyle w:val="ReferenceEntry"/>
        <w:numPr>
          <w:ilvl w:val="0"/>
          <w:numId w:val="1001"/>
        </w:numPr>
        <w:jc w:val="left"/>
        <w:keepNext w:val="0"/>
        <w:keepLines w:val="0"/>
        <w:widowControl w:val="1"/>
      </w:pPr>
      <w:r>
        <w:t xml:space="preserve">Majkowska, A. E., et al. (2020). Chest radiograph interpretation with deep learning models.</w:t>
      </w:r>
      <w:r>
        <w:t xml:space="preserve"> </w:t>
      </w:r>
      <w:r>
        <w:rPr>
          <w:i/>
          <w:iCs/>
        </w:rPr>
        <w:t xml:space="preserve">Radiology</w:t>
      </w:r>
      <w:r>
        <w:t xml:space="preserve">, 294(2), 421-431.</w:t>
      </w:r>
    </w:p>
    <w:p>
      <w:pPr>
        <w:pStyle w:val="ReferenceEntry"/>
        <w:numPr>
          <w:ilvl w:val="0"/>
          <w:numId w:val="1001"/>
        </w:numPr>
        <w:jc w:val="left"/>
        <w:keepNext w:val="0"/>
        <w:keepLines w:val="0"/>
        <w:widowControl w:val="1"/>
      </w:pPr>
      <w:r>
        <w:t xml:space="preserve">Park, S., et al. (2022). Self-evolving vision transformer for chest X-ray diagnosis through knowledge distillation.</w:t>
      </w:r>
      <w:r>
        <w:t xml:space="preserve"> </w:t>
      </w:r>
      <w:r>
        <w:rPr>
          <w:i/>
          <w:iCs/>
        </w:rPr>
        <w:t xml:space="preserve">Nature Communications</w:t>
      </w:r>
      <w:r>
        <w:t xml:space="preserve">, 13, 3848.</w:t>
      </w:r>
    </w:p>
    <w:p>
      <w:pPr>
        <w:pStyle w:val="ReferenceEntry"/>
        <w:numPr>
          <w:ilvl w:val="0"/>
          <w:numId w:val="1001"/>
        </w:numPr>
        <w:jc w:val="left"/>
        <w:keepNext w:val="0"/>
        <w:keepLines w:val="0"/>
        <w:widowControl w:val="1"/>
      </w:pPr>
      <w:r>
        <w:t xml:space="preserve">Cohen, J. P., Viviano, J., Morrison, P., Brooks, R., Hashir, M., Bertrand, H. (2020). TorchXRayVision: A library of chest X-ray datasets and models.</w:t>
      </w:r>
    </w:p>
    <w:p>
      <w:pPr>
        <w:pStyle w:val="ReferenceEntry"/>
        <w:numPr>
          <w:ilvl w:val="0"/>
          <w:numId w:val="1001"/>
        </w:numPr>
        <w:jc w:val="left"/>
        <w:keepNext w:val="0"/>
        <w:keepLines w:val="0"/>
        <w:widowControl w:val="1"/>
      </w:pPr>
      <w:r>
        <w:t xml:space="preserve">Wang, X., et al. (2017). ChestX-ray8.</w:t>
      </w:r>
      <w:r>
        <w:t xml:space="preserve"> </w:t>
      </w:r>
      <w:r>
        <w:rPr>
          <w:i/>
          <w:iCs/>
        </w:rPr>
        <w:t xml:space="preserve">CVPR 2017</w:t>
      </w:r>
      <w:r>
        <w:t xml:space="preserve">, 3462-3471.</w:t>
      </w:r>
    </w:p>
    <w:p>
      <w:pPr>
        <w:pStyle w:val="ReferenceEntry"/>
        <w:numPr>
          <w:ilvl w:val="0"/>
          <w:numId w:val="1001"/>
        </w:numPr>
        <w:jc w:val="left"/>
        <w:keepNext w:val="0"/>
        <w:keepLines w:val="0"/>
        <w:widowControl w:val="1"/>
      </w:pPr>
      <w:r>
        <w:t xml:space="preserve">Johnson, A. E., et al. (2019). MIMIC-CXR-JPG, a large publicly available database of labeled chest radiographs. arXiv:1901.07042.</w:t>
      </w:r>
    </w:p>
    <w:p>
      <w:pPr>
        <w:pStyle w:val="ReferenceEntry"/>
        <w:numPr>
          <w:ilvl w:val="0"/>
          <w:numId w:val="1001"/>
        </w:numPr>
        <w:jc w:val="left"/>
        <w:keepNext w:val="0"/>
        <w:keepLines w:val="0"/>
        <w:widowControl w:val="1"/>
      </w:pPr>
      <w:r>
        <w:t xml:space="preserve">Bustos, A., Pertusa, A., Salinas, J. M., de la Iglesia-Vaya, M. (2020). PadChest: A large chest X-ray image dataset with multi-label annotated reports.</w:t>
      </w:r>
      <w:r>
        <w:t xml:space="preserve"> </w:t>
      </w:r>
      <w:r>
        <w:rPr>
          <w:i/>
          <w:iCs/>
        </w:rPr>
        <w:t xml:space="preserve">Medical Image Analysis</w:t>
      </w:r>
      <w:r>
        <w:t xml:space="preserve">, 66, 101797.</w:t>
      </w:r>
    </w:p>
    <w:p>
      <w:pPr>
        <w:pStyle w:val="ReferenceEntry"/>
        <w:numPr>
          <w:ilvl w:val="0"/>
          <w:numId w:val="1001"/>
        </w:numPr>
        <w:jc w:val="left"/>
        <w:keepNext w:val="0"/>
        <w:keepLines w:val="0"/>
        <w:widowControl w:val="1"/>
      </w:pPr>
      <w:r>
        <w:t xml:space="preserve">Apartsin, A., Cooper, L. N., Intrator, N. (2012). Semi-coherent time of arrival estimation using regression.</w:t>
      </w:r>
      <w:r>
        <w:t xml:space="preserve"> </w:t>
      </w:r>
      <w:r>
        <w:rPr>
          <w:i/>
          <w:iCs/>
        </w:rPr>
        <w:t xml:space="preserve">JASA</w:t>
      </w:r>
      <w:r>
        <w:t xml:space="preserve">, 132(2), 832-837.</w:t>
      </w:r>
    </w:p>
    <w:p>
      <w:pPr>
        <w:pStyle w:val="ReferenceEntry"/>
        <w:numPr>
          <w:ilvl w:val="0"/>
          <w:numId w:val="1001"/>
        </w:numPr>
        <w:jc w:val="left"/>
        <w:keepNext w:val="0"/>
        <w:keepLines w:val="0"/>
        <w:widowControl w:val="1"/>
      </w:pPr>
      <w:r>
        <w:t xml:space="preserve">Goodfellow, I. J., Shlens, J., Szegedy, C. (2014). Explaining and harnessing adversarial examples. arXiv:1412.6572.</w:t>
      </w:r>
    </w:p>
    <w:p>
      <w:pPr>
        <w:pStyle w:val="ReferenceEntry"/>
        <w:numPr>
          <w:ilvl w:val="0"/>
          <w:numId w:val="1001"/>
        </w:numPr>
        <w:jc w:val="left"/>
        <w:keepNext w:val="0"/>
        <w:keepLines w:val="0"/>
        <w:widowControl w:val="1"/>
      </w:pPr>
      <w:r>
        <w:t xml:space="preserve">Lee, J., AlRegib, G. (2020). Gradients as a measure of uncertainty in neural networks.</w:t>
      </w:r>
      <w:r>
        <w:t xml:space="preserve"> </w:t>
      </w:r>
      <w:r>
        <w:rPr>
          <w:i/>
          <w:iCs/>
        </w:rPr>
        <w:t xml:space="preserve">ICIP 2020</w:t>
      </w:r>
      <w:r>
        <w:t xml:space="preserve">, 2416-2420.</w:t>
      </w:r>
    </w:p>
    <w:p>
      <w:pPr>
        <w:pStyle w:val="ReferenceEntry"/>
        <w:numPr>
          <w:ilvl w:val="0"/>
          <w:numId w:val="1001"/>
        </w:numPr>
        <w:jc w:val="left"/>
        <w:keepNext w:val="0"/>
        <w:keepLines w:val="0"/>
        <w:widowControl w:val="1"/>
      </w:pPr>
      <w:r>
        <w:t xml:space="preserve">Rokach, L., Aperstein, Y., Akselrod-Ballin, A. (2025). Deep active learning framework for chest-abdominal CT scans segmentation.</w:t>
      </w:r>
      <w:r>
        <w:t xml:space="preserve"> </w:t>
      </w:r>
      <w:r>
        <w:rPr>
          <w:i/>
          <w:iCs/>
        </w:rPr>
        <w:t xml:space="preserve">Expert Systems with Applications</w:t>
      </w:r>
      <w:r>
        <w:t xml:space="preserve">, 263, 125522.</w:t>
      </w:r>
    </w:p>
    <w:p>
      <w:pPr>
        <w:pStyle w:val="ReferenceEntry"/>
        <w:numPr>
          <w:ilvl w:val="0"/>
          <w:numId w:val="1001"/>
        </w:numPr>
        <w:jc w:val="left"/>
        <w:keepNext w:val="0"/>
        <w:keepLines w:val="0"/>
        <w:widowControl w:val="1"/>
      </w:pPr>
      <w:r>
        <w:t xml:space="preserve">Levy, D., et al. (2026). From Cold Start to Active Learning: Embedding-Based Scan Selection for Medical Image Segmentation. arXiv:2601.18532.</w:t>
      </w:r>
    </w:p>
    <w:p>
      <w:pPr>
        <w:pStyle w:val="ReferenceEntry"/>
        <w:numPr>
          <w:ilvl w:val="0"/>
          <w:numId w:val="1001"/>
        </w:numPr>
        <w:jc w:val="left"/>
        <w:keepNext w:val="0"/>
        <w:keepLines w:val="0"/>
        <w:widowControl w:val="1"/>
      </w:pPr>
      <w:r>
        <w:t xml:space="preserve">Chow, C. (1970). On optimum recognition error and reject tradeoff.</w:t>
      </w:r>
      <w:r>
        <w:t xml:space="preserve"> </w:t>
      </w:r>
      <w:r>
        <w:rPr>
          <w:i/>
          <w:iCs/>
        </w:rPr>
        <w:t xml:space="preserve">IEEE Transactions on Information Theory</w:t>
      </w:r>
      <w:r>
        <w:t xml:space="preserve">, 16(1), 41-46.</w:t>
      </w:r>
    </w:p>
    <w:p>
      <w:pPr>
        <w:pStyle w:val="ReferenceEntry"/>
        <w:numPr>
          <w:ilvl w:val="0"/>
          <w:numId w:val="1001"/>
        </w:numPr>
        <w:jc w:val="left"/>
        <w:keepNext w:val="0"/>
        <w:keepLines w:val="0"/>
        <w:widowControl w:val="1"/>
      </w:pPr>
      <w:r>
        <w:t xml:space="preserve">Cortes, C., DeSalvo, G., Mohri, M. (2016). Learning with rejection.</w:t>
      </w:r>
      <w:r>
        <w:t xml:space="preserve"> </w:t>
      </w:r>
      <w:r>
        <w:rPr>
          <w:i/>
          <w:iCs/>
        </w:rPr>
        <w:t xml:space="preserve">Journal of Machine Learning Research</w:t>
      </w:r>
      <w:r>
        <w:t xml:space="preserve">, 17(216), 1-40.</w:t>
      </w:r>
    </w:p>
    <w:p>
      <w:pPr>
        <w:pStyle w:val="ReferenceEntry"/>
        <w:numPr>
          <w:ilvl w:val="0"/>
          <w:numId w:val="1001"/>
        </w:numPr>
        <w:jc w:val="left"/>
        <w:keepNext w:val="0"/>
        <w:keepLines w:val="0"/>
        <w:widowControl w:val="1"/>
      </w:pPr>
      <w:r>
        <w:t xml:space="preserve">Geifman, Y., El-Yaniv, R. (2017). Selective classification for deep neural networks.</w:t>
      </w:r>
      <w:r>
        <w:t xml:space="preserve"> </w:t>
      </w:r>
      <w:r>
        <w:rPr>
          <w:i/>
          <w:iCs/>
        </w:rPr>
        <w:t xml:space="preserve">NeurIPS 30</w:t>
      </w:r>
      <w:r>
        <w:t xml:space="preserve">, 4878-4887.</w:t>
      </w:r>
    </w:p>
    <w:p>
      <w:pPr>
        <w:pStyle w:val="ReferenceEntry"/>
        <w:numPr>
          <w:ilvl w:val="0"/>
          <w:numId w:val="1001"/>
        </w:numPr>
        <w:jc w:val="left"/>
        <w:keepNext w:val="0"/>
        <w:keepLines w:val="0"/>
        <w:widowControl w:val="1"/>
      </w:pPr>
      <w:r>
        <w:t xml:space="preserve">Geifman, Y., El-Yaniv, R. (2019). SelectiveNet: A deep neural network with an integrated reject option.</w:t>
      </w:r>
      <w:r>
        <w:t xml:space="preserve"> </w:t>
      </w:r>
      <w:r>
        <w:rPr>
          <w:i/>
          <w:iCs/>
        </w:rPr>
        <w:t xml:space="preserve">ICML 2019</w:t>
      </w:r>
      <w:r>
        <w:t xml:space="preserve">, 2151-2160.</w:t>
      </w:r>
    </w:p>
    <w:p>
      <w:pPr>
        <w:pStyle w:val="ReferenceEntry"/>
        <w:numPr>
          <w:ilvl w:val="0"/>
          <w:numId w:val="1001"/>
        </w:numPr>
        <w:jc w:val="left"/>
        <w:keepNext w:val="0"/>
        <w:keepLines w:val="0"/>
        <w:widowControl w:val="1"/>
      </w:pPr>
      <w:r>
        <w:t xml:space="preserve">Lakshminarayanan, B., Pritzel, A., Blundell, C. (2017). Simple and scalable predictive uncertainty estimation using deep ensembles.</w:t>
      </w:r>
      <w:r>
        <w:t xml:space="preserve"> </w:t>
      </w:r>
      <w:r>
        <w:rPr>
          <w:i/>
          <w:iCs/>
        </w:rPr>
        <w:t xml:space="preserve">NeurIPS 30</w:t>
      </w:r>
      <w:r>
        <w:t xml:space="preserve">, 6405-6416.</w:t>
      </w:r>
    </w:p>
    <w:p>
      <w:pPr>
        <w:pStyle w:val="ReferenceEntry"/>
        <w:numPr>
          <w:ilvl w:val="0"/>
          <w:numId w:val="1001"/>
        </w:numPr>
        <w:jc w:val="left"/>
        <w:keepNext w:val="0"/>
        <w:keepLines w:val="0"/>
        <w:widowControl w:val="1"/>
      </w:pPr>
      <w:r>
        <w:t xml:space="preserve">Fisch, A., Jaakkola, T. S., Barzilay, R. (2022). Calibrated selective classification.</w:t>
      </w:r>
      <w:r>
        <w:t xml:space="preserve"> </w:t>
      </w:r>
      <w:r>
        <w:rPr>
          <w:i/>
          <w:iCs/>
        </w:rPr>
        <w:t xml:space="preserve">Transactions on Machine Learning Research</w:t>
      </w:r>
      <w:r>
        <w:t xml:space="preserve">.</w:t>
      </w:r>
    </w:p>
    <w:p>
      <w:pPr>
        <w:pStyle w:val="ReferenceEntry"/>
        <w:numPr>
          <w:ilvl w:val="0"/>
          <w:numId w:val="1001"/>
        </w:numPr>
        <w:jc w:val="left"/>
        <w:keepNext w:val="0"/>
        <w:keepLines w:val="0"/>
        <w:widowControl w:val="1"/>
      </w:pPr>
      <w:r>
        <w:t xml:space="preserve">Cattelan, L., Silva, R. (2024). How to fix a broken confidence estimator: A simple approach for post-hoc deep model calibration.</w:t>
      </w:r>
      <w:r>
        <w:t xml:space="preserve"> </w:t>
      </w:r>
      <w:r>
        <w:rPr>
          <w:i/>
          <w:iCs/>
        </w:rPr>
        <w:t xml:space="preserve">UAI 2024</w:t>
      </w:r>
      <w:r>
        <w:t xml:space="preserve">.</w:t>
      </w:r>
    </w:p>
    <w:p>
      <w:pPr>
        <w:pStyle w:val="ReferenceEntry"/>
        <w:numPr>
          <w:ilvl w:val="0"/>
          <w:numId w:val="1001"/>
        </w:numPr>
        <w:jc w:val="left"/>
        <w:keepNext w:val="0"/>
        <w:keepLines w:val="0"/>
        <w:widowControl w:val="1"/>
      </w:pPr>
      <w:r>
        <w:t xml:space="preserve">Rabanser, S., Thudi, A., Hamidieh, K., Dziedzic, A., Papernot, N. (2022). Selective classification via neural network training dynamics.</w:t>
      </w:r>
      <w:r>
        <w:t xml:space="preserve"> </w:t>
      </w:r>
      <w:r>
        <w:rPr>
          <w:i/>
          <w:iCs/>
        </w:rPr>
        <w:t xml:space="preserve">UAI 2022</w:t>
      </w:r>
      <w:r>
        <w:t xml:space="preserve">.</w:t>
      </w:r>
    </w:p>
    <w:p>
      <w:pPr>
        <w:pStyle w:val="ReferenceEntry"/>
        <w:numPr>
          <w:ilvl w:val="0"/>
          <w:numId w:val="1001"/>
        </w:numPr>
        <w:jc w:val="left"/>
        <w:keepNext w:val="0"/>
        <w:keepLines w:val="0"/>
        <w:widowControl w:val="1"/>
      </w:pPr>
      <w:r>
        <w:t xml:space="preserve">Kompa, B., Snoek, J., Beam, A. L. (2021). Second opinion needed: Communicating uncertainty in medical machine learning.</w:t>
      </w:r>
      <w:r>
        <w:t xml:space="preserve"> </w:t>
      </w:r>
      <w:r>
        <w:rPr>
          <w:i/>
          <w:iCs/>
        </w:rPr>
        <w:t xml:space="preserve">NPJ Digital Medicine</w:t>
      </w:r>
      <w:r>
        <w:t xml:space="preserve">, 4, 4.</w:t>
      </w:r>
    </w:p>
    <w:p>
      <w:pPr>
        <w:pStyle w:val="ReferenceEntry"/>
        <w:numPr>
          <w:ilvl w:val="0"/>
          <w:numId w:val="1001"/>
        </w:numPr>
        <w:jc w:val="left"/>
        <w:keepNext w:val="0"/>
        <w:keepLines w:val="0"/>
        <w:widowControl w:val="1"/>
      </w:pPr>
      <w:r>
        <w:t xml:space="preserve">Faghani, S., et al. (2023). Quantifying uncertainty in deep learning of radiologic images.</w:t>
      </w:r>
      <w:r>
        <w:t xml:space="preserve"> </w:t>
      </w:r>
      <w:r>
        <w:rPr>
          <w:i/>
          <w:iCs/>
        </w:rPr>
        <w:t xml:space="preserve">Radiology</w:t>
      </w:r>
      <w:r>
        <w:t xml:space="preserve">, 308(2).</w:t>
      </w:r>
    </w:p>
    <w:p>
      <w:pPr>
        <w:pStyle w:val="ReferenceEntry"/>
        <w:numPr>
          <w:ilvl w:val="0"/>
          <w:numId w:val="1001"/>
        </w:numPr>
        <w:jc w:val="left"/>
        <w:keepNext w:val="0"/>
        <w:keepLines w:val="0"/>
        <w:widowControl w:val="1"/>
      </w:pPr>
      <w:r>
        <w:t xml:space="preserve">Whata, A., et al. (2024). Uncertainty quantification in multi-class image classification using chest X-ray images of COVID-19 and pneumonia.</w:t>
      </w:r>
      <w:r>
        <w:t xml:space="preserve"> </w:t>
      </w:r>
      <w:r>
        <w:rPr>
          <w:i/>
          <w:iCs/>
        </w:rPr>
        <w:t xml:space="preserve">Frontiers in Artificial Intelligence</w:t>
      </w:r>
      <w:r>
        <w:t xml:space="preserve">, 7, 1410841.</w:t>
      </w:r>
    </w:p>
    <w:p>
      <w:pPr>
        <w:pStyle w:val="ReferenceEntry"/>
        <w:numPr>
          <w:ilvl w:val="0"/>
          <w:numId w:val="1001"/>
        </w:numPr>
        <w:jc w:val="left"/>
        <w:keepNext w:val="0"/>
        <w:keepLines w:val="0"/>
        <w:widowControl w:val="1"/>
      </w:pPr>
      <w:r>
        <w:t xml:space="preserve">Das, A., et al. (2024). Confidence-guided semi-supervised learning for generalized lesion localization in X-ray images.</w:t>
      </w:r>
      <w:r>
        <w:t xml:space="preserve"> </w:t>
      </w:r>
      <w:r>
        <w:rPr>
          <w:i/>
          <w:iCs/>
        </w:rPr>
        <w:t xml:space="preserve">MICCAI 2024</w:t>
      </w:r>
      <w:r>
        <w:t xml:space="preserve">, LNCS 15001, 242-252.</w:t>
      </w:r>
    </w:p>
    <w:p>
      <w:pPr>
        <w:pStyle w:val="ReferenceEntry"/>
        <w:numPr>
          <w:ilvl w:val="0"/>
          <w:numId w:val="1001"/>
        </w:numPr>
        <w:jc w:val="left"/>
        <w:keepNext w:val="0"/>
        <w:keepLines w:val="0"/>
        <w:widowControl w:val="1"/>
      </w:pPr>
      <w:r>
        <w:t xml:space="preserve">Huang, G., Liu, Z., Van Der Maaten, L., Weinberger, K. Q. (2017). Densely connected convolutional networks.</w:t>
      </w:r>
      <w:r>
        <w:t xml:space="preserve"> </w:t>
      </w:r>
      <w:r>
        <w:rPr>
          <w:i/>
          <w:iCs/>
        </w:rPr>
        <w:t xml:space="preserve">CVPR 2017</w:t>
      </w:r>
      <w:r>
        <w:t xml:space="preserve">, 4700-4708.</w:t>
      </w:r>
    </w:p>
    <w:p>
      <w:pPr>
        <w:pStyle w:val="ReferenceEntry"/>
        <w:numPr>
          <w:ilvl w:val="0"/>
          <w:numId w:val="1001"/>
        </w:numPr>
        <w:jc w:val="left"/>
        <w:keepNext w:val="0"/>
        <w:keepLines w:val="0"/>
        <w:widowControl w:val="1"/>
      </w:pPr>
      <w:r>
        <w:t xml:space="preserve">Seyyed-Kalantari, L., Liu, G., McDermott, M., Chen, I. Y., Ghassemi, M. (2020). CheXclusion: Fairness gaps in deep chest X-ray classifiers.</w:t>
      </w:r>
      <w:r>
        <w:t xml:space="preserve"> </w:t>
      </w:r>
      <w:r>
        <w:rPr>
          <w:i/>
          <w:iCs/>
        </w:rPr>
        <w:t xml:space="preserve">Pacific Symposium on Biocomputing 2021</w:t>
      </w:r>
      <w:r>
        <w:t xml:space="preserve">, 232-243.</w:t>
      </w:r>
    </w:p>
    <w:p>
      <w:pPr>
        <w:pStyle w:val="ReferenceEntry"/>
        <w:numPr>
          <w:ilvl w:val="0"/>
          <w:numId w:val="1001"/>
        </w:numPr>
        <w:jc w:val="left"/>
        <w:keepNext w:val="0"/>
        <w:keepLines w:val="0"/>
        <w:widowControl w:val="1"/>
      </w:pPr>
      <w:r>
        <w:rPr>
          <w:highlight w:val="green"/>
        </w:rPr>
        <w:t xml:space="preserve">Zech, J. R., Badgeley, M. A., Liu, M., Costa, A. B., Titano, J. J., Oermann, E. K. (2018). Variable generalization performance of a deep learning model to detect pneumonia in chest radiographs.</w:t>
      </w:r>
      <w:r>
        <w:t xml:space="preserve"> </w:t>
      </w:r>
      <w:r>
        <w:rPr>
          <w:i/>
          <w:iCs/>
          <w:highlight w:val="green"/>
        </w:rPr>
        <w:t xml:space="preserve">PLOS Medicine</w:t>
      </w:r>
      <w:r>
        <w:rPr>
          <w:highlight w:val="green"/>
        </w:rPr>
        <w:t xml:space="preserve">, 15(11), e1002683.</w:t>
      </w:r>
    </w:p>
    <w:p>
      <w:pPr>
        <w:pStyle w:val="ReferenceEntry"/>
        <w:numPr>
          <w:ilvl w:val="0"/>
          <w:numId w:val="1001"/>
        </w:numPr>
        <w:jc w:val="left"/>
        <w:keepNext w:val="0"/>
        <w:keepLines w:val="0"/>
        <w:widowControl w:val="1"/>
      </w:pPr>
      <w:r>
        <w:rPr>
          <w:highlight w:val="green"/>
        </w:rPr>
        <w:t xml:space="preserve">Ovadia, Y., et al. (2019). Can you trust your model's uncertainty? Evaluating predictive uncertainty under dataset shift.</w:t>
      </w:r>
      <w:r>
        <w:t xml:space="preserve"> </w:t>
      </w:r>
      <w:r>
        <w:rPr>
          <w:i/>
          <w:iCs/>
          <w:highlight w:val="green"/>
        </w:rPr>
        <w:t xml:space="preserve">NeurIPS 32</w:t>
      </w:r>
      <w:r>
        <w:t xml:space="preserve">.</w:t>
      </w:r>
    </w:p>
    <w:bookmarkEnd w:id="46"/>
    <w:bookmarkEnd w:id="47"/>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 Type="http://schemas.openxmlformats.org/officeDocument/2006/relationships/image" Target="media/rId28.png"/><Relationship Id="rId33" Type="http://schemas.openxmlformats.org/officeDocument/2006/relationships/image" Target="media/rId33.png"/><Relationship Id="rId37" Type="http://schemas.openxmlformats.org/officeDocument/2006/relationships/image" Target="media/rId37.png"/><Relationship Id="rId10" Type="http://schemas.openxmlformats.org/officeDocument/2006/relationships/image" Target="media/rId10.png"/><Relationship Id="rId24" Type="http://schemas.openxmlformats.org/officeDocument/2006/relationships/image" Target="media/rId24.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2026-06-02T17:05:16Z</dcterms:created>
  <dcterms:modified xsi:type="dcterms:W3CDTF">2026-06-02T17:05:16Z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